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58E4" w:rsidRDefault="00B558E4" w:rsidP="00B558E4">
      <w:pPr>
        <w:spacing w:line="480" w:lineRule="auto"/>
        <w:jc w:val="center"/>
        <w:outlineLvl w:val="0"/>
        <w:rPr>
          <w:b/>
          <w:sz w:val="24"/>
          <w:szCs w:val="24"/>
        </w:rPr>
      </w:pPr>
      <w:r>
        <w:rPr>
          <w:b/>
          <w:sz w:val="24"/>
          <w:szCs w:val="24"/>
        </w:rPr>
        <w:t>NUR 634 SOAP: Follow-Up Visit</w:t>
      </w:r>
    </w:p>
    <w:p w:rsidR="00B558E4" w:rsidRDefault="00B558E4" w:rsidP="00B558E4">
      <w:pPr>
        <w:jc w:val="center"/>
        <w:rPr>
          <w:b/>
          <w:sz w:val="24"/>
          <w:szCs w:val="24"/>
        </w:rPr>
      </w:pPr>
    </w:p>
    <w:p w:rsidR="00B558E4" w:rsidRDefault="00B558E4" w:rsidP="00B558E4">
      <w:pPr>
        <w:rPr>
          <w:b/>
          <w:sz w:val="24"/>
          <w:szCs w:val="24"/>
        </w:rPr>
      </w:pPr>
      <w:r>
        <w:rPr>
          <w:b/>
          <w:sz w:val="24"/>
          <w:szCs w:val="24"/>
        </w:rPr>
        <w:t xml:space="preserve">Student Name:  </w:t>
      </w:r>
      <w:r>
        <w:rPr>
          <w:b/>
          <w:sz w:val="24"/>
          <w:szCs w:val="24"/>
        </w:rPr>
        <w:tab/>
      </w:r>
      <w:r>
        <w:rPr>
          <w:b/>
          <w:sz w:val="24"/>
          <w:szCs w:val="24"/>
        </w:rPr>
        <w:tab/>
        <w:t>Date:</w:t>
      </w:r>
      <w:r>
        <w:rPr>
          <w:b/>
          <w:sz w:val="24"/>
          <w:szCs w:val="24"/>
        </w:rPr>
        <w:tab/>
      </w:r>
      <w:r>
        <w:rPr>
          <w:b/>
          <w:sz w:val="24"/>
          <w:szCs w:val="24"/>
        </w:rPr>
        <w:tab/>
      </w:r>
      <w:r>
        <w:rPr>
          <w:b/>
          <w:sz w:val="24"/>
          <w:szCs w:val="24"/>
        </w:rPr>
        <w:tab/>
      </w:r>
      <w:r>
        <w:rPr>
          <w:b/>
          <w:sz w:val="24"/>
          <w:szCs w:val="24"/>
        </w:rPr>
        <w:tab/>
        <w:t xml:space="preserve">             Course:  </w:t>
      </w:r>
    </w:p>
    <w:p w:rsidR="00B558E4" w:rsidRDefault="00B558E4" w:rsidP="00B558E4">
      <w:pPr>
        <w:rPr>
          <w:b/>
          <w:sz w:val="24"/>
          <w:szCs w:val="24"/>
        </w:rPr>
      </w:pPr>
    </w:p>
    <w:p w:rsidR="00B558E4" w:rsidRDefault="00B558E4" w:rsidP="00B558E4">
      <w:pPr>
        <w:rPr>
          <w:b/>
          <w:bCs/>
          <w:sz w:val="24"/>
          <w:szCs w:val="24"/>
          <w:u w:val="single"/>
        </w:rPr>
      </w:pPr>
      <w:r>
        <w:rPr>
          <w:b/>
          <w:bCs/>
          <w:sz w:val="24"/>
          <w:szCs w:val="24"/>
          <w:u w:val="single"/>
        </w:rPr>
        <w:t>Subjective:</w:t>
      </w:r>
    </w:p>
    <w:p w:rsidR="00B558E4" w:rsidRDefault="00B558E4" w:rsidP="00B558E4">
      <w:pPr>
        <w:rPr>
          <w:bCs/>
          <w:sz w:val="24"/>
          <w:szCs w:val="24"/>
        </w:rPr>
      </w:pPr>
      <w:r>
        <w:rPr>
          <w:b/>
          <w:sz w:val="24"/>
          <w:szCs w:val="24"/>
        </w:rPr>
        <w:t xml:space="preserve">Patient Demographics: </w:t>
      </w:r>
      <w:r>
        <w:rPr>
          <w:bCs/>
          <w:sz w:val="24"/>
          <w:szCs w:val="24"/>
        </w:rPr>
        <w:t>Patient Initials</w:t>
      </w:r>
      <w:r>
        <w:rPr>
          <w:b/>
          <w:sz w:val="24"/>
          <w:szCs w:val="24"/>
        </w:rPr>
        <w:t xml:space="preserve"> </w:t>
      </w:r>
      <w:r>
        <w:rPr>
          <w:bCs/>
          <w:sz w:val="24"/>
          <w:szCs w:val="24"/>
        </w:rPr>
        <w:t>MT, age 26 years, Gender Female</w:t>
      </w:r>
    </w:p>
    <w:p w:rsidR="00B558E4" w:rsidRDefault="00B558E4" w:rsidP="00B558E4">
      <w:pPr>
        <w:rPr>
          <w:bCs/>
          <w:sz w:val="24"/>
          <w:szCs w:val="24"/>
        </w:rPr>
      </w:pPr>
      <w:r>
        <w:rPr>
          <w:b/>
          <w:sz w:val="24"/>
          <w:szCs w:val="24"/>
        </w:rPr>
        <w:t xml:space="preserve">Chief Complaint: </w:t>
      </w:r>
      <w:r>
        <w:rPr>
          <w:bCs/>
          <w:sz w:val="24"/>
          <w:szCs w:val="24"/>
        </w:rPr>
        <w:t>“I have been having heavy and painful menses for the past week”.</w:t>
      </w:r>
    </w:p>
    <w:p w:rsidR="00B558E4" w:rsidRDefault="00B558E4" w:rsidP="00B558E4">
      <w:pPr>
        <w:rPr>
          <w:bCs/>
          <w:sz w:val="24"/>
          <w:szCs w:val="24"/>
        </w:rPr>
      </w:pPr>
      <w:r>
        <w:rPr>
          <w:b/>
          <w:sz w:val="24"/>
          <w:szCs w:val="24"/>
        </w:rPr>
        <w:t xml:space="preserve">History of Present Illness: </w:t>
      </w:r>
      <w:r>
        <w:rPr>
          <w:bCs/>
          <w:sz w:val="24"/>
          <w:szCs w:val="24"/>
        </w:rPr>
        <w:t xml:space="preserve">MT, a 26-year-old Caucasian female, reports to the clinic with complaints of heavy and painful menses for the past week. The patient states that her last menstrual cycle was four months ago noting that it has been irregular and heavy since menarche. However, this time she notes that the menses has exceeded her usual 4 to 5 days prompting her to seek medical attention. She terms her cramps as throbbing and radiating to the back and rate them at 6 on a scale of 0 to 10 claiming that it is temporarily relieved by analgesics. </w:t>
      </w:r>
    </w:p>
    <w:p w:rsidR="00B558E4" w:rsidRDefault="00B558E4" w:rsidP="00B558E4">
      <w:pPr>
        <w:rPr>
          <w:color w:val="000000"/>
          <w:sz w:val="24"/>
          <w:szCs w:val="24"/>
        </w:rPr>
      </w:pPr>
      <w:r>
        <w:rPr>
          <w:b/>
          <w:color w:val="000000"/>
          <w:sz w:val="24"/>
          <w:szCs w:val="24"/>
        </w:rPr>
        <w:t>PMH</w:t>
      </w:r>
      <w:r>
        <w:rPr>
          <w:color w:val="000000"/>
          <w:sz w:val="24"/>
          <w:szCs w:val="24"/>
        </w:rPr>
        <w:t xml:space="preserve">: The patient reports morbid (severe) obesity associated with excess calories. The obesity is also associated with alveolar hypoventilation. She also has excess androgens, which has been the cause of hirsutism. </w:t>
      </w:r>
    </w:p>
    <w:p w:rsidR="00B558E4" w:rsidRDefault="00B558E4" w:rsidP="00B558E4">
      <w:pPr>
        <w:rPr>
          <w:color w:val="000000"/>
          <w:sz w:val="24"/>
          <w:szCs w:val="24"/>
        </w:rPr>
      </w:pPr>
      <w:r>
        <w:rPr>
          <w:b/>
          <w:color w:val="000000"/>
          <w:sz w:val="24"/>
          <w:szCs w:val="24"/>
        </w:rPr>
        <w:t>PSH</w:t>
      </w:r>
      <w:r>
        <w:rPr>
          <w:color w:val="000000"/>
          <w:sz w:val="24"/>
          <w:szCs w:val="24"/>
        </w:rPr>
        <w:t xml:space="preserve">: The patient reports no past surgical history </w:t>
      </w:r>
    </w:p>
    <w:p w:rsidR="00B558E4" w:rsidRDefault="00B558E4" w:rsidP="00B558E4">
      <w:pPr>
        <w:rPr>
          <w:color w:val="000000"/>
          <w:sz w:val="24"/>
          <w:szCs w:val="24"/>
        </w:rPr>
      </w:pPr>
      <w:r>
        <w:rPr>
          <w:b/>
          <w:color w:val="000000"/>
          <w:sz w:val="24"/>
          <w:szCs w:val="24"/>
        </w:rPr>
        <w:t>Allergies</w:t>
      </w:r>
      <w:r>
        <w:rPr>
          <w:color w:val="000000"/>
          <w:sz w:val="24"/>
          <w:szCs w:val="24"/>
        </w:rPr>
        <w:t>: She has no known food or drug allergies</w:t>
      </w:r>
    </w:p>
    <w:p w:rsidR="00B558E4" w:rsidRDefault="00B558E4" w:rsidP="00B558E4">
      <w:pPr>
        <w:rPr>
          <w:color w:val="000000"/>
          <w:sz w:val="24"/>
          <w:szCs w:val="24"/>
        </w:rPr>
      </w:pPr>
      <w:r>
        <w:rPr>
          <w:b/>
          <w:color w:val="000000"/>
          <w:sz w:val="24"/>
          <w:szCs w:val="24"/>
        </w:rPr>
        <w:t>Untoward Medication Reactions:</w:t>
      </w:r>
      <w:r>
        <w:rPr>
          <w:color w:val="000000"/>
          <w:sz w:val="24"/>
          <w:szCs w:val="24"/>
        </w:rPr>
        <w:t xml:space="preserve"> no known reaction to any medications</w:t>
      </w:r>
    </w:p>
    <w:p w:rsidR="00B558E4" w:rsidRDefault="00B558E4" w:rsidP="00B558E4">
      <w:pPr>
        <w:rPr>
          <w:color w:val="000000"/>
          <w:sz w:val="24"/>
          <w:szCs w:val="24"/>
        </w:rPr>
      </w:pPr>
      <w:r>
        <w:rPr>
          <w:b/>
          <w:color w:val="000000"/>
          <w:sz w:val="24"/>
          <w:szCs w:val="24"/>
        </w:rPr>
        <w:t xml:space="preserve">Immunization Status: </w:t>
      </w:r>
      <w:r>
        <w:rPr>
          <w:bCs/>
          <w:color w:val="000000"/>
          <w:sz w:val="24"/>
          <w:szCs w:val="24"/>
        </w:rPr>
        <w:t>Immunization up-to-date per CDC guidelines. She received all her childhood immunizations as per the CDC guidelines; she has not received the annual flu vaccine but expects to receive it within the month. She is COVID 19 fully vaccinated (last dose 10/11/2020, booster 4/2/2022)</w:t>
      </w:r>
    </w:p>
    <w:p w:rsidR="00B558E4" w:rsidRDefault="00B558E4" w:rsidP="00B558E4">
      <w:pPr>
        <w:rPr>
          <w:b/>
          <w:sz w:val="24"/>
          <w:szCs w:val="24"/>
        </w:rPr>
      </w:pPr>
      <w:r>
        <w:rPr>
          <w:b/>
          <w:sz w:val="24"/>
          <w:szCs w:val="24"/>
        </w:rPr>
        <w:t>Screenings:</w:t>
      </w:r>
      <w:r>
        <w:rPr>
          <w:sz w:val="24"/>
          <w:szCs w:val="24"/>
        </w:rPr>
        <w:t xml:space="preserve"> She depends on the family’s primary care nurse practitioner who offers routine and annual care and screenings. She also attends eye and dental check-ups yearly. None of the recent screenings have revealed abnormal findings.</w:t>
      </w:r>
    </w:p>
    <w:p w:rsidR="00B558E4" w:rsidRDefault="00B558E4" w:rsidP="00B558E4">
      <w:pPr>
        <w:rPr>
          <w:color w:val="000000"/>
          <w:sz w:val="24"/>
          <w:szCs w:val="24"/>
        </w:rPr>
      </w:pPr>
      <w:r>
        <w:rPr>
          <w:b/>
          <w:color w:val="000000"/>
          <w:sz w:val="24"/>
          <w:szCs w:val="24"/>
        </w:rPr>
        <w:t>FMH:</w:t>
      </w:r>
      <w:r>
        <w:rPr>
          <w:color w:val="000000"/>
          <w:sz w:val="24"/>
          <w:szCs w:val="24"/>
        </w:rPr>
        <w:t xml:space="preserve"> Mother has hypertension; history of other immediate family members is not available.</w:t>
      </w:r>
    </w:p>
    <w:p w:rsidR="00B558E4" w:rsidRDefault="00B558E4" w:rsidP="00B558E4">
      <w:pPr>
        <w:rPr>
          <w:color w:val="000000"/>
          <w:sz w:val="24"/>
          <w:szCs w:val="24"/>
        </w:rPr>
      </w:pPr>
      <w:r>
        <w:rPr>
          <w:b/>
          <w:color w:val="000000"/>
          <w:sz w:val="24"/>
          <w:szCs w:val="24"/>
        </w:rPr>
        <w:t>Personal History/Social History:</w:t>
      </w:r>
      <w:r>
        <w:rPr>
          <w:color w:val="000000"/>
          <w:sz w:val="24"/>
          <w:szCs w:val="24"/>
        </w:rPr>
        <w:t xml:space="preserve"> She works as an attendant in a local grocery store. She lives with her mother in a three-bedroom house in the town’s suburbs, an area with low crime rate. She admits that she has not been cautious with her diet and she is frequently tempted to take sugar-sweetened foods, caffeinated beverages, and high-sodium foods. However, she reports that recently she has been cautious around the foods and has been increasing the consumption of fruits and vegetables. He denies a history of tobacco smoking or alcohol consumption. </w:t>
      </w:r>
    </w:p>
    <w:p w:rsidR="00B558E4" w:rsidRDefault="00B558E4" w:rsidP="00B558E4">
      <w:pPr>
        <w:rPr>
          <w:color w:val="000000"/>
          <w:sz w:val="24"/>
          <w:szCs w:val="24"/>
        </w:rPr>
      </w:pPr>
      <w:r>
        <w:rPr>
          <w:b/>
          <w:color w:val="000000"/>
          <w:sz w:val="24"/>
          <w:szCs w:val="24"/>
        </w:rPr>
        <w:t>Females:</w:t>
      </w:r>
      <w:r>
        <w:rPr>
          <w:color w:val="000000"/>
          <w:sz w:val="24"/>
          <w:szCs w:val="24"/>
        </w:rPr>
        <w:t xml:space="preserve">  LMP October 19, 2022, irregular and heavy menses since menarche </w:t>
      </w:r>
    </w:p>
    <w:p w:rsidR="00B558E4" w:rsidRDefault="00B558E4" w:rsidP="00B558E4">
      <w:pPr>
        <w:rPr>
          <w:color w:val="000000"/>
          <w:sz w:val="24"/>
          <w:szCs w:val="24"/>
        </w:rPr>
      </w:pPr>
      <w:r>
        <w:rPr>
          <w:b/>
          <w:color w:val="000000"/>
          <w:sz w:val="24"/>
          <w:szCs w:val="24"/>
        </w:rPr>
        <w:t>Sexual History:</w:t>
      </w:r>
      <w:r>
        <w:rPr>
          <w:color w:val="000000"/>
          <w:sz w:val="24"/>
          <w:szCs w:val="24"/>
        </w:rPr>
        <w:t xml:space="preserve"> She has one sex partners with whom she has protected sex. She is currently not using any form of contraception but reports using emergency contraception five months ago.</w:t>
      </w:r>
    </w:p>
    <w:p w:rsidR="00B558E4" w:rsidRDefault="00B558E4" w:rsidP="00B558E4">
      <w:pPr>
        <w:rPr>
          <w:b/>
          <w:sz w:val="24"/>
          <w:szCs w:val="24"/>
        </w:rPr>
      </w:pPr>
      <w:r>
        <w:rPr>
          <w:b/>
          <w:sz w:val="24"/>
          <w:szCs w:val="24"/>
        </w:rPr>
        <w:t xml:space="preserve">Current Medications/OTCs/Supplements: </w:t>
      </w:r>
      <w:r>
        <w:rPr>
          <w:bCs/>
          <w:sz w:val="24"/>
          <w:szCs w:val="24"/>
        </w:rPr>
        <w:t>Oral Ibuprofen 400mg BID to manage her pain</w:t>
      </w:r>
      <w:r>
        <w:rPr>
          <w:b/>
          <w:color w:val="FF0000"/>
          <w:sz w:val="24"/>
          <w:szCs w:val="24"/>
        </w:rPr>
        <w:t xml:space="preserve">  </w:t>
      </w:r>
    </w:p>
    <w:p w:rsidR="00B558E4" w:rsidRDefault="00B558E4" w:rsidP="00B558E4">
      <w:pPr>
        <w:rPr>
          <w:b/>
          <w:sz w:val="24"/>
          <w:szCs w:val="24"/>
        </w:rPr>
      </w:pPr>
      <w:r>
        <w:rPr>
          <w:b/>
          <w:sz w:val="24"/>
          <w:szCs w:val="24"/>
        </w:rPr>
        <w:t>Review of Systems:</w:t>
      </w:r>
    </w:p>
    <w:p w:rsidR="00B558E4" w:rsidRDefault="00B558E4" w:rsidP="00B558E4">
      <w:pPr>
        <w:rPr>
          <w:sz w:val="24"/>
          <w:szCs w:val="24"/>
        </w:rPr>
      </w:pPr>
      <w:r>
        <w:rPr>
          <w:sz w:val="24"/>
          <w:szCs w:val="24"/>
        </w:rPr>
        <w:t>General: Reports recent weight gain (40lb in the last six months). Negative for fever, chill, night sweats, or changes in appetite</w:t>
      </w:r>
    </w:p>
    <w:p w:rsidR="00B558E4" w:rsidRDefault="00B558E4" w:rsidP="00B558E4">
      <w:pPr>
        <w:rPr>
          <w:sz w:val="24"/>
          <w:szCs w:val="24"/>
        </w:rPr>
      </w:pPr>
      <w:r>
        <w:rPr>
          <w:sz w:val="24"/>
          <w:szCs w:val="24"/>
        </w:rPr>
        <w:t>Skin: Reports growth of facial hair, acne, and skin tags. Confides waxing her facial and chest hairs to avoid the embarrassment of being dark and hairy.</w:t>
      </w:r>
    </w:p>
    <w:p w:rsidR="00B558E4" w:rsidRDefault="00B558E4" w:rsidP="00B558E4">
      <w:pPr>
        <w:rPr>
          <w:i/>
          <w:sz w:val="24"/>
          <w:szCs w:val="24"/>
        </w:rPr>
      </w:pPr>
      <w:r>
        <w:rPr>
          <w:sz w:val="24"/>
          <w:szCs w:val="24"/>
        </w:rPr>
        <w:t xml:space="preserve">HEENT: </w:t>
      </w:r>
    </w:p>
    <w:p w:rsidR="00B558E4" w:rsidRDefault="00B558E4" w:rsidP="00B558E4">
      <w:pPr>
        <w:ind w:left="720"/>
        <w:rPr>
          <w:sz w:val="24"/>
          <w:szCs w:val="24"/>
        </w:rPr>
      </w:pPr>
      <w:r>
        <w:rPr>
          <w:i/>
          <w:sz w:val="24"/>
          <w:szCs w:val="24"/>
        </w:rPr>
        <w:t xml:space="preserve">Head: </w:t>
      </w:r>
      <w:r>
        <w:rPr>
          <w:sz w:val="24"/>
          <w:szCs w:val="24"/>
        </w:rPr>
        <w:t>Denies headache, lightheadedness</w:t>
      </w:r>
    </w:p>
    <w:p w:rsidR="00B558E4" w:rsidRDefault="00B558E4" w:rsidP="00B558E4">
      <w:pPr>
        <w:ind w:left="720"/>
        <w:rPr>
          <w:i/>
          <w:sz w:val="24"/>
          <w:szCs w:val="24"/>
        </w:rPr>
      </w:pPr>
      <w:r>
        <w:rPr>
          <w:i/>
          <w:sz w:val="24"/>
          <w:szCs w:val="24"/>
        </w:rPr>
        <w:t xml:space="preserve">Eyes: </w:t>
      </w:r>
      <w:r>
        <w:rPr>
          <w:sz w:val="24"/>
          <w:szCs w:val="24"/>
        </w:rPr>
        <w:t>Denies visual disturbance</w:t>
      </w:r>
      <w:r>
        <w:rPr>
          <w:i/>
          <w:sz w:val="24"/>
          <w:szCs w:val="24"/>
        </w:rPr>
        <w:t xml:space="preserve"> </w:t>
      </w:r>
    </w:p>
    <w:p w:rsidR="00B558E4" w:rsidRDefault="00B558E4" w:rsidP="00B558E4">
      <w:pPr>
        <w:ind w:left="720"/>
        <w:rPr>
          <w:iCs/>
          <w:sz w:val="24"/>
          <w:szCs w:val="24"/>
        </w:rPr>
      </w:pPr>
      <w:r>
        <w:rPr>
          <w:i/>
          <w:sz w:val="24"/>
          <w:szCs w:val="24"/>
        </w:rPr>
        <w:lastRenderedPageBreak/>
        <w:t>Ears:</w:t>
      </w:r>
      <w:r>
        <w:rPr>
          <w:iCs/>
          <w:sz w:val="24"/>
          <w:szCs w:val="24"/>
        </w:rPr>
        <w:t xml:space="preserve"> Denies any changes in hearing </w:t>
      </w:r>
    </w:p>
    <w:p w:rsidR="00B558E4" w:rsidRDefault="00B558E4" w:rsidP="00B558E4">
      <w:pPr>
        <w:ind w:left="720"/>
        <w:rPr>
          <w:iCs/>
          <w:sz w:val="24"/>
          <w:szCs w:val="24"/>
        </w:rPr>
      </w:pPr>
      <w:r>
        <w:rPr>
          <w:i/>
          <w:sz w:val="24"/>
          <w:szCs w:val="24"/>
        </w:rPr>
        <w:t>Nose:</w:t>
      </w:r>
      <w:r>
        <w:rPr>
          <w:iCs/>
          <w:sz w:val="24"/>
          <w:szCs w:val="24"/>
        </w:rPr>
        <w:t xml:space="preserve"> Negative for rhinitis, congestion, or epistaxis</w:t>
      </w:r>
    </w:p>
    <w:p w:rsidR="00B558E4" w:rsidRDefault="00B558E4" w:rsidP="00B558E4">
      <w:pPr>
        <w:ind w:left="720"/>
        <w:rPr>
          <w:iCs/>
          <w:sz w:val="24"/>
          <w:szCs w:val="24"/>
        </w:rPr>
      </w:pPr>
      <w:r>
        <w:rPr>
          <w:i/>
          <w:sz w:val="24"/>
          <w:szCs w:val="24"/>
        </w:rPr>
        <w:t>Throat:</w:t>
      </w:r>
      <w:r>
        <w:rPr>
          <w:iCs/>
          <w:sz w:val="24"/>
          <w:szCs w:val="24"/>
        </w:rPr>
        <w:t xml:space="preserve"> negative for gum bleeding, voice hoarseness, or sore throat</w:t>
      </w:r>
    </w:p>
    <w:p w:rsidR="00B558E4" w:rsidRDefault="00B558E4" w:rsidP="00B558E4">
      <w:pPr>
        <w:rPr>
          <w:sz w:val="24"/>
          <w:szCs w:val="24"/>
        </w:rPr>
      </w:pPr>
      <w:r>
        <w:rPr>
          <w:sz w:val="24"/>
          <w:szCs w:val="24"/>
        </w:rPr>
        <w:t>Breasts: Denies breast masses from self-examination</w:t>
      </w:r>
    </w:p>
    <w:p w:rsidR="00B558E4" w:rsidRDefault="00B558E4" w:rsidP="00B558E4">
      <w:pPr>
        <w:rPr>
          <w:sz w:val="24"/>
          <w:szCs w:val="24"/>
        </w:rPr>
      </w:pPr>
      <w:r>
        <w:rPr>
          <w:sz w:val="24"/>
          <w:szCs w:val="24"/>
        </w:rPr>
        <w:t>Respiratory: Denies cough, wheeze, or shortness of breath</w:t>
      </w:r>
    </w:p>
    <w:p w:rsidR="00B558E4" w:rsidRDefault="00B558E4" w:rsidP="00B558E4">
      <w:pPr>
        <w:rPr>
          <w:sz w:val="24"/>
          <w:szCs w:val="24"/>
        </w:rPr>
      </w:pPr>
      <w:r>
        <w:rPr>
          <w:sz w:val="24"/>
          <w:szCs w:val="24"/>
        </w:rPr>
        <w:t>Cardiovascular: Reports palpitations</w:t>
      </w:r>
    </w:p>
    <w:p w:rsidR="00B558E4" w:rsidRDefault="00B558E4" w:rsidP="00B558E4">
      <w:pPr>
        <w:rPr>
          <w:sz w:val="24"/>
          <w:szCs w:val="24"/>
        </w:rPr>
      </w:pPr>
      <w:r>
        <w:rPr>
          <w:sz w:val="24"/>
          <w:szCs w:val="24"/>
        </w:rPr>
        <w:t>Gastrointestinal: Denies swallowing difficulties, abdominal pain, changes in bowel movement, diarrhea, nausea, vomiting, melena, constipation, or hematemesis</w:t>
      </w:r>
    </w:p>
    <w:p w:rsidR="00B558E4" w:rsidRDefault="00B558E4" w:rsidP="00B558E4">
      <w:pPr>
        <w:rPr>
          <w:sz w:val="24"/>
          <w:szCs w:val="24"/>
        </w:rPr>
      </w:pPr>
      <w:r>
        <w:rPr>
          <w:sz w:val="24"/>
          <w:szCs w:val="24"/>
        </w:rPr>
        <w:t>Genitourinary: Reports menorrhagia. Denies nocturia, hesitancy, dysuria, frequency, or hematuria.</w:t>
      </w:r>
    </w:p>
    <w:p w:rsidR="00B558E4" w:rsidRDefault="00B558E4" w:rsidP="00B558E4">
      <w:pPr>
        <w:rPr>
          <w:sz w:val="24"/>
          <w:szCs w:val="24"/>
        </w:rPr>
      </w:pPr>
      <w:r>
        <w:rPr>
          <w:sz w:val="24"/>
          <w:szCs w:val="24"/>
        </w:rPr>
        <w:t>Peripheral Vascular: Denies edema</w:t>
      </w:r>
    </w:p>
    <w:p w:rsidR="00B558E4" w:rsidRDefault="00B558E4" w:rsidP="00B558E4">
      <w:pPr>
        <w:rPr>
          <w:sz w:val="24"/>
          <w:szCs w:val="24"/>
        </w:rPr>
      </w:pPr>
      <w:r>
        <w:rPr>
          <w:sz w:val="24"/>
          <w:szCs w:val="24"/>
        </w:rPr>
        <w:t>Musculoskeletal: Reports menstrual cramps</w:t>
      </w:r>
    </w:p>
    <w:p w:rsidR="00B558E4" w:rsidRDefault="00B558E4" w:rsidP="00B558E4">
      <w:pPr>
        <w:rPr>
          <w:sz w:val="24"/>
          <w:szCs w:val="24"/>
        </w:rPr>
      </w:pPr>
      <w:r>
        <w:rPr>
          <w:sz w:val="24"/>
          <w:szCs w:val="24"/>
        </w:rPr>
        <w:t>Neurologic: Denies seizures, LOC, loss of sensation, changes in cognition, loss of memory, or numbness; reports dizziness</w:t>
      </w:r>
    </w:p>
    <w:p w:rsidR="00B558E4" w:rsidRDefault="00B558E4" w:rsidP="00B558E4">
      <w:pPr>
        <w:rPr>
          <w:sz w:val="24"/>
          <w:szCs w:val="24"/>
        </w:rPr>
      </w:pPr>
      <w:r>
        <w:rPr>
          <w:sz w:val="24"/>
          <w:szCs w:val="24"/>
        </w:rPr>
        <w:t>Hematologic: Negative for hematological conditions</w:t>
      </w:r>
    </w:p>
    <w:p w:rsidR="00B558E4" w:rsidRDefault="00B558E4" w:rsidP="00B558E4">
      <w:pPr>
        <w:rPr>
          <w:sz w:val="24"/>
          <w:szCs w:val="24"/>
        </w:rPr>
      </w:pPr>
      <w:r>
        <w:rPr>
          <w:sz w:val="24"/>
          <w:szCs w:val="24"/>
        </w:rPr>
        <w:t xml:space="preserve">Lymphatic: Denies any history of tenderness </w:t>
      </w:r>
    </w:p>
    <w:p w:rsidR="00B558E4" w:rsidRDefault="00B558E4" w:rsidP="00B558E4">
      <w:pPr>
        <w:rPr>
          <w:sz w:val="24"/>
          <w:szCs w:val="24"/>
        </w:rPr>
      </w:pPr>
      <w:r>
        <w:rPr>
          <w:sz w:val="24"/>
          <w:szCs w:val="24"/>
        </w:rPr>
        <w:t>Endocrine: Denies polyuria, heat/cold intolerance, or skin/hair changes; reports recent changes in thirst</w:t>
      </w:r>
    </w:p>
    <w:p w:rsidR="00B558E4" w:rsidRDefault="00B558E4" w:rsidP="00B558E4">
      <w:pPr>
        <w:tabs>
          <w:tab w:val="left" w:pos="2625"/>
        </w:tabs>
        <w:rPr>
          <w:sz w:val="24"/>
          <w:szCs w:val="24"/>
        </w:rPr>
      </w:pPr>
      <w:r>
        <w:rPr>
          <w:sz w:val="24"/>
          <w:szCs w:val="24"/>
        </w:rPr>
        <w:t>Psychiatric: Reports being anxious from worries about her current condition</w:t>
      </w:r>
      <w:r>
        <w:rPr>
          <w:sz w:val="24"/>
          <w:szCs w:val="24"/>
        </w:rPr>
        <w:tab/>
      </w:r>
    </w:p>
    <w:p w:rsidR="00B558E4" w:rsidRDefault="00B558E4" w:rsidP="00B558E4">
      <w:pPr>
        <w:rPr>
          <w:sz w:val="24"/>
          <w:szCs w:val="24"/>
        </w:rPr>
      </w:pPr>
    </w:p>
    <w:p w:rsidR="00B558E4" w:rsidRDefault="00B558E4" w:rsidP="00B558E4">
      <w:pPr>
        <w:rPr>
          <w:b/>
          <w:bCs/>
          <w:sz w:val="24"/>
          <w:szCs w:val="24"/>
          <w:u w:val="single"/>
        </w:rPr>
      </w:pPr>
      <w:r>
        <w:rPr>
          <w:b/>
          <w:bCs/>
          <w:sz w:val="24"/>
          <w:szCs w:val="24"/>
          <w:u w:val="single"/>
        </w:rPr>
        <w:t>Objective:</w:t>
      </w:r>
    </w:p>
    <w:p w:rsidR="00B558E4" w:rsidRDefault="00B558E4" w:rsidP="00B558E4">
      <w:pPr>
        <w:rPr>
          <w:b/>
          <w:color w:val="FF0000"/>
          <w:sz w:val="24"/>
          <w:szCs w:val="24"/>
        </w:rPr>
      </w:pPr>
      <w:r>
        <w:rPr>
          <w:b/>
          <w:color w:val="FF0000"/>
          <w:sz w:val="24"/>
          <w:szCs w:val="24"/>
        </w:rPr>
        <w:t xml:space="preserve">  </w:t>
      </w:r>
    </w:p>
    <w:p w:rsidR="00B558E4" w:rsidRDefault="00B558E4" w:rsidP="00B558E4">
      <w:pPr>
        <w:rPr>
          <w:b/>
          <w:sz w:val="24"/>
          <w:szCs w:val="24"/>
        </w:rPr>
      </w:pPr>
      <w:r>
        <w:rPr>
          <w:b/>
          <w:sz w:val="24"/>
          <w:szCs w:val="24"/>
        </w:rPr>
        <w:t>Physical Exam:</w:t>
      </w:r>
    </w:p>
    <w:p w:rsidR="00B558E4" w:rsidRDefault="00B558E4" w:rsidP="00B558E4">
      <w:pPr>
        <w:rPr>
          <w:sz w:val="24"/>
          <w:szCs w:val="24"/>
          <w:vertAlign w:val="superscript"/>
        </w:rPr>
      </w:pPr>
      <w:r>
        <w:rPr>
          <w:sz w:val="24"/>
          <w:szCs w:val="24"/>
        </w:rPr>
        <w:t>Vital Signs: Blood Pressure- 115/70   P- 55/min    RR- 22  T- 97°F   Height- 63in   Weight- 185lb    BMI- 32.8 kg/m</w:t>
      </w:r>
      <w:r>
        <w:rPr>
          <w:sz w:val="24"/>
          <w:szCs w:val="24"/>
          <w:vertAlign w:val="superscript"/>
        </w:rPr>
        <w:t>2</w:t>
      </w:r>
    </w:p>
    <w:p w:rsidR="00B558E4" w:rsidRDefault="00B558E4" w:rsidP="00B558E4">
      <w:pPr>
        <w:rPr>
          <w:sz w:val="24"/>
          <w:szCs w:val="24"/>
        </w:rPr>
      </w:pPr>
      <w:r>
        <w:rPr>
          <w:sz w:val="24"/>
          <w:szCs w:val="24"/>
        </w:rPr>
        <w:t>General: Patient is in no acute distress. She is well nourished, well developed, well groomed, with no deformities and normal habitus</w:t>
      </w:r>
    </w:p>
    <w:p w:rsidR="00B558E4" w:rsidRDefault="00B558E4" w:rsidP="00B558E4">
      <w:pPr>
        <w:tabs>
          <w:tab w:val="left" w:pos="1455"/>
        </w:tabs>
        <w:rPr>
          <w:sz w:val="24"/>
          <w:szCs w:val="24"/>
        </w:rPr>
      </w:pPr>
      <w:r>
        <w:rPr>
          <w:sz w:val="24"/>
          <w:szCs w:val="24"/>
        </w:rPr>
        <w:t>Skin: No skin rash, subcutaneous nodules, lesions, or ulcers; normal skin turgor; positive for facial hair, skin tags, and acne</w:t>
      </w:r>
    </w:p>
    <w:p w:rsidR="00B558E4" w:rsidRDefault="00B558E4" w:rsidP="00B558E4">
      <w:pPr>
        <w:rPr>
          <w:sz w:val="24"/>
          <w:szCs w:val="24"/>
        </w:rPr>
      </w:pPr>
      <w:r>
        <w:rPr>
          <w:sz w:val="24"/>
          <w:szCs w:val="24"/>
        </w:rPr>
        <w:t xml:space="preserve">HEENT:  </w:t>
      </w:r>
    </w:p>
    <w:p w:rsidR="00B558E4" w:rsidRDefault="00B558E4" w:rsidP="00B558E4">
      <w:pPr>
        <w:ind w:left="720"/>
        <w:rPr>
          <w:iCs/>
          <w:sz w:val="24"/>
          <w:szCs w:val="24"/>
        </w:rPr>
      </w:pPr>
      <w:r>
        <w:rPr>
          <w:i/>
          <w:sz w:val="24"/>
          <w:szCs w:val="24"/>
        </w:rPr>
        <w:t xml:space="preserve">Head: </w:t>
      </w:r>
      <w:r>
        <w:rPr>
          <w:iCs/>
          <w:sz w:val="24"/>
          <w:szCs w:val="24"/>
        </w:rPr>
        <w:t>Atraumatic, normocephalic</w:t>
      </w:r>
    </w:p>
    <w:p w:rsidR="00B558E4" w:rsidRDefault="00B558E4" w:rsidP="00B558E4">
      <w:pPr>
        <w:ind w:left="720"/>
        <w:rPr>
          <w:iCs/>
          <w:sz w:val="24"/>
          <w:szCs w:val="24"/>
        </w:rPr>
      </w:pPr>
      <w:r>
        <w:rPr>
          <w:i/>
          <w:sz w:val="24"/>
          <w:szCs w:val="24"/>
        </w:rPr>
        <w:t xml:space="preserve">Eyes: </w:t>
      </w:r>
      <w:r>
        <w:rPr>
          <w:iCs/>
          <w:sz w:val="24"/>
          <w:szCs w:val="24"/>
        </w:rPr>
        <w:t>PERLLA, EOMs intact, clear white, no conjunctival injection</w:t>
      </w:r>
    </w:p>
    <w:p w:rsidR="00B558E4" w:rsidRDefault="00B558E4" w:rsidP="00B558E4">
      <w:pPr>
        <w:ind w:left="720"/>
        <w:rPr>
          <w:i/>
          <w:sz w:val="24"/>
          <w:szCs w:val="24"/>
        </w:rPr>
      </w:pPr>
      <w:r>
        <w:rPr>
          <w:i/>
          <w:sz w:val="24"/>
          <w:szCs w:val="24"/>
        </w:rPr>
        <w:t>Ears:</w:t>
      </w:r>
      <w:r>
        <w:rPr>
          <w:iCs/>
          <w:sz w:val="24"/>
          <w:szCs w:val="24"/>
        </w:rPr>
        <w:t xml:space="preserve"> tympanic membranes translucent and pearly gray on otoscopic screen</w:t>
      </w:r>
      <w:r>
        <w:rPr>
          <w:i/>
          <w:sz w:val="24"/>
          <w:szCs w:val="24"/>
        </w:rPr>
        <w:t xml:space="preserve"> </w:t>
      </w:r>
    </w:p>
    <w:p w:rsidR="00B558E4" w:rsidRDefault="00B558E4" w:rsidP="00B558E4">
      <w:pPr>
        <w:ind w:left="720"/>
        <w:rPr>
          <w:iCs/>
          <w:sz w:val="24"/>
          <w:szCs w:val="24"/>
        </w:rPr>
      </w:pPr>
      <w:r>
        <w:rPr>
          <w:i/>
          <w:sz w:val="24"/>
          <w:szCs w:val="24"/>
        </w:rPr>
        <w:t xml:space="preserve">Nose: </w:t>
      </w:r>
      <w:r>
        <w:rPr>
          <w:iCs/>
          <w:sz w:val="24"/>
          <w:szCs w:val="24"/>
        </w:rPr>
        <w:t>Nares patent, nasal mucosa pinkish, no discharge, no tenderness of nasal sinuses on palpation</w:t>
      </w:r>
    </w:p>
    <w:p w:rsidR="00B558E4" w:rsidRDefault="00B558E4" w:rsidP="00B558E4">
      <w:pPr>
        <w:ind w:left="720"/>
        <w:rPr>
          <w:iCs/>
          <w:sz w:val="24"/>
          <w:szCs w:val="24"/>
        </w:rPr>
      </w:pPr>
      <w:r>
        <w:rPr>
          <w:i/>
          <w:sz w:val="24"/>
          <w:szCs w:val="24"/>
        </w:rPr>
        <w:t xml:space="preserve">Throat: </w:t>
      </w:r>
      <w:r>
        <w:rPr>
          <w:iCs/>
          <w:sz w:val="24"/>
          <w:szCs w:val="24"/>
        </w:rPr>
        <w:t>Tonsils 2+ bilaterally</w:t>
      </w:r>
    </w:p>
    <w:p w:rsidR="00B558E4" w:rsidRDefault="00B558E4" w:rsidP="00B558E4">
      <w:pPr>
        <w:rPr>
          <w:sz w:val="24"/>
          <w:szCs w:val="24"/>
        </w:rPr>
      </w:pPr>
      <w:r>
        <w:rPr>
          <w:sz w:val="24"/>
          <w:szCs w:val="24"/>
        </w:rPr>
        <w:t>Neck: Supple, no masses palpated</w:t>
      </w:r>
    </w:p>
    <w:p w:rsidR="00B558E4" w:rsidRDefault="00B558E4" w:rsidP="00B558E4">
      <w:pPr>
        <w:rPr>
          <w:sz w:val="24"/>
          <w:szCs w:val="24"/>
        </w:rPr>
      </w:pPr>
      <w:r>
        <w:rPr>
          <w:sz w:val="24"/>
          <w:szCs w:val="24"/>
        </w:rPr>
        <w:t>Breasts: Deferred</w:t>
      </w:r>
    </w:p>
    <w:p w:rsidR="00B558E4" w:rsidRDefault="00B558E4" w:rsidP="00B558E4">
      <w:pPr>
        <w:rPr>
          <w:sz w:val="24"/>
          <w:szCs w:val="24"/>
        </w:rPr>
      </w:pPr>
      <w:r>
        <w:rPr>
          <w:sz w:val="24"/>
          <w:szCs w:val="24"/>
        </w:rPr>
        <w:t>Lungs: No rhonchi, rales, wheezing, or rubs to auscultation; clear to percussion; no wheezobronchi; posterior chest excusion symmetric</w:t>
      </w:r>
    </w:p>
    <w:p w:rsidR="00B558E4" w:rsidRDefault="00B558E4" w:rsidP="00B558E4">
      <w:pPr>
        <w:rPr>
          <w:sz w:val="24"/>
          <w:szCs w:val="24"/>
        </w:rPr>
      </w:pPr>
      <w:r>
        <w:rPr>
          <w:sz w:val="24"/>
          <w:szCs w:val="24"/>
        </w:rPr>
        <w:t>Heart: Negative for murmur, gallop, ribs, or thrill</w:t>
      </w:r>
    </w:p>
    <w:p w:rsidR="00B558E4" w:rsidRDefault="00B558E4" w:rsidP="00B558E4">
      <w:pPr>
        <w:rPr>
          <w:sz w:val="24"/>
          <w:szCs w:val="24"/>
        </w:rPr>
      </w:pPr>
      <w:r>
        <w:rPr>
          <w:sz w:val="24"/>
          <w:szCs w:val="24"/>
        </w:rPr>
        <w:t>Abdomen: No mass, tenderness, rebound, or organomegaly or suprapubic fullness; normoceptive bowel movement</w:t>
      </w:r>
    </w:p>
    <w:p w:rsidR="00B558E4" w:rsidRDefault="00B558E4" w:rsidP="00B558E4">
      <w:pPr>
        <w:rPr>
          <w:sz w:val="24"/>
          <w:szCs w:val="24"/>
        </w:rPr>
      </w:pPr>
      <w:r>
        <w:rPr>
          <w:sz w:val="24"/>
          <w:szCs w:val="24"/>
        </w:rPr>
        <w:t>Genitourinary: Deferred</w:t>
      </w:r>
    </w:p>
    <w:p w:rsidR="00B558E4" w:rsidRDefault="00B558E4" w:rsidP="00B558E4">
      <w:pPr>
        <w:rPr>
          <w:sz w:val="24"/>
          <w:szCs w:val="24"/>
        </w:rPr>
      </w:pPr>
      <w:r>
        <w:rPr>
          <w:sz w:val="24"/>
          <w:szCs w:val="24"/>
        </w:rPr>
        <w:t>Rectal: Deferred</w:t>
      </w:r>
    </w:p>
    <w:p w:rsidR="00B558E4" w:rsidRDefault="00B558E4" w:rsidP="00B558E4">
      <w:pPr>
        <w:rPr>
          <w:sz w:val="24"/>
          <w:szCs w:val="24"/>
        </w:rPr>
      </w:pPr>
      <w:r>
        <w:rPr>
          <w:sz w:val="24"/>
          <w:szCs w:val="24"/>
        </w:rPr>
        <w:t>Peripheral Vascular: Deferred</w:t>
      </w:r>
    </w:p>
    <w:p w:rsidR="00B558E4" w:rsidRDefault="00B558E4" w:rsidP="00B558E4">
      <w:pPr>
        <w:rPr>
          <w:sz w:val="24"/>
          <w:szCs w:val="24"/>
        </w:rPr>
      </w:pPr>
      <w:r>
        <w:rPr>
          <w:sz w:val="24"/>
          <w:szCs w:val="24"/>
        </w:rPr>
        <w:lastRenderedPageBreak/>
        <w:t>Lymphatic: Deferred</w:t>
      </w:r>
    </w:p>
    <w:p w:rsidR="00B558E4" w:rsidRDefault="00B558E4" w:rsidP="00B558E4">
      <w:pPr>
        <w:rPr>
          <w:sz w:val="24"/>
          <w:szCs w:val="24"/>
        </w:rPr>
      </w:pPr>
      <w:r>
        <w:rPr>
          <w:sz w:val="24"/>
          <w:szCs w:val="24"/>
        </w:rPr>
        <w:t>Extremities: No edema, cyanosis, or clubbing; Active ROM; capillary refill &gt;3 sec; calves are equal in size with negative Hooman’s sign; Bilateral radial pulses 2+</w:t>
      </w:r>
    </w:p>
    <w:p w:rsidR="00B558E4" w:rsidRDefault="00B558E4" w:rsidP="00B558E4">
      <w:pPr>
        <w:rPr>
          <w:sz w:val="24"/>
          <w:szCs w:val="24"/>
        </w:rPr>
      </w:pPr>
      <w:r>
        <w:rPr>
          <w:sz w:val="24"/>
          <w:szCs w:val="24"/>
        </w:rPr>
        <w:t>Musculoskeletal: No atrophy or abnormal movements; positive for pelvic pain</w:t>
      </w:r>
    </w:p>
    <w:p w:rsidR="00B558E4" w:rsidRDefault="00B558E4" w:rsidP="00B558E4">
      <w:pPr>
        <w:rPr>
          <w:sz w:val="24"/>
          <w:szCs w:val="24"/>
        </w:rPr>
      </w:pPr>
      <w:r>
        <w:rPr>
          <w:sz w:val="24"/>
          <w:szCs w:val="24"/>
        </w:rPr>
        <w:t>Neurological: No neurological deficits; no focal motor or sensory deficits noted</w:t>
      </w:r>
    </w:p>
    <w:p w:rsidR="00B558E4" w:rsidRDefault="00B558E4" w:rsidP="00B558E4">
      <w:pPr>
        <w:rPr>
          <w:b/>
          <w:sz w:val="24"/>
          <w:szCs w:val="24"/>
        </w:rPr>
      </w:pPr>
    </w:p>
    <w:p w:rsidR="00CB7425" w:rsidRDefault="00CB7425" w:rsidP="00B558E4">
      <w:pPr>
        <w:rPr>
          <w:b/>
          <w:sz w:val="24"/>
          <w:szCs w:val="24"/>
        </w:rPr>
      </w:pPr>
    </w:p>
    <w:p w:rsidR="00CB7425" w:rsidRDefault="00CB7425" w:rsidP="00B558E4">
      <w:pPr>
        <w:rPr>
          <w:b/>
          <w:sz w:val="24"/>
          <w:szCs w:val="24"/>
        </w:rPr>
      </w:pPr>
    </w:p>
    <w:p w:rsidR="00CB7425" w:rsidRPr="004055A1" w:rsidRDefault="00CB7425" w:rsidP="00CB7425">
      <w:pPr>
        <w:spacing w:line="480" w:lineRule="auto"/>
        <w:rPr>
          <w:b/>
          <w:sz w:val="24"/>
          <w:szCs w:val="24"/>
          <w:u w:val="single"/>
        </w:rPr>
      </w:pPr>
      <w:r w:rsidRPr="004055A1">
        <w:rPr>
          <w:b/>
          <w:sz w:val="24"/>
          <w:szCs w:val="24"/>
          <w:u w:val="single"/>
        </w:rPr>
        <w:t>Assessment:</w:t>
      </w:r>
    </w:p>
    <w:p w:rsidR="00CB7425" w:rsidRPr="004055A1" w:rsidRDefault="00CB7425" w:rsidP="00CB7425">
      <w:pPr>
        <w:spacing w:line="480" w:lineRule="auto"/>
        <w:rPr>
          <w:sz w:val="24"/>
          <w:szCs w:val="24"/>
        </w:rPr>
      </w:pPr>
      <w:r w:rsidRPr="004055A1">
        <w:rPr>
          <w:b/>
          <w:sz w:val="24"/>
          <w:szCs w:val="24"/>
        </w:rPr>
        <w:t xml:space="preserve">Differential Diagnosis Diagnostic Reasoning Exercise: </w:t>
      </w:r>
      <w:r w:rsidRPr="004055A1">
        <w:rPr>
          <w:sz w:val="24"/>
          <w:szCs w:val="24"/>
        </w:rPr>
        <w:t>Minimum of 3 differential diagnoses</w:t>
      </w:r>
    </w:p>
    <w:p w:rsidR="00CB7425" w:rsidRPr="004055A1" w:rsidRDefault="00CB7425" w:rsidP="00CB7425">
      <w:pPr>
        <w:spacing w:line="480" w:lineRule="auto"/>
        <w:rPr>
          <w:b/>
          <w:sz w:val="24"/>
          <w:szCs w:val="24"/>
        </w:rPr>
      </w:pPr>
    </w:p>
    <w:tbl>
      <w:tblPr>
        <w:tblStyle w:val="TableGrid"/>
        <w:tblW w:w="0" w:type="auto"/>
        <w:tblLook w:val="04A0" w:firstRow="1" w:lastRow="0" w:firstColumn="1" w:lastColumn="0" w:noHBand="0" w:noVBand="1"/>
      </w:tblPr>
      <w:tblGrid>
        <w:gridCol w:w="2442"/>
        <w:gridCol w:w="2316"/>
        <w:gridCol w:w="2295"/>
        <w:gridCol w:w="2297"/>
      </w:tblGrid>
      <w:tr w:rsidR="00CB7425" w:rsidRPr="004055A1" w:rsidTr="007A3578">
        <w:tc>
          <w:tcPr>
            <w:tcW w:w="2388" w:type="dxa"/>
          </w:tcPr>
          <w:p w:rsidR="00CB7425" w:rsidRPr="004055A1" w:rsidRDefault="00CB7425" w:rsidP="007A3578">
            <w:pPr>
              <w:spacing w:line="480" w:lineRule="auto"/>
              <w:rPr>
                <w:b/>
                <w:sz w:val="24"/>
                <w:szCs w:val="24"/>
              </w:rPr>
            </w:pPr>
            <w:r w:rsidRPr="004055A1">
              <w:rPr>
                <w:b/>
                <w:sz w:val="24"/>
                <w:szCs w:val="24"/>
              </w:rPr>
              <w:t>Differential Diagnoses</w:t>
            </w:r>
          </w:p>
        </w:tc>
        <w:tc>
          <w:tcPr>
            <w:tcW w:w="2337" w:type="dxa"/>
          </w:tcPr>
          <w:p w:rsidR="00CB7425" w:rsidRPr="004055A1" w:rsidRDefault="00CB7425" w:rsidP="007A3578">
            <w:pPr>
              <w:spacing w:line="480" w:lineRule="auto"/>
              <w:rPr>
                <w:b/>
                <w:sz w:val="24"/>
                <w:szCs w:val="24"/>
              </w:rPr>
            </w:pPr>
            <w:r w:rsidRPr="004055A1">
              <w:rPr>
                <w:b/>
                <w:sz w:val="24"/>
                <w:szCs w:val="24"/>
              </w:rPr>
              <w:t>Pathophysiology</w:t>
            </w:r>
          </w:p>
        </w:tc>
        <w:tc>
          <w:tcPr>
            <w:tcW w:w="2338" w:type="dxa"/>
          </w:tcPr>
          <w:p w:rsidR="00CB7425" w:rsidRPr="004055A1" w:rsidRDefault="00CB7425" w:rsidP="007A3578">
            <w:pPr>
              <w:spacing w:line="480" w:lineRule="auto"/>
              <w:rPr>
                <w:b/>
                <w:sz w:val="24"/>
                <w:szCs w:val="24"/>
              </w:rPr>
            </w:pPr>
            <w:r w:rsidRPr="004055A1">
              <w:rPr>
                <w:b/>
                <w:sz w:val="24"/>
                <w:szCs w:val="24"/>
              </w:rPr>
              <w:t>Pertinent Positives</w:t>
            </w:r>
          </w:p>
        </w:tc>
        <w:tc>
          <w:tcPr>
            <w:tcW w:w="2338" w:type="dxa"/>
          </w:tcPr>
          <w:p w:rsidR="00CB7425" w:rsidRPr="004055A1" w:rsidRDefault="00CB7425" w:rsidP="007A3578">
            <w:pPr>
              <w:spacing w:line="480" w:lineRule="auto"/>
              <w:rPr>
                <w:b/>
                <w:sz w:val="24"/>
                <w:szCs w:val="24"/>
              </w:rPr>
            </w:pPr>
            <w:r w:rsidRPr="004055A1">
              <w:rPr>
                <w:b/>
                <w:sz w:val="24"/>
                <w:szCs w:val="24"/>
              </w:rPr>
              <w:t>Pertinent Negatives</w:t>
            </w:r>
          </w:p>
        </w:tc>
      </w:tr>
      <w:tr w:rsidR="00CB7425" w:rsidRPr="004055A1" w:rsidTr="007A3578">
        <w:tc>
          <w:tcPr>
            <w:tcW w:w="2388" w:type="dxa"/>
          </w:tcPr>
          <w:p w:rsidR="00CB7425" w:rsidRPr="0074193C" w:rsidRDefault="00CB7425" w:rsidP="007A3578">
            <w:pPr>
              <w:pStyle w:val="ListParagraph"/>
              <w:numPr>
                <w:ilvl w:val="0"/>
                <w:numId w:val="2"/>
              </w:numPr>
              <w:spacing w:line="480" w:lineRule="auto"/>
              <w:ind w:left="306"/>
              <w:rPr>
                <w:bCs/>
                <w:sz w:val="24"/>
                <w:szCs w:val="24"/>
              </w:rPr>
            </w:pPr>
            <w:r w:rsidRPr="0074193C">
              <w:rPr>
                <w:bCs/>
                <w:sz w:val="24"/>
                <w:szCs w:val="24"/>
              </w:rPr>
              <w:t>Polycystic ovarian syndrome</w:t>
            </w:r>
          </w:p>
        </w:tc>
        <w:tc>
          <w:tcPr>
            <w:tcW w:w="2337" w:type="dxa"/>
          </w:tcPr>
          <w:p w:rsidR="00CB7425" w:rsidRPr="00206FDA" w:rsidRDefault="00CB7425" w:rsidP="007A3578">
            <w:pPr>
              <w:spacing w:line="480" w:lineRule="auto"/>
              <w:rPr>
                <w:bCs/>
                <w:sz w:val="24"/>
                <w:szCs w:val="24"/>
              </w:rPr>
            </w:pPr>
            <w:r w:rsidRPr="00206FDA">
              <w:rPr>
                <w:bCs/>
                <w:sz w:val="24"/>
                <w:szCs w:val="24"/>
              </w:rPr>
              <w:t xml:space="preserve">The </w:t>
            </w:r>
            <w:r>
              <w:rPr>
                <w:bCs/>
                <w:sz w:val="24"/>
                <w:szCs w:val="24"/>
              </w:rPr>
              <w:t xml:space="preserve">pathophysiology of the disease involves primary defects in the hypothalamic-pituitary axis, ovarian function, and insulin secretion and action (Ndefo et al., 2019). In other words, it presents a phenotype of self-perpetuating cycle of metabolic, neuroendocrine, and </w:t>
            </w:r>
            <w:r>
              <w:rPr>
                <w:bCs/>
                <w:sz w:val="24"/>
                <w:szCs w:val="24"/>
              </w:rPr>
              <w:lastRenderedPageBreak/>
              <w:t xml:space="preserve">ovarian dysfunction by the time of diagnosis (Witchel et al., 2019). Although its cause remains unknown, PCOS is largely linked to obesity and insulin resistance. Ovaries respond to excess insulin production through the production of androgens. Some of the clinical signs include elevated levels of luteinizing hormone and gonadotropin-releasing hormone, with significant muting of follicular-stimulating hormone. </w:t>
            </w:r>
            <w:r>
              <w:rPr>
                <w:bCs/>
                <w:sz w:val="24"/>
                <w:szCs w:val="24"/>
              </w:rPr>
              <w:lastRenderedPageBreak/>
              <w:t xml:space="preserve">The disease starts developing during early puberty years. Presenting symptoms of PCOS include irregular menstrual cycles, hirsutism, pelvic pain, acne, skin tags, acanthosis nigricans, and alopecia (Ndefo et al., 2019). </w:t>
            </w:r>
          </w:p>
        </w:tc>
        <w:tc>
          <w:tcPr>
            <w:tcW w:w="2338" w:type="dxa"/>
          </w:tcPr>
          <w:p w:rsidR="00CB7425" w:rsidRDefault="00CB7425" w:rsidP="007A3578">
            <w:pPr>
              <w:spacing w:line="480" w:lineRule="auto"/>
              <w:rPr>
                <w:bCs/>
                <w:sz w:val="24"/>
                <w:szCs w:val="24"/>
              </w:rPr>
            </w:pPr>
            <w:r>
              <w:rPr>
                <w:bCs/>
                <w:sz w:val="24"/>
                <w:szCs w:val="24"/>
              </w:rPr>
              <w:lastRenderedPageBreak/>
              <w:t>Acne</w:t>
            </w:r>
          </w:p>
          <w:p w:rsidR="00CB7425" w:rsidRDefault="00CB7425" w:rsidP="007A3578">
            <w:pPr>
              <w:spacing w:line="480" w:lineRule="auto"/>
              <w:rPr>
                <w:bCs/>
                <w:sz w:val="24"/>
                <w:szCs w:val="24"/>
              </w:rPr>
            </w:pPr>
            <w:r>
              <w:rPr>
                <w:bCs/>
                <w:sz w:val="24"/>
                <w:szCs w:val="24"/>
              </w:rPr>
              <w:t>Skin tags</w:t>
            </w:r>
          </w:p>
          <w:p w:rsidR="00CB7425" w:rsidRDefault="00CB7425" w:rsidP="007A3578">
            <w:pPr>
              <w:spacing w:line="480" w:lineRule="auto"/>
              <w:rPr>
                <w:bCs/>
                <w:sz w:val="24"/>
                <w:szCs w:val="24"/>
              </w:rPr>
            </w:pPr>
            <w:r>
              <w:rPr>
                <w:bCs/>
                <w:sz w:val="24"/>
                <w:szCs w:val="24"/>
              </w:rPr>
              <w:t>Hirsutism</w:t>
            </w:r>
          </w:p>
          <w:p w:rsidR="00CB7425" w:rsidRDefault="00CB7425" w:rsidP="007A3578">
            <w:pPr>
              <w:spacing w:line="480" w:lineRule="auto"/>
              <w:rPr>
                <w:bCs/>
                <w:sz w:val="24"/>
                <w:szCs w:val="24"/>
              </w:rPr>
            </w:pPr>
            <w:r>
              <w:rPr>
                <w:bCs/>
                <w:sz w:val="24"/>
                <w:szCs w:val="24"/>
              </w:rPr>
              <w:t>Pelvic pain</w:t>
            </w:r>
          </w:p>
          <w:p w:rsidR="00CB7425" w:rsidRDefault="00CB7425" w:rsidP="007A3578">
            <w:pPr>
              <w:spacing w:line="480" w:lineRule="auto"/>
              <w:rPr>
                <w:bCs/>
                <w:sz w:val="24"/>
                <w:szCs w:val="24"/>
              </w:rPr>
            </w:pPr>
            <w:r>
              <w:rPr>
                <w:bCs/>
                <w:sz w:val="24"/>
                <w:szCs w:val="24"/>
              </w:rPr>
              <w:t>Obesity</w:t>
            </w:r>
          </w:p>
          <w:p w:rsidR="00CB7425" w:rsidRPr="006F15AE" w:rsidRDefault="00CB7425" w:rsidP="007A3578">
            <w:pPr>
              <w:spacing w:line="480" w:lineRule="auto"/>
              <w:rPr>
                <w:bCs/>
                <w:sz w:val="24"/>
                <w:szCs w:val="24"/>
              </w:rPr>
            </w:pPr>
            <w:r>
              <w:rPr>
                <w:bCs/>
                <w:sz w:val="24"/>
                <w:szCs w:val="24"/>
              </w:rPr>
              <w:t>Irregular menstrual cycles</w:t>
            </w:r>
          </w:p>
        </w:tc>
        <w:tc>
          <w:tcPr>
            <w:tcW w:w="2338" w:type="dxa"/>
          </w:tcPr>
          <w:p w:rsidR="00CB7425" w:rsidRPr="005C0D4C" w:rsidRDefault="00CB7425" w:rsidP="007A3578">
            <w:pPr>
              <w:spacing w:line="480" w:lineRule="auto"/>
              <w:rPr>
                <w:bCs/>
                <w:sz w:val="24"/>
                <w:szCs w:val="24"/>
              </w:rPr>
            </w:pPr>
            <w:r w:rsidRPr="005C0D4C">
              <w:rPr>
                <w:bCs/>
                <w:sz w:val="24"/>
                <w:szCs w:val="24"/>
              </w:rPr>
              <w:t>Headaches</w:t>
            </w:r>
          </w:p>
        </w:tc>
      </w:tr>
      <w:tr w:rsidR="00CB7425" w:rsidRPr="004055A1" w:rsidTr="007A3578">
        <w:tc>
          <w:tcPr>
            <w:tcW w:w="2388" w:type="dxa"/>
          </w:tcPr>
          <w:p w:rsidR="00CB7425" w:rsidRPr="0074193C" w:rsidRDefault="00CB7425" w:rsidP="007A3578">
            <w:pPr>
              <w:pStyle w:val="ListParagraph"/>
              <w:numPr>
                <w:ilvl w:val="0"/>
                <w:numId w:val="2"/>
              </w:numPr>
              <w:spacing w:line="480" w:lineRule="auto"/>
              <w:ind w:left="306"/>
              <w:rPr>
                <w:bCs/>
                <w:sz w:val="24"/>
                <w:szCs w:val="24"/>
              </w:rPr>
            </w:pPr>
            <w:r>
              <w:rPr>
                <w:bCs/>
                <w:sz w:val="24"/>
                <w:szCs w:val="24"/>
              </w:rPr>
              <w:lastRenderedPageBreak/>
              <w:t>Hyperprolactinemia</w:t>
            </w:r>
          </w:p>
        </w:tc>
        <w:tc>
          <w:tcPr>
            <w:tcW w:w="2337" w:type="dxa"/>
          </w:tcPr>
          <w:p w:rsidR="00CB7425" w:rsidRPr="00206FDA" w:rsidRDefault="00CB7425" w:rsidP="007A3578">
            <w:pPr>
              <w:spacing w:line="480" w:lineRule="auto"/>
              <w:rPr>
                <w:bCs/>
                <w:sz w:val="24"/>
                <w:szCs w:val="24"/>
              </w:rPr>
            </w:pPr>
            <w:r>
              <w:rPr>
                <w:bCs/>
                <w:sz w:val="24"/>
                <w:szCs w:val="24"/>
              </w:rPr>
              <w:t xml:space="preserve">The condition often mimics PCOS through its clinical presentations. For example, the disease is associated with irregular menstrual cycles and excess androgens hat lead to hirsutism (Samperi et al., 2019). </w:t>
            </w:r>
            <w:r>
              <w:rPr>
                <w:bCs/>
                <w:sz w:val="24"/>
                <w:szCs w:val="24"/>
              </w:rPr>
              <w:lastRenderedPageBreak/>
              <w:t xml:space="preserve">Additionally, the disease is associated with frequent occurrence of headaches, visual field defects, milk secretion from the breast, and weak bones (Thapa &amp; Bhusal, 2021).  </w:t>
            </w:r>
          </w:p>
        </w:tc>
        <w:tc>
          <w:tcPr>
            <w:tcW w:w="2338" w:type="dxa"/>
          </w:tcPr>
          <w:p w:rsidR="00CB7425" w:rsidRDefault="00CB7425" w:rsidP="007A3578">
            <w:pPr>
              <w:spacing w:line="480" w:lineRule="auto"/>
              <w:rPr>
                <w:bCs/>
                <w:sz w:val="24"/>
                <w:szCs w:val="24"/>
              </w:rPr>
            </w:pPr>
            <w:r>
              <w:rPr>
                <w:bCs/>
                <w:sz w:val="24"/>
                <w:szCs w:val="24"/>
              </w:rPr>
              <w:lastRenderedPageBreak/>
              <w:t>Irregular menstrual cycles</w:t>
            </w:r>
          </w:p>
          <w:p w:rsidR="00CB7425" w:rsidRDefault="00CB7425" w:rsidP="007A3578">
            <w:pPr>
              <w:spacing w:line="480" w:lineRule="auto"/>
              <w:rPr>
                <w:bCs/>
                <w:sz w:val="24"/>
                <w:szCs w:val="24"/>
              </w:rPr>
            </w:pPr>
            <w:r>
              <w:rPr>
                <w:bCs/>
                <w:sz w:val="24"/>
                <w:szCs w:val="24"/>
              </w:rPr>
              <w:t>Excess androgens</w:t>
            </w:r>
          </w:p>
          <w:p w:rsidR="00CB7425" w:rsidRDefault="00CB7425" w:rsidP="007A3578">
            <w:pPr>
              <w:spacing w:line="480" w:lineRule="auto"/>
              <w:rPr>
                <w:bCs/>
                <w:sz w:val="24"/>
                <w:szCs w:val="24"/>
              </w:rPr>
            </w:pPr>
            <w:r>
              <w:rPr>
                <w:bCs/>
                <w:sz w:val="24"/>
                <w:szCs w:val="24"/>
              </w:rPr>
              <w:t>Headache</w:t>
            </w:r>
          </w:p>
          <w:p w:rsidR="00CB7425" w:rsidRDefault="00CB7425" w:rsidP="007A3578">
            <w:pPr>
              <w:spacing w:line="480" w:lineRule="auto"/>
              <w:rPr>
                <w:bCs/>
                <w:sz w:val="24"/>
                <w:szCs w:val="24"/>
              </w:rPr>
            </w:pPr>
            <w:r>
              <w:rPr>
                <w:bCs/>
                <w:sz w:val="24"/>
                <w:szCs w:val="24"/>
              </w:rPr>
              <w:t xml:space="preserve">Hirsutism </w:t>
            </w:r>
          </w:p>
        </w:tc>
        <w:tc>
          <w:tcPr>
            <w:tcW w:w="2338" w:type="dxa"/>
          </w:tcPr>
          <w:p w:rsidR="00CB7425" w:rsidRDefault="00CB7425" w:rsidP="007A3578">
            <w:pPr>
              <w:spacing w:line="480" w:lineRule="auto"/>
              <w:rPr>
                <w:bCs/>
                <w:sz w:val="24"/>
                <w:szCs w:val="24"/>
              </w:rPr>
            </w:pPr>
            <w:r w:rsidRPr="00650684">
              <w:rPr>
                <w:bCs/>
                <w:sz w:val="24"/>
                <w:szCs w:val="24"/>
              </w:rPr>
              <w:t>Pelvic pain</w:t>
            </w:r>
          </w:p>
          <w:p w:rsidR="00CB7425" w:rsidRPr="00650684" w:rsidRDefault="00CB7425" w:rsidP="007A3578">
            <w:pPr>
              <w:spacing w:line="480" w:lineRule="auto"/>
              <w:rPr>
                <w:bCs/>
                <w:sz w:val="24"/>
                <w:szCs w:val="24"/>
              </w:rPr>
            </w:pPr>
            <w:r>
              <w:rPr>
                <w:bCs/>
                <w:sz w:val="24"/>
                <w:szCs w:val="24"/>
              </w:rPr>
              <w:t xml:space="preserve">Acne </w:t>
            </w:r>
          </w:p>
        </w:tc>
      </w:tr>
      <w:tr w:rsidR="00CB7425" w:rsidRPr="004055A1" w:rsidTr="007A3578">
        <w:tc>
          <w:tcPr>
            <w:tcW w:w="2388" w:type="dxa"/>
          </w:tcPr>
          <w:p w:rsidR="00CB7425" w:rsidRDefault="00CB7425" w:rsidP="007A3578">
            <w:pPr>
              <w:pStyle w:val="ListParagraph"/>
              <w:numPr>
                <w:ilvl w:val="0"/>
                <w:numId w:val="2"/>
              </w:numPr>
              <w:spacing w:line="480" w:lineRule="auto"/>
              <w:ind w:left="306"/>
              <w:rPr>
                <w:bCs/>
                <w:sz w:val="24"/>
                <w:szCs w:val="24"/>
              </w:rPr>
            </w:pPr>
            <w:r>
              <w:rPr>
                <w:bCs/>
                <w:sz w:val="24"/>
                <w:szCs w:val="24"/>
              </w:rPr>
              <w:t>Cushing’s syndrome</w:t>
            </w:r>
          </w:p>
        </w:tc>
        <w:tc>
          <w:tcPr>
            <w:tcW w:w="2337" w:type="dxa"/>
          </w:tcPr>
          <w:p w:rsidR="00CB7425" w:rsidRDefault="00CB7425" w:rsidP="007A3578">
            <w:pPr>
              <w:spacing w:line="480" w:lineRule="auto"/>
              <w:rPr>
                <w:bCs/>
                <w:sz w:val="24"/>
                <w:szCs w:val="24"/>
              </w:rPr>
            </w:pPr>
            <w:r>
              <w:rPr>
                <w:bCs/>
                <w:sz w:val="24"/>
                <w:szCs w:val="24"/>
              </w:rPr>
              <w:t xml:space="preserve">The pathophysiology of Cushing’s syndrome, also called hypercorticolism, is linked to prolonged exposure to high levels of circulating cortisol (Barbot et al., 2019). The disease is categorized into exogenous and endogenous hypercortisolism. </w:t>
            </w:r>
            <w:r>
              <w:rPr>
                <w:bCs/>
                <w:sz w:val="24"/>
                <w:szCs w:val="24"/>
              </w:rPr>
              <w:lastRenderedPageBreak/>
              <w:t xml:space="preserve">Exogenous hypercorticolism emanates from prolonged glucocorticoids use. Conversely, endogenous hypercorticolism emanates from excessive cortisol production by the adrenal glands. High cortisol levels increase gluconeogenesis, glycogenolysis, and increased insulin resistance. Some impressions of the disease include hirsutism, gross trunk obesity with wasting of the limbs, </w:t>
            </w:r>
            <w:r>
              <w:rPr>
                <w:bCs/>
                <w:sz w:val="24"/>
                <w:szCs w:val="24"/>
              </w:rPr>
              <w:lastRenderedPageBreak/>
              <w:t>spontaneous bruising, facial rounding. Common symptoms include lethargy, obesity, depression, hirsutism, hypertension, and irregular menses (Valassi, 2022).</w:t>
            </w:r>
          </w:p>
        </w:tc>
        <w:tc>
          <w:tcPr>
            <w:tcW w:w="2338" w:type="dxa"/>
          </w:tcPr>
          <w:p w:rsidR="00CB7425" w:rsidRDefault="00CB7425" w:rsidP="007A3578">
            <w:pPr>
              <w:spacing w:line="480" w:lineRule="auto"/>
              <w:rPr>
                <w:bCs/>
                <w:sz w:val="24"/>
                <w:szCs w:val="24"/>
              </w:rPr>
            </w:pPr>
            <w:r>
              <w:rPr>
                <w:bCs/>
                <w:sz w:val="24"/>
                <w:szCs w:val="24"/>
              </w:rPr>
              <w:lastRenderedPageBreak/>
              <w:t>Hirsutism</w:t>
            </w:r>
          </w:p>
          <w:p w:rsidR="00CB7425" w:rsidRDefault="00CB7425" w:rsidP="007A3578">
            <w:pPr>
              <w:spacing w:line="480" w:lineRule="auto"/>
              <w:rPr>
                <w:bCs/>
                <w:sz w:val="24"/>
                <w:szCs w:val="24"/>
              </w:rPr>
            </w:pPr>
            <w:r>
              <w:rPr>
                <w:bCs/>
                <w:sz w:val="24"/>
                <w:szCs w:val="24"/>
              </w:rPr>
              <w:t xml:space="preserve">Irregular monthly periods </w:t>
            </w:r>
          </w:p>
          <w:p w:rsidR="00CB7425" w:rsidRDefault="00CB7425" w:rsidP="007A3578">
            <w:pPr>
              <w:spacing w:line="480" w:lineRule="auto"/>
              <w:rPr>
                <w:bCs/>
                <w:sz w:val="24"/>
                <w:szCs w:val="24"/>
              </w:rPr>
            </w:pPr>
            <w:r>
              <w:rPr>
                <w:bCs/>
                <w:sz w:val="24"/>
                <w:szCs w:val="24"/>
              </w:rPr>
              <w:t>Obesity/BMI</w:t>
            </w:r>
          </w:p>
        </w:tc>
        <w:tc>
          <w:tcPr>
            <w:tcW w:w="2338" w:type="dxa"/>
          </w:tcPr>
          <w:p w:rsidR="00CB7425" w:rsidRDefault="00CB7425" w:rsidP="007A3578">
            <w:pPr>
              <w:spacing w:line="480" w:lineRule="auto"/>
              <w:rPr>
                <w:bCs/>
                <w:sz w:val="24"/>
                <w:szCs w:val="24"/>
              </w:rPr>
            </w:pPr>
            <w:r>
              <w:rPr>
                <w:bCs/>
                <w:sz w:val="24"/>
                <w:szCs w:val="24"/>
              </w:rPr>
              <w:t xml:space="preserve">Depression </w:t>
            </w:r>
          </w:p>
          <w:p w:rsidR="00CB7425" w:rsidRDefault="00CB7425" w:rsidP="007A3578">
            <w:pPr>
              <w:spacing w:line="480" w:lineRule="auto"/>
              <w:rPr>
                <w:bCs/>
                <w:sz w:val="24"/>
                <w:szCs w:val="24"/>
              </w:rPr>
            </w:pPr>
            <w:r>
              <w:rPr>
                <w:bCs/>
                <w:sz w:val="24"/>
                <w:szCs w:val="24"/>
              </w:rPr>
              <w:t>Facial rounding</w:t>
            </w:r>
          </w:p>
          <w:p w:rsidR="00CB7425" w:rsidRDefault="00CB7425" w:rsidP="007A3578">
            <w:pPr>
              <w:spacing w:line="480" w:lineRule="auto"/>
              <w:rPr>
                <w:bCs/>
                <w:sz w:val="24"/>
                <w:szCs w:val="24"/>
              </w:rPr>
            </w:pPr>
            <w:r>
              <w:rPr>
                <w:bCs/>
                <w:sz w:val="24"/>
                <w:szCs w:val="24"/>
              </w:rPr>
              <w:t xml:space="preserve">Lethargy </w:t>
            </w:r>
          </w:p>
          <w:p w:rsidR="00CB7425" w:rsidRDefault="00CB7425" w:rsidP="007A3578">
            <w:pPr>
              <w:spacing w:line="480" w:lineRule="auto"/>
              <w:rPr>
                <w:bCs/>
                <w:sz w:val="24"/>
                <w:szCs w:val="24"/>
              </w:rPr>
            </w:pPr>
            <w:r>
              <w:rPr>
                <w:bCs/>
                <w:sz w:val="24"/>
                <w:szCs w:val="24"/>
              </w:rPr>
              <w:t xml:space="preserve">Hypertension </w:t>
            </w:r>
          </w:p>
          <w:p w:rsidR="00CB7425" w:rsidRPr="00650684" w:rsidRDefault="00CB7425" w:rsidP="007A3578">
            <w:pPr>
              <w:spacing w:line="480" w:lineRule="auto"/>
              <w:rPr>
                <w:bCs/>
                <w:sz w:val="24"/>
                <w:szCs w:val="24"/>
              </w:rPr>
            </w:pPr>
            <w:r>
              <w:rPr>
                <w:bCs/>
                <w:sz w:val="24"/>
                <w:szCs w:val="24"/>
              </w:rPr>
              <w:t>Spontaneous bruising</w:t>
            </w:r>
          </w:p>
        </w:tc>
      </w:tr>
    </w:tbl>
    <w:p w:rsidR="00CB7425" w:rsidRDefault="00CB7425" w:rsidP="00CB7425">
      <w:pPr>
        <w:spacing w:line="480" w:lineRule="auto"/>
        <w:rPr>
          <w:sz w:val="24"/>
          <w:szCs w:val="24"/>
        </w:rPr>
      </w:pPr>
    </w:p>
    <w:p w:rsidR="00CB7425" w:rsidRDefault="00CB7425" w:rsidP="00CB7425">
      <w:pPr>
        <w:spacing w:line="480" w:lineRule="auto"/>
        <w:rPr>
          <w:sz w:val="24"/>
          <w:szCs w:val="24"/>
        </w:rPr>
      </w:pPr>
      <w:r>
        <w:rPr>
          <w:sz w:val="24"/>
          <w:szCs w:val="24"/>
        </w:rPr>
        <w:t>The working diagnosis for this patient is polycystic ovarian syndrome (ICD-10 E28.2). PCOS involves a disruption of the hypothalamic-pituitary-ovarian (HPO) axis function, with symptoms of ovulatory dysfunction and androgen excess (Witchel et al., 2019). The patient presents with the typical symptoms that characterize PCOS, including skin tags, pelvic pain, hirsutism, acne, and obesity. Hyperprolactinemia has several symptoms that overlap with PCOS, despite a different pathophysiology. For example, the condition presents with irregular menstrual cycles, excess androgens, and hirsutism (Samperi et al., 2019). However, the condition also presents with headaches but does not cause acne and pelvic pain. Cushing’s syndrome could also present with some of the symptoms, including irregular menstrual cycles, hirsutism, and obesity (Valassi, 2022). Nevertheless, the diagnosis is rules out because of the high likelihood of disease presenting with symptoms such as lethargy, depression, and facial rounding.</w:t>
      </w:r>
    </w:p>
    <w:p w:rsidR="00CB7425" w:rsidRPr="004055A1" w:rsidRDefault="00CB7425" w:rsidP="00CB7425">
      <w:pPr>
        <w:spacing w:line="480" w:lineRule="auto"/>
        <w:rPr>
          <w:sz w:val="24"/>
          <w:szCs w:val="24"/>
        </w:rPr>
      </w:pPr>
    </w:p>
    <w:p w:rsidR="00CB7425" w:rsidRPr="004055A1" w:rsidRDefault="00CB7425" w:rsidP="00CB7425">
      <w:pPr>
        <w:spacing w:line="480" w:lineRule="auto"/>
        <w:rPr>
          <w:b/>
          <w:sz w:val="24"/>
          <w:szCs w:val="24"/>
        </w:rPr>
      </w:pPr>
    </w:p>
    <w:p w:rsidR="00CB7425" w:rsidRDefault="00CB7425" w:rsidP="00CB7425">
      <w:pPr>
        <w:spacing w:line="480" w:lineRule="auto"/>
        <w:rPr>
          <w:b/>
          <w:sz w:val="24"/>
          <w:szCs w:val="24"/>
          <w:u w:val="single"/>
        </w:rPr>
      </w:pPr>
      <w:r w:rsidRPr="004055A1">
        <w:rPr>
          <w:b/>
          <w:sz w:val="24"/>
          <w:szCs w:val="24"/>
          <w:u w:val="single"/>
        </w:rPr>
        <w:lastRenderedPageBreak/>
        <w:t xml:space="preserve">Plan: </w:t>
      </w:r>
    </w:p>
    <w:p w:rsidR="00CB7425" w:rsidRDefault="00CB7425" w:rsidP="00CB7425">
      <w:pPr>
        <w:spacing w:line="480" w:lineRule="auto"/>
        <w:rPr>
          <w:bCs/>
          <w:sz w:val="24"/>
          <w:szCs w:val="24"/>
        </w:rPr>
      </w:pPr>
      <w:r>
        <w:rPr>
          <w:bCs/>
          <w:sz w:val="24"/>
          <w:szCs w:val="24"/>
        </w:rPr>
        <w:t>The case involves a 26-year-old female who presents for a follow-up visit with complaints of tension-type headaches and several other established diseases. On history taking and physical examination, the patient has skin tags, acne, and hirsutism and reports pelvic pain and irregular menstrual cycles. The symptoms are indicative of PCOS, despite overlapping with other diagnoses. The following plan would be implemented to manage the condition</w:t>
      </w:r>
    </w:p>
    <w:p w:rsidR="00CB7425" w:rsidRPr="00D3213B" w:rsidRDefault="00CB7425" w:rsidP="00CB7425">
      <w:pPr>
        <w:spacing w:line="480" w:lineRule="auto"/>
        <w:rPr>
          <w:b/>
          <w:bCs/>
          <w:sz w:val="24"/>
          <w:szCs w:val="24"/>
        </w:rPr>
      </w:pPr>
      <w:r>
        <w:rPr>
          <w:b/>
          <w:bCs/>
          <w:sz w:val="24"/>
          <w:szCs w:val="24"/>
        </w:rPr>
        <w:t>Diagnosis: Polycystic Ovarian Syndrome (ICD-10: E28.2)</w:t>
      </w:r>
    </w:p>
    <w:p w:rsidR="00CB7425" w:rsidRPr="003173A0" w:rsidRDefault="00CB7425" w:rsidP="00CB7425">
      <w:pPr>
        <w:pStyle w:val="ListParagraph"/>
        <w:numPr>
          <w:ilvl w:val="0"/>
          <w:numId w:val="1"/>
        </w:numPr>
        <w:spacing w:line="480" w:lineRule="auto"/>
        <w:outlineLvl w:val="0"/>
        <w:rPr>
          <w:sz w:val="24"/>
          <w:szCs w:val="24"/>
        </w:rPr>
      </w:pPr>
      <w:r w:rsidRPr="003173A0">
        <w:rPr>
          <w:sz w:val="24"/>
          <w:szCs w:val="24"/>
        </w:rPr>
        <w:t>Treatment: The treatment modality for PCOS often starts with healthy lifestyle advice and implementation of non-pharmacological interventions (Sadeghi et al., 2022). According to Witchel et al. (2019), it is essential to use a culturally sensitive and empathetic approach in providing health advice, especially about fertility concerns. Lifestyle modifications, including consuming low-energy diets, would help in weight loss, decreasing hirsutism, and improving menstrual cycles (Fong et al., 2021).</w:t>
      </w:r>
      <w:r w:rsidRPr="003173A0">
        <w:rPr>
          <w:b/>
          <w:bCs/>
          <w:sz w:val="24"/>
          <w:szCs w:val="24"/>
        </w:rPr>
        <w:t xml:space="preserve"> </w:t>
      </w:r>
      <w:r w:rsidRPr="003173A0">
        <w:rPr>
          <w:sz w:val="24"/>
          <w:szCs w:val="24"/>
        </w:rPr>
        <w:t xml:space="preserve">Additionally, physical activity of longer duration, intensity, and frequency is essential for weight management in PCOS (Witchel et al., 2019). At the same time, pharmacological approaches could be used to address some of the symptoms. For example, spironolactone 400 mg PO QD for 4 weeks could be used to address androgen excess and hirsutism (Sadeghi et al., 2022). </w:t>
      </w:r>
    </w:p>
    <w:p w:rsidR="00CB7425" w:rsidRPr="00A63573" w:rsidRDefault="00CB7425" w:rsidP="00CB7425">
      <w:pPr>
        <w:pStyle w:val="ListParagraph"/>
        <w:numPr>
          <w:ilvl w:val="0"/>
          <w:numId w:val="1"/>
        </w:numPr>
        <w:spacing w:line="480" w:lineRule="auto"/>
        <w:outlineLvl w:val="0"/>
        <w:rPr>
          <w:sz w:val="24"/>
          <w:szCs w:val="24"/>
        </w:rPr>
      </w:pPr>
      <w:r w:rsidRPr="004055A1">
        <w:rPr>
          <w:sz w:val="24"/>
          <w:szCs w:val="24"/>
        </w:rPr>
        <w:t>Lab/test</w:t>
      </w:r>
      <w:r>
        <w:rPr>
          <w:sz w:val="24"/>
          <w:szCs w:val="24"/>
        </w:rPr>
        <w:t>: The presenting symptoms do not reveal the need for laboratory test</w:t>
      </w:r>
    </w:p>
    <w:p w:rsidR="00CB7425" w:rsidRPr="00A63573" w:rsidRDefault="00CB7425" w:rsidP="00CB7425">
      <w:pPr>
        <w:pStyle w:val="ListParagraph"/>
        <w:numPr>
          <w:ilvl w:val="0"/>
          <w:numId w:val="1"/>
        </w:numPr>
        <w:spacing w:line="480" w:lineRule="auto"/>
        <w:outlineLvl w:val="0"/>
        <w:rPr>
          <w:sz w:val="24"/>
          <w:szCs w:val="24"/>
        </w:rPr>
      </w:pPr>
      <w:r w:rsidRPr="004055A1">
        <w:rPr>
          <w:sz w:val="24"/>
          <w:szCs w:val="24"/>
        </w:rPr>
        <w:t>Referral</w:t>
      </w:r>
      <w:r>
        <w:rPr>
          <w:sz w:val="24"/>
          <w:szCs w:val="24"/>
        </w:rPr>
        <w:t>: The patient is referred to</w:t>
      </w:r>
      <w:r w:rsidRPr="00A63573">
        <w:rPr>
          <w:sz w:val="24"/>
          <w:szCs w:val="24"/>
        </w:rPr>
        <w:t xml:space="preserve"> an endocrinologist and gynecologist for </w:t>
      </w:r>
      <w:r>
        <w:rPr>
          <w:sz w:val="24"/>
          <w:szCs w:val="24"/>
        </w:rPr>
        <w:t>additional support in managing androgen excess and hirsutism.</w:t>
      </w:r>
    </w:p>
    <w:p w:rsidR="00CB7425" w:rsidRPr="00B00A08" w:rsidRDefault="00CB7425" w:rsidP="00CB7425">
      <w:pPr>
        <w:pStyle w:val="ListParagraph"/>
        <w:numPr>
          <w:ilvl w:val="0"/>
          <w:numId w:val="1"/>
        </w:numPr>
        <w:spacing w:line="480" w:lineRule="auto"/>
        <w:outlineLvl w:val="0"/>
        <w:rPr>
          <w:sz w:val="24"/>
          <w:szCs w:val="24"/>
        </w:rPr>
      </w:pPr>
      <w:r w:rsidRPr="004055A1">
        <w:rPr>
          <w:sz w:val="24"/>
          <w:szCs w:val="24"/>
        </w:rPr>
        <w:lastRenderedPageBreak/>
        <w:t>Education</w:t>
      </w:r>
      <w:r>
        <w:rPr>
          <w:sz w:val="24"/>
          <w:szCs w:val="24"/>
        </w:rPr>
        <w:t xml:space="preserve">: The patient should engage in regular physical activity, take low-salt diets, and increase the consumption of fruits and vegetables for weight loss and management of androgen excess and hirsutism. </w:t>
      </w:r>
    </w:p>
    <w:p w:rsidR="00CB7425" w:rsidRPr="004055A1" w:rsidRDefault="00CB7425" w:rsidP="00CB7425">
      <w:pPr>
        <w:pStyle w:val="ListParagraph"/>
        <w:numPr>
          <w:ilvl w:val="0"/>
          <w:numId w:val="1"/>
        </w:numPr>
        <w:spacing w:line="480" w:lineRule="auto"/>
        <w:outlineLvl w:val="0"/>
        <w:rPr>
          <w:sz w:val="24"/>
          <w:szCs w:val="24"/>
        </w:rPr>
      </w:pPr>
      <w:r w:rsidRPr="004055A1">
        <w:rPr>
          <w:sz w:val="24"/>
          <w:szCs w:val="24"/>
        </w:rPr>
        <w:t>Follow up</w:t>
      </w:r>
      <w:r>
        <w:rPr>
          <w:sz w:val="24"/>
          <w:szCs w:val="24"/>
        </w:rPr>
        <w:t>: F/U in 4 weeks</w:t>
      </w:r>
    </w:p>
    <w:p w:rsidR="00CB7425" w:rsidRDefault="00CB7425" w:rsidP="00CB7425">
      <w:pPr>
        <w:spacing w:line="480" w:lineRule="auto"/>
        <w:rPr>
          <w:b/>
          <w:sz w:val="24"/>
          <w:szCs w:val="24"/>
        </w:rPr>
      </w:pPr>
      <w:r w:rsidRPr="004055A1">
        <w:rPr>
          <w:b/>
          <w:sz w:val="24"/>
          <w:szCs w:val="24"/>
        </w:rPr>
        <w:t xml:space="preserve">Health Maintenance:  </w:t>
      </w:r>
      <w:r>
        <w:rPr>
          <w:bCs/>
          <w:sz w:val="24"/>
          <w:szCs w:val="24"/>
        </w:rPr>
        <w:t>The patient was encouraged to engage in additional physical activity of higher intensity and frequency. Additionally, the patient was advised to consume low-salt diets, fruits, and vegetables.</w:t>
      </w:r>
    </w:p>
    <w:p w:rsidR="00CB7425" w:rsidRPr="005F76CD" w:rsidRDefault="00CB7425" w:rsidP="00CB7425">
      <w:pPr>
        <w:spacing w:line="480" w:lineRule="auto"/>
        <w:rPr>
          <w:bCs/>
          <w:sz w:val="24"/>
          <w:szCs w:val="24"/>
        </w:rPr>
      </w:pPr>
      <w:r w:rsidRPr="004055A1">
        <w:rPr>
          <w:b/>
          <w:sz w:val="24"/>
          <w:szCs w:val="24"/>
        </w:rPr>
        <w:t xml:space="preserve">RTC: </w:t>
      </w:r>
      <w:r>
        <w:rPr>
          <w:b/>
          <w:sz w:val="24"/>
          <w:szCs w:val="24"/>
        </w:rPr>
        <w:t xml:space="preserve"> </w:t>
      </w:r>
      <w:r>
        <w:rPr>
          <w:bCs/>
          <w:sz w:val="24"/>
          <w:szCs w:val="24"/>
        </w:rPr>
        <w:t xml:space="preserve">The patient is discharged with Ibuprofen 400mg to help manage his headaches and </w:t>
      </w:r>
      <w:r>
        <w:rPr>
          <w:sz w:val="24"/>
          <w:szCs w:val="24"/>
        </w:rPr>
        <w:t>s</w:t>
      </w:r>
      <w:r w:rsidRPr="00852C8E">
        <w:rPr>
          <w:sz w:val="24"/>
          <w:szCs w:val="24"/>
        </w:rPr>
        <w:t>pironolactone</w:t>
      </w:r>
      <w:r>
        <w:rPr>
          <w:sz w:val="24"/>
          <w:szCs w:val="24"/>
        </w:rPr>
        <w:t xml:space="preserve"> to manage androgen excess and hirsutism. She is also advised on appropriate use of the medications. </w:t>
      </w:r>
    </w:p>
    <w:p w:rsidR="00CB7425" w:rsidRPr="004055A1" w:rsidRDefault="00CB7425" w:rsidP="00CB7425">
      <w:pPr>
        <w:spacing w:line="480" w:lineRule="auto"/>
        <w:rPr>
          <w:b/>
          <w:sz w:val="24"/>
          <w:szCs w:val="24"/>
        </w:rPr>
      </w:pPr>
    </w:p>
    <w:p w:rsidR="00CB7425" w:rsidRDefault="00CB7425" w:rsidP="00CB7425">
      <w:pPr>
        <w:rPr>
          <w:b/>
          <w:sz w:val="24"/>
          <w:szCs w:val="24"/>
        </w:rPr>
      </w:pPr>
      <w:r>
        <w:rPr>
          <w:b/>
          <w:sz w:val="24"/>
          <w:szCs w:val="24"/>
        </w:rPr>
        <w:br w:type="page"/>
      </w:r>
    </w:p>
    <w:p w:rsidR="00CB7425" w:rsidRDefault="00CB7425" w:rsidP="00CB7425">
      <w:pPr>
        <w:spacing w:line="480" w:lineRule="auto"/>
        <w:jc w:val="center"/>
        <w:rPr>
          <w:b/>
          <w:sz w:val="24"/>
          <w:szCs w:val="24"/>
        </w:rPr>
      </w:pPr>
      <w:r w:rsidRPr="004055A1">
        <w:rPr>
          <w:b/>
          <w:sz w:val="24"/>
          <w:szCs w:val="24"/>
        </w:rPr>
        <w:lastRenderedPageBreak/>
        <w:t>References</w:t>
      </w:r>
    </w:p>
    <w:p w:rsidR="00CB7425" w:rsidRPr="00B010BD" w:rsidRDefault="00CB7425" w:rsidP="00CB7425">
      <w:pPr>
        <w:spacing w:line="480" w:lineRule="auto"/>
        <w:ind w:left="720" w:hanging="720"/>
        <w:rPr>
          <w:color w:val="222222"/>
          <w:sz w:val="24"/>
          <w:szCs w:val="24"/>
          <w:shd w:val="clear" w:color="auto" w:fill="FFFFFF"/>
        </w:rPr>
      </w:pPr>
      <w:r w:rsidRPr="00B010BD">
        <w:rPr>
          <w:color w:val="222222"/>
          <w:sz w:val="24"/>
          <w:szCs w:val="24"/>
          <w:shd w:val="clear" w:color="auto" w:fill="FFFFFF"/>
        </w:rPr>
        <w:t>Barbot, M., Ceccato, F., &amp; Scaroni, C. (2019). The pathophysiology and treatment of hypertension in patients with Cushing's syndrome. </w:t>
      </w:r>
      <w:r w:rsidRPr="00B010BD">
        <w:rPr>
          <w:i/>
          <w:iCs/>
          <w:color w:val="222222"/>
          <w:sz w:val="24"/>
          <w:szCs w:val="24"/>
          <w:shd w:val="clear" w:color="auto" w:fill="FFFFFF"/>
        </w:rPr>
        <w:t>Frontiers in endocrinology</w:t>
      </w:r>
      <w:r w:rsidRPr="00B010BD">
        <w:rPr>
          <w:color w:val="222222"/>
          <w:sz w:val="24"/>
          <w:szCs w:val="24"/>
          <w:shd w:val="clear" w:color="auto" w:fill="FFFFFF"/>
        </w:rPr>
        <w:t>, </w:t>
      </w:r>
      <w:r w:rsidRPr="00B010BD">
        <w:rPr>
          <w:i/>
          <w:iCs/>
          <w:color w:val="222222"/>
          <w:sz w:val="24"/>
          <w:szCs w:val="24"/>
          <w:shd w:val="clear" w:color="auto" w:fill="FFFFFF"/>
        </w:rPr>
        <w:t>10</w:t>
      </w:r>
      <w:r w:rsidRPr="00B010BD">
        <w:rPr>
          <w:color w:val="222222"/>
          <w:sz w:val="24"/>
          <w:szCs w:val="24"/>
          <w:shd w:val="clear" w:color="auto" w:fill="FFFFFF"/>
        </w:rPr>
        <w:t xml:space="preserve">, 321. </w:t>
      </w:r>
      <w:hyperlink r:id="rId5" w:history="1">
        <w:r w:rsidRPr="00B010BD">
          <w:rPr>
            <w:rStyle w:val="Hyperlink"/>
            <w:sz w:val="24"/>
            <w:szCs w:val="24"/>
            <w:shd w:val="clear" w:color="auto" w:fill="FFFFFF"/>
          </w:rPr>
          <w:t>https://www.frontiersin.org/articles/10.3389/fendo.2019.00321/full</w:t>
        </w:r>
      </w:hyperlink>
      <w:r w:rsidRPr="00B010BD">
        <w:rPr>
          <w:color w:val="222222"/>
          <w:sz w:val="24"/>
          <w:szCs w:val="24"/>
          <w:shd w:val="clear" w:color="auto" w:fill="FFFFFF"/>
        </w:rPr>
        <w:t xml:space="preserve"> </w:t>
      </w:r>
    </w:p>
    <w:p w:rsidR="00CB7425" w:rsidRPr="00B010BD" w:rsidRDefault="00CB7425" w:rsidP="00CB7425">
      <w:pPr>
        <w:spacing w:line="480" w:lineRule="auto"/>
        <w:ind w:left="720" w:hanging="720"/>
        <w:rPr>
          <w:sz w:val="24"/>
          <w:szCs w:val="24"/>
        </w:rPr>
      </w:pPr>
      <w:r w:rsidRPr="00B010BD">
        <w:rPr>
          <w:color w:val="222222"/>
          <w:sz w:val="24"/>
          <w:szCs w:val="24"/>
          <w:shd w:val="clear" w:color="auto" w:fill="FFFFFF"/>
        </w:rPr>
        <w:t>Fong, S. L., Douma, A., &amp; Verhaeghe, J. (2021). Implementing the international evidence-based guideline of assessment and management of polycystic ovary syndrome (PCOS): how to achieve weight loss in overweight and obese women with PCOS?. </w:t>
      </w:r>
      <w:r w:rsidRPr="00B010BD">
        <w:rPr>
          <w:i/>
          <w:iCs/>
          <w:color w:val="222222"/>
          <w:sz w:val="24"/>
          <w:szCs w:val="24"/>
          <w:shd w:val="clear" w:color="auto" w:fill="FFFFFF"/>
        </w:rPr>
        <w:t>Journal of Gynecology Obstetrics and Human Reproduction</w:t>
      </w:r>
      <w:r w:rsidRPr="00B010BD">
        <w:rPr>
          <w:color w:val="222222"/>
          <w:sz w:val="24"/>
          <w:szCs w:val="24"/>
          <w:shd w:val="clear" w:color="auto" w:fill="FFFFFF"/>
        </w:rPr>
        <w:t>, </w:t>
      </w:r>
      <w:r w:rsidRPr="00B010BD">
        <w:rPr>
          <w:i/>
          <w:iCs/>
          <w:color w:val="222222"/>
          <w:sz w:val="24"/>
          <w:szCs w:val="24"/>
          <w:shd w:val="clear" w:color="auto" w:fill="FFFFFF"/>
        </w:rPr>
        <w:t>50</w:t>
      </w:r>
      <w:r w:rsidRPr="00B010BD">
        <w:rPr>
          <w:color w:val="222222"/>
          <w:sz w:val="24"/>
          <w:szCs w:val="24"/>
          <w:shd w:val="clear" w:color="auto" w:fill="FFFFFF"/>
        </w:rPr>
        <w:t xml:space="preserve">(6), 101894. </w:t>
      </w:r>
      <w:hyperlink r:id="rId6" w:history="1">
        <w:r w:rsidRPr="00B010BD">
          <w:rPr>
            <w:rStyle w:val="Hyperlink"/>
            <w:sz w:val="24"/>
            <w:szCs w:val="24"/>
            <w:shd w:val="clear" w:color="auto" w:fill="FFFFFF"/>
          </w:rPr>
          <w:t>https://www.sciencedirect.com/science/article/pii/S2468784720302518</w:t>
        </w:r>
      </w:hyperlink>
      <w:r w:rsidRPr="00B010BD">
        <w:rPr>
          <w:color w:val="222222"/>
          <w:sz w:val="24"/>
          <w:szCs w:val="24"/>
          <w:shd w:val="clear" w:color="auto" w:fill="FFFFFF"/>
        </w:rPr>
        <w:t xml:space="preserve"> </w:t>
      </w:r>
    </w:p>
    <w:p w:rsidR="00CB7425" w:rsidRPr="00B010BD" w:rsidRDefault="00CB7425" w:rsidP="00CB7425">
      <w:pPr>
        <w:spacing w:line="480" w:lineRule="auto"/>
        <w:ind w:left="720" w:hanging="720"/>
        <w:rPr>
          <w:sz w:val="24"/>
          <w:szCs w:val="24"/>
        </w:rPr>
      </w:pPr>
      <w:r w:rsidRPr="00B010BD">
        <w:rPr>
          <w:sz w:val="24"/>
          <w:szCs w:val="24"/>
        </w:rPr>
        <w:t xml:space="preserve">Ndefo, U. A., Eaton, A., &amp; Green, M. R. (2019). Polycystic Ovary Syndrome: A Review of Treatment Options With a Focus on Pharmacological Approaches. </w:t>
      </w:r>
      <w:r w:rsidRPr="00B010BD">
        <w:rPr>
          <w:i/>
          <w:iCs/>
          <w:sz w:val="24"/>
          <w:szCs w:val="24"/>
        </w:rPr>
        <w:t>Pharmacy and Therapeutics</w:t>
      </w:r>
      <w:r w:rsidRPr="00B010BD">
        <w:rPr>
          <w:sz w:val="24"/>
          <w:szCs w:val="24"/>
        </w:rPr>
        <w:t xml:space="preserve">, </w:t>
      </w:r>
      <w:r w:rsidRPr="00B010BD">
        <w:rPr>
          <w:i/>
          <w:iCs/>
          <w:sz w:val="24"/>
          <w:szCs w:val="24"/>
        </w:rPr>
        <w:t>38</w:t>
      </w:r>
      <w:r w:rsidRPr="00B010BD">
        <w:rPr>
          <w:sz w:val="24"/>
          <w:szCs w:val="24"/>
        </w:rPr>
        <w:t xml:space="preserve">(6), 336. </w:t>
      </w:r>
      <w:hyperlink r:id="rId7" w:history="1">
        <w:r w:rsidRPr="00B010BD">
          <w:rPr>
            <w:rStyle w:val="Hyperlink"/>
            <w:sz w:val="24"/>
            <w:szCs w:val="24"/>
          </w:rPr>
          <w:t>https://www.ncbi.nlm.nih.gov/pmc/articles/PMC3737989/</w:t>
        </w:r>
      </w:hyperlink>
      <w:r w:rsidRPr="00B010BD">
        <w:rPr>
          <w:sz w:val="24"/>
          <w:szCs w:val="24"/>
        </w:rPr>
        <w:t xml:space="preserve">  </w:t>
      </w:r>
    </w:p>
    <w:p w:rsidR="00CB7425" w:rsidRPr="00B010BD" w:rsidRDefault="00CB7425" w:rsidP="00CB7425">
      <w:pPr>
        <w:spacing w:line="480" w:lineRule="auto"/>
        <w:ind w:left="720" w:hanging="720"/>
        <w:rPr>
          <w:sz w:val="24"/>
          <w:szCs w:val="24"/>
        </w:rPr>
      </w:pPr>
      <w:r w:rsidRPr="00B010BD">
        <w:rPr>
          <w:sz w:val="24"/>
          <w:szCs w:val="24"/>
        </w:rPr>
        <w:t xml:space="preserve">Sadeghi, H. M., Adeli, I., Calina, D., Docea, A. O., Mousavi, T., Daniali, M., Nikfar, S., Tsatsakis, A., &amp; Abdollahi, M. (2022). Polycystic Ovary Syndrome: A Comprehensive Review of Pathogenesis, Management, and Drug Repurposing. </w:t>
      </w:r>
      <w:r w:rsidRPr="00B010BD">
        <w:rPr>
          <w:i/>
          <w:iCs/>
          <w:sz w:val="24"/>
          <w:szCs w:val="24"/>
        </w:rPr>
        <w:t>International Journal of Molecular Sciences</w:t>
      </w:r>
      <w:r w:rsidRPr="00B010BD">
        <w:rPr>
          <w:sz w:val="24"/>
          <w:szCs w:val="24"/>
        </w:rPr>
        <w:t xml:space="preserve">, </w:t>
      </w:r>
      <w:r w:rsidRPr="00B010BD">
        <w:rPr>
          <w:i/>
          <w:iCs/>
          <w:sz w:val="24"/>
          <w:szCs w:val="24"/>
        </w:rPr>
        <w:t>23</w:t>
      </w:r>
      <w:r w:rsidRPr="00B010BD">
        <w:rPr>
          <w:sz w:val="24"/>
          <w:szCs w:val="24"/>
        </w:rPr>
        <w:t xml:space="preserve">(2). </w:t>
      </w:r>
      <w:hyperlink r:id="rId8" w:history="1">
        <w:r w:rsidRPr="00B010BD">
          <w:rPr>
            <w:rStyle w:val="Hyperlink"/>
            <w:sz w:val="24"/>
            <w:szCs w:val="24"/>
          </w:rPr>
          <w:t>https://doi.org/10.3390/ijms23020583</w:t>
        </w:r>
      </w:hyperlink>
      <w:r w:rsidRPr="00B010BD">
        <w:rPr>
          <w:sz w:val="24"/>
          <w:szCs w:val="24"/>
        </w:rPr>
        <w:t xml:space="preserve"> </w:t>
      </w:r>
    </w:p>
    <w:p w:rsidR="00CB7425" w:rsidRPr="00B010BD" w:rsidRDefault="00CB7425" w:rsidP="00CB7425">
      <w:pPr>
        <w:spacing w:line="480" w:lineRule="auto"/>
        <w:ind w:left="720" w:hanging="720"/>
        <w:rPr>
          <w:sz w:val="24"/>
          <w:szCs w:val="24"/>
        </w:rPr>
      </w:pPr>
      <w:r w:rsidRPr="00B010BD">
        <w:rPr>
          <w:sz w:val="24"/>
          <w:szCs w:val="24"/>
        </w:rPr>
        <w:t xml:space="preserve">Samperi, I., Lithgow, K., &amp; Karavitaki, N. (2019). Hyperprolactinaemia. </w:t>
      </w:r>
      <w:r w:rsidRPr="00B010BD">
        <w:rPr>
          <w:i/>
          <w:iCs/>
          <w:sz w:val="24"/>
          <w:szCs w:val="24"/>
        </w:rPr>
        <w:t>Journal of Clinical Medicine</w:t>
      </w:r>
      <w:r w:rsidRPr="00B010BD">
        <w:rPr>
          <w:sz w:val="24"/>
          <w:szCs w:val="24"/>
        </w:rPr>
        <w:t xml:space="preserve">, </w:t>
      </w:r>
      <w:r w:rsidRPr="00B010BD">
        <w:rPr>
          <w:i/>
          <w:iCs/>
          <w:sz w:val="24"/>
          <w:szCs w:val="24"/>
        </w:rPr>
        <w:t>8</w:t>
      </w:r>
      <w:r w:rsidRPr="00B010BD">
        <w:rPr>
          <w:sz w:val="24"/>
          <w:szCs w:val="24"/>
        </w:rPr>
        <w:t xml:space="preserve">(12). </w:t>
      </w:r>
      <w:hyperlink r:id="rId9" w:history="1">
        <w:r w:rsidRPr="00B010BD">
          <w:rPr>
            <w:rStyle w:val="Hyperlink"/>
            <w:sz w:val="24"/>
            <w:szCs w:val="24"/>
          </w:rPr>
          <w:t>https://doi.org/10.3390/jcm8122203</w:t>
        </w:r>
      </w:hyperlink>
    </w:p>
    <w:p w:rsidR="00CB7425" w:rsidRPr="00B010BD" w:rsidRDefault="00CB7425" w:rsidP="00CB7425">
      <w:pPr>
        <w:spacing w:line="480" w:lineRule="auto"/>
        <w:ind w:left="720" w:hanging="720"/>
        <w:rPr>
          <w:color w:val="222222"/>
          <w:sz w:val="24"/>
          <w:szCs w:val="24"/>
          <w:shd w:val="clear" w:color="auto" w:fill="FFFFFF"/>
        </w:rPr>
      </w:pPr>
      <w:r w:rsidRPr="00B010BD">
        <w:rPr>
          <w:color w:val="222222"/>
          <w:sz w:val="24"/>
          <w:szCs w:val="24"/>
          <w:shd w:val="clear" w:color="auto" w:fill="FFFFFF"/>
        </w:rPr>
        <w:t>Thapa, S., &amp; Bhusal, K. (2021). Hyperprolactinemia. In </w:t>
      </w:r>
      <w:r w:rsidRPr="00B010BD">
        <w:rPr>
          <w:i/>
          <w:iCs/>
          <w:color w:val="222222"/>
          <w:sz w:val="24"/>
          <w:szCs w:val="24"/>
          <w:shd w:val="clear" w:color="auto" w:fill="FFFFFF"/>
        </w:rPr>
        <w:t>StatPearls [Internet]</w:t>
      </w:r>
      <w:r w:rsidRPr="00B010BD">
        <w:rPr>
          <w:color w:val="222222"/>
          <w:sz w:val="24"/>
          <w:szCs w:val="24"/>
          <w:shd w:val="clear" w:color="auto" w:fill="FFFFFF"/>
        </w:rPr>
        <w:t xml:space="preserve">. StatPearls Publishing. </w:t>
      </w:r>
      <w:hyperlink r:id="rId10" w:history="1">
        <w:r w:rsidRPr="00B010BD">
          <w:rPr>
            <w:rStyle w:val="Hyperlink"/>
            <w:sz w:val="24"/>
            <w:szCs w:val="24"/>
            <w:shd w:val="clear" w:color="auto" w:fill="FFFFFF"/>
          </w:rPr>
          <w:t>https://www.ncbi.nlm.nih.gov/books/NBK537331/</w:t>
        </w:r>
      </w:hyperlink>
    </w:p>
    <w:p w:rsidR="00CB7425" w:rsidRPr="00B010BD" w:rsidRDefault="00CB7425" w:rsidP="00CB7425">
      <w:pPr>
        <w:spacing w:line="480" w:lineRule="auto"/>
        <w:ind w:left="720" w:hanging="720"/>
        <w:rPr>
          <w:sz w:val="24"/>
          <w:szCs w:val="24"/>
        </w:rPr>
      </w:pPr>
      <w:r w:rsidRPr="00B010BD">
        <w:rPr>
          <w:color w:val="222222"/>
          <w:sz w:val="24"/>
          <w:szCs w:val="24"/>
          <w:shd w:val="clear" w:color="auto" w:fill="FFFFFF"/>
        </w:rPr>
        <w:t>Valassi, E. (2022). Clinical presentation and etiology of Cushing's syndrome: Data from ERCUSYN. </w:t>
      </w:r>
      <w:r w:rsidRPr="00B010BD">
        <w:rPr>
          <w:i/>
          <w:iCs/>
          <w:color w:val="222222"/>
          <w:sz w:val="24"/>
          <w:szCs w:val="24"/>
          <w:shd w:val="clear" w:color="auto" w:fill="FFFFFF"/>
        </w:rPr>
        <w:t>Journal of Neuroendocrinology</w:t>
      </w:r>
      <w:r w:rsidRPr="00B010BD">
        <w:rPr>
          <w:color w:val="222222"/>
          <w:sz w:val="24"/>
          <w:szCs w:val="24"/>
          <w:shd w:val="clear" w:color="auto" w:fill="FFFFFF"/>
        </w:rPr>
        <w:t>, </w:t>
      </w:r>
      <w:r w:rsidRPr="00B010BD">
        <w:rPr>
          <w:i/>
          <w:iCs/>
          <w:color w:val="222222"/>
          <w:sz w:val="24"/>
          <w:szCs w:val="24"/>
          <w:shd w:val="clear" w:color="auto" w:fill="FFFFFF"/>
        </w:rPr>
        <w:t>34</w:t>
      </w:r>
      <w:r w:rsidRPr="00B010BD">
        <w:rPr>
          <w:color w:val="222222"/>
          <w:sz w:val="24"/>
          <w:szCs w:val="24"/>
          <w:shd w:val="clear" w:color="auto" w:fill="FFFFFF"/>
        </w:rPr>
        <w:t xml:space="preserve">(8), e13114. </w:t>
      </w:r>
      <w:hyperlink r:id="rId11" w:history="1">
        <w:r w:rsidRPr="00B010BD">
          <w:rPr>
            <w:rStyle w:val="Hyperlink"/>
            <w:sz w:val="24"/>
            <w:szCs w:val="24"/>
            <w:shd w:val="clear" w:color="auto" w:fill="FFFFFF"/>
          </w:rPr>
          <w:t>https://onlinelibrary.wiley.com/doi/abs/10.1111/jne.13114</w:t>
        </w:r>
      </w:hyperlink>
      <w:r w:rsidRPr="00B010BD">
        <w:rPr>
          <w:color w:val="222222"/>
          <w:sz w:val="24"/>
          <w:szCs w:val="24"/>
          <w:shd w:val="clear" w:color="auto" w:fill="FFFFFF"/>
        </w:rPr>
        <w:t xml:space="preserve"> </w:t>
      </w:r>
    </w:p>
    <w:p w:rsidR="00CB7425" w:rsidRPr="00B010BD" w:rsidRDefault="00CB7425" w:rsidP="00CB7425">
      <w:pPr>
        <w:spacing w:line="480" w:lineRule="auto"/>
        <w:ind w:left="720" w:hanging="720"/>
        <w:rPr>
          <w:sz w:val="24"/>
          <w:szCs w:val="24"/>
        </w:rPr>
      </w:pPr>
      <w:r w:rsidRPr="00B010BD">
        <w:rPr>
          <w:sz w:val="24"/>
          <w:szCs w:val="24"/>
        </w:rPr>
        <w:lastRenderedPageBreak/>
        <w:t xml:space="preserve">Witchel, S. F., Oberfield, S. E., &amp; Peña, A. S. (2019). Polycystic Ovary Syndrome: Pathophysiology, Presentation, and Treatment With Emphasis on Adolescent Girls. </w:t>
      </w:r>
      <w:r w:rsidRPr="00B010BD">
        <w:rPr>
          <w:i/>
          <w:iCs/>
          <w:sz w:val="24"/>
          <w:szCs w:val="24"/>
        </w:rPr>
        <w:t>Journal of the Endocrine Society</w:t>
      </w:r>
      <w:r w:rsidRPr="00B010BD">
        <w:rPr>
          <w:sz w:val="24"/>
          <w:szCs w:val="24"/>
        </w:rPr>
        <w:t xml:space="preserve">, </w:t>
      </w:r>
      <w:r w:rsidRPr="00B010BD">
        <w:rPr>
          <w:i/>
          <w:iCs/>
          <w:sz w:val="24"/>
          <w:szCs w:val="24"/>
        </w:rPr>
        <w:t>3</w:t>
      </w:r>
      <w:r w:rsidRPr="00B010BD">
        <w:rPr>
          <w:sz w:val="24"/>
          <w:szCs w:val="24"/>
        </w:rPr>
        <w:t xml:space="preserve">(8), 1545-1573. </w:t>
      </w:r>
      <w:hyperlink r:id="rId12" w:history="1">
        <w:r w:rsidRPr="00B010BD">
          <w:rPr>
            <w:rStyle w:val="Hyperlink"/>
            <w:sz w:val="24"/>
            <w:szCs w:val="24"/>
          </w:rPr>
          <w:t>https://doi.org/10.1210/js.2019-00078</w:t>
        </w:r>
      </w:hyperlink>
      <w:r w:rsidRPr="00B010BD">
        <w:rPr>
          <w:sz w:val="24"/>
          <w:szCs w:val="24"/>
        </w:rPr>
        <w:t xml:space="preserve"> </w:t>
      </w:r>
    </w:p>
    <w:p w:rsidR="00CB7425" w:rsidRDefault="00CB7425" w:rsidP="00B558E4">
      <w:pPr>
        <w:rPr>
          <w:b/>
          <w:sz w:val="24"/>
          <w:szCs w:val="24"/>
        </w:rPr>
      </w:pPr>
    </w:p>
    <w:p w:rsidR="00B558E4" w:rsidRDefault="00B558E4" w:rsidP="00B558E4">
      <w:pPr>
        <w:ind w:left="720" w:hanging="720"/>
        <w:rPr>
          <w:sz w:val="24"/>
          <w:szCs w:val="24"/>
        </w:rPr>
      </w:pPr>
    </w:p>
    <w:p w:rsidR="001F3133" w:rsidRDefault="001F3133"/>
    <w:sectPr w:rsidR="001F3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B666F"/>
    <w:multiLevelType w:val="hybridMultilevel"/>
    <w:tmpl w:val="DA80FB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D4C47EA"/>
    <w:multiLevelType w:val="hybridMultilevel"/>
    <w:tmpl w:val="1F7C4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718531">
    <w:abstractNumId w:val="1"/>
  </w:num>
  <w:num w:numId="2" w16cid:durableId="100848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E4"/>
    <w:rsid w:val="001F3133"/>
    <w:rsid w:val="00B558E4"/>
    <w:rsid w:val="00CB7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2DCD"/>
  <w15:chartTrackingRefBased/>
  <w15:docId w15:val="{34276521-9222-4421-966A-2C2E26808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8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425"/>
    <w:pPr>
      <w:spacing w:after="200" w:line="276" w:lineRule="auto"/>
      <w:ind w:left="720"/>
      <w:contextualSpacing/>
    </w:pPr>
  </w:style>
  <w:style w:type="character" w:styleId="Hyperlink">
    <w:name w:val="Hyperlink"/>
    <w:basedOn w:val="DefaultParagraphFont"/>
    <w:uiPriority w:val="99"/>
    <w:unhideWhenUsed/>
    <w:rsid w:val="00CB7425"/>
    <w:rPr>
      <w:color w:val="0563C1" w:themeColor="hyperlink"/>
      <w:u w:val="single"/>
    </w:rPr>
  </w:style>
  <w:style w:type="table" w:styleId="TableGrid">
    <w:name w:val="Table Grid"/>
    <w:basedOn w:val="TableNormal"/>
    <w:uiPriority w:val="59"/>
    <w:rsid w:val="00CB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36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30205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3737989/" TargetMode="External"/><Relationship Id="rId12" Type="http://schemas.openxmlformats.org/officeDocument/2006/relationships/hyperlink" Target="https://doi.org/10.1210/js.2019-000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2468784720302518" TargetMode="External"/><Relationship Id="rId11" Type="http://schemas.openxmlformats.org/officeDocument/2006/relationships/hyperlink" Target="https://onlinelibrary.wiley.com/doi/abs/10.1111/jne.13114" TargetMode="External"/><Relationship Id="rId5" Type="http://schemas.openxmlformats.org/officeDocument/2006/relationships/hyperlink" Target="https://www.frontiersin.org/articles/10.3389/fendo.2019.00321/full" TargetMode="External"/><Relationship Id="rId10" Type="http://schemas.openxmlformats.org/officeDocument/2006/relationships/hyperlink" Target="https://www.ncbi.nlm.nih.gov/books/NBK537331/" TargetMode="External"/><Relationship Id="rId4" Type="http://schemas.openxmlformats.org/officeDocument/2006/relationships/webSettings" Target="webSettings.xml"/><Relationship Id="rId9" Type="http://schemas.openxmlformats.org/officeDocument/2006/relationships/hyperlink" Target="https://doi.org/10.3390/jcm812220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2080</Words>
  <Characters>11860</Characters>
  <Application>Microsoft Office Word</Application>
  <DocSecurity>0</DocSecurity>
  <Lines>98</Lines>
  <Paragraphs>27</Paragraphs>
  <ScaleCrop>false</ScaleCrop>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Ruvinov</dc:creator>
  <cp:keywords/>
  <dc:description/>
  <cp:lastModifiedBy>Roger Ruvinov</cp:lastModifiedBy>
  <cp:revision>3</cp:revision>
  <dcterms:created xsi:type="dcterms:W3CDTF">2023-02-15T14:56:00Z</dcterms:created>
  <dcterms:modified xsi:type="dcterms:W3CDTF">2023-02-15T15:01:00Z</dcterms:modified>
</cp:coreProperties>
</file>