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7284" w14:textId="77777777" w:rsidR="003413BC" w:rsidRPr="003413BC" w:rsidRDefault="003413BC" w:rsidP="003413B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22222"/>
          <w:sz w:val="27"/>
          <w:szCs w:val="27"/>
        </w:rPr>
      </w:pPr>
      <w:r w:rsidRPr="003413BC">
        <w:rPr>
          <w:rFonts w:ascii="Helvetica" w:eastAsia="Times New Roman" w:hAnsi="Helvetica" w:cs="Helvetica"/>
          <w:b/>
          <w:bCs/>
          <w:color w:val="222222"/>
          <w:sz w:val="27"/>
          <w:szCs w:val="27"/>
        </w:rPr>
        <w:fldChar w:fldCharType="begin"/>
      </w:r>
      <w:r w:rsidRPr="003413BC">
        <w:rPr>
          <w:rFonts w:ascii="Helvetica" w:eastAsia="Times New Roman" w:hAnsi="Helvetica" w:cs="Helvetica"/>
          <w:b/>
          <w:bCs/>
          <w:color w:val="222222"/>
          <w:sz w:val="27"/>
          <w:szCs w:val="27"/>
        </w:rPr>
        <w:instrText xml:space="preserve"> HYPERLINK "https://waldenu.instructure.com/courses/52343/pages/week-5-learning-resources?module_item_id=1074781" \l "kl_panel_0" \t "_blank" </w:instrText>
      </w:r>
      <w:r w:rsidRPr="003413BC">
        <w:rPr>
          <w:rFonts w:ascii="Helvetica" w:eastAsia="Times New Roman" w:hAnsi="Helvetica" w:cs="Helvetica"/>
          <w:b/>
          <w:bCs/>
          <w:color w:val="222222"/>
          <w:sz w:val="27"/>
          <w:szCs w:val="27"/>
        </w:rPr>
        <w:fldChar w:fldCharType="separate"/>
      </w:r>
      <w:r w:rsidRPr="003413BC">
        <w:rPr>
          <w:rFonts w:ascii="Helvetica" w:eastAsia="Times New Roman" w:hAnsi="Helvetica" w:cs="Helvetica"/>
          <w:color w:val="1155CC"/>
          <w:sz w:val="27"/>
          <w:szCs w:val="27"/>
          <w:u w:val="single"/>
        </w:rPr>
        <w:t>Required Readings</w:t>
      </w:r>
      <w:r w:rsidRPr="003413BC">
        <w:rPr>
          <w:rFonts w:ascii="Helvetica" w:eastAsia="Times New Roman" w:hAnsi="Helvetica" w:cs="Helvetica"/>
          <w:b/>
          <w:bCs/>
          <w:color w:val="222222"/>
          <w:sz w:val="27"/>
          <w:szCs w:val="27"/>
        </w:rPr>
        <w:fldChar w:fldCharType="end"/>
      </w:r>
    </w:p>
    <w:p w14:paraId="0C851084" w14:textId="77777777" w:rsidR="003413BC" w:rsidRPr="003413BC" w:rsidRDefault="003413BC" w:rsidP="003413B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13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Gray, J. R., &amp; Grove, S. K. (2020). </w:t>
      </w:r>
      <w:r w:rsidRPr="003413BC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Burns and Grove’s the practice of nursing research: Appraisal, synthesis, and generation of evidence</w:t>
      </w:r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 (9th ed.). Elsevier.</w:t>
      </w:r>
    </w:p>
    <w:p w14:paraId="67D75445" w14:textId="77777777" w:rsidR="003413BC" w:rsidRPr="003413BC" w:rsidRDefault="003413BC" w:rsidP="003413BC">
      <w:pPr>
        <w:numPr>
          <w:ilvl w:val="0"/>
          <w:numId w:val="2"/>
        </w:numPr>
        <w:shd w:val="clear" w:color="auto" w:fill="FFFFFF"/>
        <w:spacing w:after="0" w:line="240" w:lineRule="auto"/>
        <w:ind w:left="2415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4AC8BD5F" w14:textId="77777777" w:rsidR="003413BC" w:rsidRPr="003413BC" w:rsidRDefault="003413BC" w:rsidP="003413BC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6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Chapter 25, “Using Statistics to Determine Differences” (pp. 687–698)</w:t>
      </w:r>
    </w:p>
    <w:p w14:paraId="1215CB58" w14:textId="77777777" w:rsidR="003413BC" w:rsidRPr="003413BC" w:rsidRDefault="003413BC" w:rsidP="003413BC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13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Donovan, L. M., &amp; Payne, C. L. (2021). </w:t>
      </w:r>
      <w:hyperlink r:id="rId5" w:tgtFrame="_blank" w:history="1"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 xml:space="preserve">Organizational commitment of nurse faculty teaching in accelerated baccalaureate nursing </w:t>
        </w:r>
        <w:proofErr w:type="spellStart"/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>programs.</w:t>
        </w:r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  <w:bdr w:val="none" w:sz="0" w:space="0" w:color="auto" w:frame="1"/>
          </w:rPr>
          <w:t>Links</w:t>
        </w:r>
        <w:proofErr w:type="spellEnd"/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  <w:bdr w:val="none" w:sz="0" w:space="0" w:color="auto" w:frame="1"/>
          </w:rPr>
          <w:t xml:space="preserve"> to an external site.</w:t>
        </w:r>
      </w:hyperlink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 xml:space="preserve"> Nursing Education Perspectives,42(2), 81–86. </w:t>
      </w:r>
      <w:proofErr w:type="gramStart"/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doi:10.1097/01.NEP</w:t>
      </w:r>
      <w:proofErr w:type="gramEnd"/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.0000000000000764</w:t>
      </w:r>
    </w:p>
    <w:p w14:paraId="69269CAC" w14:textId="77777777" w:rsidR="003413BC" w:rsidRPr="003413BC" w:rsidRDefault="003413BC" w:rsidP="003413BC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13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Gray, J. A., &amp; Kim, J. (2020). </w:t>
      </w:r>
      <w:hyperlink r:id="rId6" w:tgtFrame="_blank" w:history="1"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 xml:space="preserve">Palliative care needs of direct care workers caring for people with intellectual and developmental </w:t>
        </w:r>
        <w:proofErr w:type="spellStart"/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>disabilities</w:t>
        </w:r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  <w:bdr w:val="none" w:sz="0" w:space="0" w:color="auto" w:frame="1"/>
          </w:rPr>
          <w:t>Links</w:t>
        </w:r>
        <w:proofErr w:type="spellEnd"/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  <w:bdr w:val="none" w:sz="0" w:space="0" w:color="auto" w:frame="1"/>
          </w:rPr>
          <w:t xml:space="preserve"> to an external site.</w:t>
        </w:r>
      </w:hyperlink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. </w:t>
      </w:r>
      <w:r w:rsidRPr="003413BC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British Journal of Learning Disabilities, </w:t>
      </w:r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48(1), 69–77. doi:10.1111/bld.12318</w:t>
      </w:r>
    </w:p>
    <w:p w14:paraId="09556B0C" w14:textId="77777777" w:rsidR="003413BC" w:rsidRPr="003413BC" w:rsidRDefault="003413BC" w:rsidP="003413BC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13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Hilvert, E., Hoover, J., Sterling, A., &amp; Schroeder, S. (2020). </w:t>
      </w:r>
      <w:hyperlink r:id="rId7" w:tgtFrame="_blank" w:history="1"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 xml:space="preserve">Comparing tense and agreement productivity in boys with fragile X syndrome, children with developmental language disorder, and children with typical </w:t>
        </w:r>
        <w:proofErr w:type="spellStart"/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>development</w:t>
        </w:r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  <w:bdr w:val="none" w:sz="0" w:space="0" w:color="auto" w:frame="1"/>
          </w:rPr>
          <w:t>Links</w:t>
        </w:r>
        <w:proofErr w:type="spellEnd"/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  <w:bdr w:val="none" w:sz="0" w:space="0" w:color="auto" w:frame="1"/>
          </w:rPr>
          <w:t xml:space="preserve"> to an external site.</w:t>
        </w:r>
      </w:hyperlink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.</w:t>
      </w:r>
      <w:r w:rsidRPr="003413BC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 Journal of Speech, Language and Hearing Research,</w:t>
      </w:r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 63(4), 1181–1194. doi:10.1044/2019_JSLHR-19-00022  </w:t>
      </w:r>
    </w:p>
    <w:p w14:paraId="2CF868CD" w14:textId="77777777" w:rsidR="003413BC" w:rsidRPr="003413BC" w:rsidRDefault="003413BC" w:rsidP="003413BC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13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413BC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Document:</w:t>
      </w:r>
      <w:r w:rsidRPr="003413BC">
        <w:rPr>
          <w:rFonts w:ascii="Helvetica" w:eastAsia="Times New Roman" w:hAnsi="Helvetica" w:cs="Helvetica"/>
          <w:color w:val="2D3B45"/>
          <w:sz w:val="24"/>
          <w:szCs w:val="24"/>
        </w:rPr>
        <w:t> </w:t>
      </w:r>
      <w:hyperlink r:id="rId8" w:tgtFrame="_blank" w:tooltip="Week_5_ANOVA_SPSS_Output.pdf" w:history="1"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>Week 5 ANOVA Exercises SPSS Output </w:t>
        </w:r>
      </w:hyperlink>
      <w:hyperlink r:id="rId9" w:tgtFrame="_blank" w:history="1"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> </w:t>
        </w:r>
        <w:r w:rsidRPr="003413BC">
          <w:rPr>
            <w:rFonts w:ascii="Helvetica" w:eastAsia="Times New Roman" w:hAnsi="Helvetica" w:cs="Helvetica"/>
            <w:color w:val="1155CC"/>
            <w:sz w:val="24"/>
            <w:szCs w:val="24"/>
            <w:u w:val="single"/>
            <w:bdr w:val="none" w:sz="0" w:space="0" w:color="auto" w:frame="1"/>
          </w:rPr>
          <w:t>Download Week 5 ANOVA Exercises SPSS Output</w:t>
        </w:r>
      </w:hyperlink>
    </w:p>
    <w:p w14:paraId="50D95837" w14:textId="77777777" w:rsidR="003413BC" w:rsidRPr="003413BC" w:rsidRDefault="003413BC" w:rsidP="003413BC">
      <w:pPr>
        <w:shd w:val="clear" w:color="auto" w:fill="FFFFFF"/>
        <w:spacing w:beforeAutospacing="1" w:after="0" w:afterAutospacing="1" w:line="240" w:lineRule="auto"/>
        <w:ind w:left="1320"/>
        <w:rPr>
          <w:rFonts w:ascii="Helvetica" w:eastAsia="Times New Roman" w:hAnsi="Helvetica" w:cs="Helvetica"/>
          <w:color w:val="2D3B45"/>
          <w:sz w:val="24"/>
          <w:szCs w:val="24"/>
        </w:rPr>
      </w:pPr>
    </w:p>
    <w:tbl>
      <w:tblPr>
        <w:tblW w:w="6000" w:type="dxa"/>
        <w:tblCellSpacing w:w="0" w:type="dxa"/>
        <w:tblInd w:w="1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6"/>
      </w:tblGrid>
      <w:tr w:rsidR="003413BC" w:rsidRPr="003413BC" w14:paraId="50EC5C1F" w14:textId="77777777" w:rsidTr="003413BC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6000" w:type="dxa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0"/>
            </w:tblGrid>
            <w:tr w:rsidR="003413BC" w:rsidRPr="003413BC" w14:paraId="1C17FF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6000" w:type="dxa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0"/>
                    <w:gridCol w:w="4750"/>
                  </w:tblGrid>
                  <w:tr w:rsidR="003413BC" w:rsidRPr="003413BC" w14:paraId="0C91B97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14:paraId="3D1A045B" w14:textId="77777777" w:rsidR="003413BC" w:rsidRPr="003413BC" w:rsidRDefault="003413BC" w:rsidP="003413BC">
                        <w:pPr>
                          <w:shd w:val="clear" w:color="auto" w:fill="FFFFFF"/>
                          <w:spacing w:beforeAutospacing="1" w:after="0" w:afterAutospacing="1" w:line="240" w:lineRule="auto"/>
                          <w:ind w:left="1320"/>
                          <w:rPr>
                            <w:rFonts w:ascii="Helvetica" w:eastAsia="Times New Roman" w:hAnsi="Helvetica" w:cs="Helvetica"/>
                            <w:color w:val="2D3B45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50" w:type="dxa"/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14:paraId="2A25F0C0" w14:textId="77777777" w:rsidR="003413BC" w:rsidRPr="003413BC" w:rsidRDefault="003413BC" w:rsidP="003413BC">
                        <w:pPr>
                          <w:spacing w:after="90" w:line="285" w:lineRule="atLeast"/>
                          <w:outlineLvl w:val="1"/>
                          <w:rPr>
                            <w:rFonts w:ascii="Segoe UI" w:eastAsia="Times New Roman" w:hAnsi="Segoe UI" w:cs="Segoe UI"/>
                            <w:b/>
                            <w:bCs/>
                            <w:color w:val="1D2228"/>
                            <w:sz w:val="21"/>
                            <w:szCs w:val="21"/>
                          </w:rPr>
                        </w:pPr>
                        <w:r w:rsidRPr="003413BC">
                          <w:rPr>
                            <w:rFonts w:ascii="Segoe UI" w:eastAsia="Times New Roman" w:hAnsi="Segoe UI" w:cs="Segoe UI"/>
                            <w:b/>
                            <w:bCs/>
                            <w:color w:val="1D2228"/>
                            <w:sz w:val="21"/>
                            <w:szCs w:val="21"/>
                          </w:rPr>
                          <w:t>Walden Canvas</w:t>
                        </w:r>
                      </w:p>
                    </w:tc>
                  </w:tr>
                </w:tbl>
                <w:p w14:paraId="4D85ABAE" w14:textId="77777777" w:rsidR="003413BC" w:rsidRPr="003413BC" w:rsidRDefault="003413BC" w:rsidP="003413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FB8D5BB" w14:textId="77777777" w:rsidR="003413BC" w:rsidRPr="003413BC" w:rsidRDefault="003413BC" w:rsidP="003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6837CB" w14:textId="77777777" w:rsidR="007F2029" w:rsidRDefault="007F2029"/>
    <w:sectPr w:rsidR="007F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11A40"/>
    <w:multiLevelType w:val="multilevel"/>
    <w:tmpl w:val="8AAA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84AE0"/>
    <w:multiLevelType w:val="multilevel"/>
    <w:tmpl w:val="80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943300">
    <w:abstractNumId w:val="1"/>
  </w:num>
  <w:num w:numId="2" w16cid:durableId="155007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BC"/>
    <w:rsid w:val="003413BC"/>
    <w:rsid w:val="007F2029"/>
    <w:rsid w:val="00D2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6D11"/>
  <w15:chartTrackingRefBased/>
  <w15:docId w15:val="{891CA4FE-C44B-48F5-94F1-297A02DD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1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413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13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413B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413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13BC"/>
    <w:rPr>
      <w:i/>
      <w:iCs/>
    </w:rPr>
  </w:style>
  <w:style w:type="character" w:styleId="Strong">
    <w:name w:val="Strong"/>
    <w:basedOn w:val="DefaultParagraphFont"/>
    <w:uiPriority w:val="22"/>
    <w:qFormat/>
    <w:rsid w:val="00341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4843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14236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denu.instructure.com/courses/52343/files/2863981?wrap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rch.proquest.com/scholarly-journals/comparing-tense-agreement-productivity-boys-with/docview/2425616079/se-2?accountid=148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ebscohost.com/login.aspx?direct=true&amp;db=rzh&amp;AN=141781772&amp;site=ehost-live&amp;scope=site&amp;authtype=shib&amp;custid=s65272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ccess.ovid.com/custom/redirector/index.html?dest=https://go.openathens.net/redirector/waldenu.edu?url=http://ovidsp.ovid.com/ovidweb.cgi?T=JS&amp;CSC=Y&amp;NEWS=N&amp;PAGE=fulltext&amp;AN=00024776-202103000-00005&amp;LSLINK=80&amp;D=ovf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aldenu.instructure.com/courses/52343/files/2863981/download?download_f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2023-03-31T06:25:00Z</dcterms:created>
  <dcterms:modified xsi:type="dcterms:W3CDTF">2023-03-31T06:25:00Z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41fd221a-3f88-4eec-a0a7-c38ffbcc559b</vt:lpwstr>
  </property>
</Properties>
</file>