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45" w:rsidRPr="001D669F" w:rsidRDefault="004D2945" w:rsidP="004D2945">
      <w:pPr>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t>Week 9 Assignment 1: Focused SOAP Note</w:t>
      </w:r>
    </w:p>
    <w:p w:rsidR="004D2945" w:rsidRPr="001D669F" w:rsidRDefault="004D2945" w:rsidP="004D2945">
      <w:pPr>
        <w:spacing w:before="100" w:beforeAutospacing="1" w:after="100" w:afterAutospacing="1"/>
        <w:jc w:val="center"/>
        <w:rPr>
          <w:rFonts w:ascii="Arial" w:eastAsia="Times New Roman" w:hAnsi="Arial" w:cs="Arial"/>
          <w:color w:val="000000"/>
          <w:u w:val="single"/>
        </w:rPr>
      </w:pPr>
      <w:r w:rsidRPr="001D669F">
        <w:rPr>
          <w:rFonts w:ascii="Arial" w:eastAsia="Times New Roman" w:hAnsi="Arial" w:cs="Arial"/>
          <w:b/>
          <w:bCs/>
          <w:color w:val="000000"/>
          <w:u w:val="single"/>
        </w:rPr>
        <w:t>Identifying Information</w:t>
      </w:r>
    </w:p>
    <w:p w:rsidR="004D2945" w:rsidRPr="001D669F" w:rsidRDefault="004D2945" w:rsidP="004D2945">
      <w:pPr>
        <w:spacing w:before="100" w:beforeAutospacing="1" w:after="100" w:afterAutospacing="1"/>
        <w:rPr>
          <w:rFonts w:ascii="Arial" w:eastAsia="Times New Roman" w:hAnsi="Arial" w:cs="Arial"/>
          <w:iCs/>
          <w:color w:val="000000"/>
        </w:rPr>
      </w:pPr>
      <w:r w:rsidRPr="001D669F">
        <w:rPr>
          <w:rFonts w:ascii="Arial" w:eastAsia="Times New Roman" w:hAnsi="Arial" w:cs="Arial"/>
          <w:iCs/>
          <w:color w:val="000000"/>
        </w:rPr>
        <w:t>Initials:</w:t>
      </w:r>
      <w:r>
        <w:rPr>
          <w:rFonts w:ascii="Arial" w:eastAsia="Times New Roman" w:hAnsi="Arial" w:cs="Arial"/>
          <w:iCs/>
          <w:color w:val="000000"/>
        </w:rPr>
        <w:t xml:space="preserve"> </w:t>
      </w:r>
      <w:r w:rsidR="00170D60">
        <w:rPr>
          <w:rFonts w:ascii="Arial" w:eastAsia="Times New Roman" w:hAnsi="Arial" w:cs="Arial"/>
          <w:iCs/>
          <w:color w:val="000000"/>
        </w:rPr>
        <w:t>L.K.</w:t>
      </w:r>
    </w:p>
    <w:p w:rsidR="004D2945" w:rsidRPr="001D669F" w:rsidRDefault="004D2945" w:rsidP="004D2945">
      <w:pPr>
        <w:spacing w:before="100" w:beforeAutospacing="1" w:after="100" w:afterAutospacing="1"/>
        <w:rPr>
          <w:rFonts w:ascii="Arial" w:eastAsia="Times New Roman" w:hAnsi="Arial" w:cs="Arial"/>
          <w:iCs/>
          <w:color w:val="000000"/>
        </w:rPr>
      </w:pPr>
      <w:r>
        <w:rPr>
          <w:rFonts w:ascii="Arial" w:eastAsia="Times New Roman" w:hAnsi="Arial" w:cs="Arial"/>
          <w:iCs/>
          <w:color w:val="000000"/>
        </w:rPr>
        <w:t>Age:</w:t>
      </w:r>
      <w:r w:rsidR="00A41281">
        <w:rPr>
          <w:rFonts w:ascii="Arial" w:eastAsia="Times New Roman" w:hAnsi="Arial" w:cs="Arial"/>
          <w:iCs/>
          <w:color w:val="000000"/>
        </w:rPr>
        <w:t xml:space="preserve"> 40</w:t>
      </w:r>
    </w:p>
    <w:p w:rsidR="004D2945" w:rsidRPr="001D669F" w:rsidRDefault="004D2945" w:rsidP="004D2945">
      <w:pPr>
        <w:spacing w:before="100" w:beforeAutospacing="1" w:after="100" w:afterAutospacing="1"/>
        <w:rPr>
          <w:rFonts w:ascii="Arial" w:eastAsia="Times New Roman" w:hAnsi="Arial" w:cs="Arial"/>
          <w:iCs/>
          <w:color w:val="000000"/>
        </w:rPr>
      </w:pPr>
      <w:r>
        <w:rPr>
          <w:rFonts w:ascii="Arial" w:eastAsia="Times New Roman" w:hAnsi="Arial" w:cs="Arial"/>
          <w:iCs/>
          <w:color w:val="000000"/>
        </w:rPr>
        <w:t>Gender</w:t>
      </w:r>
      <w:r w:rsidRPr="001D669F">
        <w:rPr>
          <w:rFonts w:ascii="Arial" w:eastAsia="Times New Roman" w:hAnsi="Arial" w:cs="Arial"/>
          <w:iCs/>
          <w:color w:val="000000"/>
        </w:rPr>
        <w:t>:</w:t>
      </w:r>
      <w:r w:rsidR="00620EC8">
        <w:rPr>
          <w:rFonts w:ascii="Arial" w:eastAsia="Times New Roman" w:hAnsi="Arial" w:cs="Arial"/>
          <w:iCs/>
          <w:color w:val="000000"/>
        </w:rPr>
        <w:t xml:space="preserve"> </w:t>
      </w:r>
      <w:r w:rsidR="00AF1CB3">
        <w:rPr>
          <w:rFonts w:ascii="Arial" w:eastAsia="Times New Roman" w:hAnsi="Arial" w:cs="Arial"/>
          <w:iCs/>
          <w:color w:val="000000"/>
        </w:rPr>
        <w:t>M</w:t>
      </w:r>
      <w:r w:rsidR="00170D60">
        <w:rPr>
          <w:rFonts w:ascii="Arial" w:eastAsia="Times New Roman" w:hAnsi="Arial" w:cs="Arial"/>
          <w:iCs/>
          <w:color w:val="000000"/>
        </w:rPr>
        <w:t>ale</w:t>
      </w:r>
    </w:p>
    <w:p w:rsidR="004D2945" w:rsidRDefault="004D2945" w:rsidP="004D2945">
      <w:pPr>
        <w:spacing w:before="100" w:beforeAutospacing="1" w:after="100" w:afterAutospacing="1"/>
        <w:rPr>
          <w:rFonts w:ascii="Arial" w:eastAsia="Times New Roman" w:hAnsi="Arial" w:cs="Arial"/>
          <w:iCs/>
          <w:color w:val="000000"/>
        </w:rPr>
      </w:pPr>
      <w:r>
        <w:rPr>
          <w:rFonts w:ascii="Arial" w:eastAsia="Times New Roman" w:hAnsi="Arial" w:cs="Arial"/>
          <w:iCs/>
          <w:color w:val="000000"/>
        </w:rPr>
        <w:t xml:space="preserve">Source of information: </w:t>
      </w:r>
      <w:r w:rsidR="00170D60">
        <w:rPr>
          <w:rFonts w:ascii="Arial" w:eastAsia="Times New Roman" w:hAnsi="Arial" w:cs="Arial"/>
          <w:iCs/>
          <w:color w:val="000000"/>
        </w:rPr>
        <w:t>Patient narrative and medical records</w:t>
      </w:r>
    </w:p>
    <w:p w:rsidR="004D2945" w:rsidRPr="001D669F" w:rsidRDefault="004D2945" w:rsidP="004D2945">
      <w:pPr>
        <w:spacing w:before="100" w:beforeAutospacing="1" w:after="100" w:afterAutospacing="1"/>
        <w:rPr>
          <w:rFonts w:ascii="Arial" w:eastAsia="Times New Roman" w:hAnsi="Arial" w:cs="Arial"/>
          <w:color w:val="000000"/>
        </w:rPr>
      </w:pPr>
      <w:r>
        <w:rPr>
          <w:rFonts w:ascii="Arial" w:eastAsia="Times New Roman" w:hAnsi="Arial" w:cs="Arial"/>
          <w:iCs/>
          <w:color w:val="000000"/>
        </w:rPr>
        <w:t xml:space="preserve">Reliability: </w:t>
      </w:r>
      <w:r w:rsidR="00170D60">
        <w:rPr>
          <w:rFonts w:ascii="Arial" w:eastAsia="Times New Roman" w:hAnsi="Arial" w:cs="Arial"/>
          <w:iCs/>
          <w:color w:val="000000"/>
        </w:rPr>
        <w:t>The patient appears to be a reliable informant</w:t>
      </w:r>
    </w:p>
    <w:p w:rsidR="004D2945" w:rsidRPr="001D669F" w:rsidRDefault="004D2945" w:rsidP="004D2945">
      <w:pPr>
        <w:spacing w:before="100" w:beforeAutospacing="1" w:after="100" w:afterAutospacing="1"/>
        <w:jc w:val="center"/>
        <w:rPr>
          <w:rFonts w:ascii="Arial" w:eastAsia="Times New Roman" w:hAnsi="Arial" w:cs="Arial"/>
          <w:color w:val="000000"/>
        </w:rPr>
      </w:pPr>
      <w:r>
        <w:rPr>
          <w:rFonts w:ascii="Arial" w:eastAsia="Times New Roman" w:hAnsi="Arial" w:cs="Arial"/>
          <w:b/>
          <w:bCs/>
          <w:color w:val="000000"/>
          <w:u w:val="single"/>
        </w:rPr>
        <w:t>Subjective Information</w:t>
      </w:r>
    </w:p>
    <w:p w:rsidR="004D2945" w:rsidRPr="001D669F"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CC</w:t>
      </w:r>
      <w:r w:rsidRPr="001D669F">
        <w:rPr>
          <w:rFonts w:ascii="Arial" w:eastAsia="Times New Roman" w:hAnsi="Arial" w:cs="Arial"/>
          <w:color w:val="000000"/>
        </w:rPr>
        <w:t>:</w:t>
      </w:r>
      <w:r>
        <w:rPr>
          <w:rFonts w:ascii="Arial" w:eastAsia="Times New Roman" w:hAnsi="Arial" w:cs="Arial"/>
          <w:color w:val="000000"/>
        </w:rPr>
        <w:t xml:space="preserve"> </w:t>
      </w:r>
      <w:r w:rsidR="00A41281">
        <w:rPr>
          <w:rFonts w:ascii="Arial" w:eastAsia="Times New Roman" w:hAnsi="Arial" w:cs="Arial"/>
          <w:color w:val="000000"/>
        </w:rPr>
        <w:t>“</w:t>
      </w:r>
      <w:r w:rsidR="008102ED">
        <w:rPr>
          <w:rFonts w:ascii="Arial" w:eastAsia="Times New Roman" w:hAnsi="Arial" w:cs="Arial"/>
          <w:color w:val="000000"/>
        </w:rPr>
        <w:t>Swollen and painful right thumb”</w:t>
      </w:r>
    </w:p>
    <w:p w:rsidR="004D2945"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H</w:t>
      </w:r>
      <w:r>
        <w:rPr>
          <w:rFonts w:ascii="Arial" w:eastAsia="Times New Roman" w:hAnsi="Arial" w:cs="Arial"/>
          <w:b/>
          <w:bCs/>
          <w:color w:val="000000"/>
        </w:rPr>
        <w:t xml:space="preserve">istory of </w:t>
      </w:r>
      <w:r w:rsidRPr="001D669F">
        <w:rPr>
          <w:rFonts w:ascii="Arial" w:eastAsia="Times New Roman" w:hAnsi="Arial" w:cs="Arial"/>
          <w:b/>
          <w:bCs/>
          <w:color w:val="000000"/>
        </w:rPr>
        <w:t>P</w:t>
      </w:r>
      <w:r>
        <w:rPr>
          <w:rFonts w:ascii="Arial" w:eastAsia="Times New Roman" w:hAnsi="Arial" w:cs="Arial"/>
          <w:b/>
          <w:bCs/>
          <w:color w:val="000000"/>
        </w:rPr>
        <w:t xml:space="preserve">resenting </w:t>
      </w:r>
      <w:r w:rsidRPr="001D669F">
        <w:rPr>
          <w:rFonts w:ascii="Arial" w:eastAsia="Times New Roman" w:hAnsi="Arial" w:cs="Arial"/>
          <w:b/>
          <w:bCs/>
          <w:color w:val="000000"/>
        </w:rPr>
        <w:t>I</w:t>
      </w:r>
      <w:r>
        <w:rPr>
          <w:rFonts w:ascii="Arial" w:eastAsia="Times New Roman" w:hAnsi="Arial" w:cs="Arial"/>
          <w:b/>
          <w:bCs/>
          <w:color w:val="000000"/>
        </w:rPr>
        <w:t>llness</w:t>
      </w:r>
      <w:r w:rsidRPr="001D669F">
        <w:rPr>
          <w:rFonts w:ascii="Arial" w:eastAsia="Times New Roman" w:hAnsi="Arial" w:cs="Arial"/>
          <w:color w:val="000000"/>
        </w:rPr>
        <w:t>:</w:t>
      </w:r>
      <w:r>
        <w:rPr>
          <w:rFonts w:ascii="Arial" w:eastAsia="Times New Roman" w:hAnsi="Arial" w:cs="Arial"/>
          <w:color w:val="000000"/>
        </w:rPr>
        <w:t xml:space="preserve"> </w:t>
      </w:r>
      <w:r w:rsidR="008102ED">
        <w:rPr>
          <w:rFonts w:ascii="Arial" w:eastAsia="Times New Roman" w:hAnsi="Arial" w:cs="Arial"/>
          <w:color w:val="000000"/>
        </w:rPr>
        <w:t>L.K. is a 4</w:t>
      </w:r>
      <w:r w:rsidR="00623086">
        <w:rPr>
          <w:rFonts w:ascii="Arial" w:eastAsia="Times New Roman" w:hAnsi="Arial" w:cs="Arial"/>
          <w:color w:val="000000"/>
        </w:rPr>
        <w:t>0-year-old male patient presenting to</w:t>
      </w:r>
      <w:r w:rsidR="008102ED">
        <w:rPr>
          <w:rFonts w:ascii="Arial" w:eastAsia="Times New Roman" w:hAnsi="Arial" w:cs="Arial"/>
          <w:color w:val="000000"/>
        </w:rPr>
        <w:t xml:space="preserve"> the clinic complain</w:t>
      </w:r>
      <w:r w:rsidR="00623086">
        <w:rPr>
          <w:rFonts w:ascii="Arial" w:eastAsia="Times New Roman" w:hAnsi="Arial" w:cs="Arial"/>
          <w:color w:val="000000"/>
        </w:rPr>
        <w:t>ing of a swollen right thumb. H</w:t>
      </w:r>
      <w:r w:rsidR="008102ED">
        <w:rPr>
          <w:rFonts w:ascii="Arial" w:eastAsia="Times New Roman" w:hAnsi="Arial" w:cs="Arial"/>
          <w:color w:val="000000"/>
        </w:rPr>
        <w:t>e states that the pain started about five months ago but has progressively worsened and became</w:t>
      </w:r>
      <w:r w:rsidR="00623086">
        <w:rPr>
          <w:rFonts w:ascii="Arial" w:eastAsia="Times New Roman" w:hAnsi="Arial" w:cs="Arial"/>
          <w:color w:val="000000"/>
        </w:rPr>
        <w:t xml:space="preserve"> unbearable about a week ago. H</w:t>
      </w:r>
      <w:r w:rsidR="008102ED">
        <w:rPr>
          <w:rFonts w:ascii="Arial" w:eastAsia="Times New Roman" w:hAnsi="Arial" w:cs="Arial"/>
          <w:color w:val="000000"/>
        </w:rPr>
        <w:t>e denies experiencing trauma to the affected thumb</w:t>
      </w:r>
      <w:r w:rsidR="00623086">
        <w:rPr>
          <w:rFonts w:ascii="Arial" w:eastAsia="Times New Roman" w:hAnsi="Arial" w:cs="Arial"/>
          <w:color w:val="000000"/>
        </w:rPr>
        <w:t xml:space="preserve">. He states that moving and flexing the thumb has been excruciatingly painful but he often reliefs the pain using acetaminophen. </w:t>
      </w:r>
      <w:r w:rsidR="00643E34">
        <w:rPr>
          <w:rFonts w:ascii="Arial" w:eastAsia="Times New Roman" w:hAnsi="Arial" w:cs="Arial"/>
          <w:color w:val="000000"/>
        </w:rPr>
        <w:t xml:space="preserve">He claims that he has not been able to drive to work or accomplish many tasks at home or work because of the swelling and pain. He endorses stiffening of the thumb in the morning, with notable reddening of the joint in the past three days. He also states that other fingers and toes in his right leg have been experiencing some stiffness for the past one week. The fingers often turn pale and blue when exposed to cold. </w:t>
      </w:r>
      <w:r w:rsidR="00B80060">
        <w:rPr>
          <w:rFonts w:ascii="Arial" w:eastAsia="Times New Roman" w:hAnsi="Arial" w:cs="Arial"/>
          <w:color w:val="000000"/>
        </w:rPr>
        <w:t xml:space="preserve">He denies experiencing a similar episode in the past. He endorses feeling fatigued all day, with inadequate energy to accomplish many of his assigned duties at work or activities of daily living at home. He denies photosensitivity, hair loss, </w:t>
      </w:r>
      <w:r w:rsidR="007249B3">
        <w:rPr>
          <w:rFonts w:ascii="Arial" w:eastAsia="Times New Roman" w:hAnsi="Arial" w:cs="Arial"/>
          <w:color w:val="000000"/>
        </w:rPr>
        <w:t xml:space="preserve">pulmonary symptoms, or cardiac symptoms. </w:t>
      </w:r>
    </w:p>
    <w:p w:rsidR="00C4738B"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t>Onset</w:t>
      </w:r>
      <w:r w:rsidR="004D2945">
        <w:rPr>
          <w:rFonts w:ascii="Arial" w:eastAsia="Times New Roman" w:hAnsi="Arial" w:cs="Arial"/>
          <w:color w:val="000000"/>
        </w:rPr>
        <w:t>:</w:t>
      </w:r>
      <w:r w:rsidR="00995ECB">
        <w:rPr>
          <w:rFonts w:ascii="Arial" w:eastAsia="Times New Roman" w:hAnsi="Arial" w:cs="Arial"/>
          <w:color w:val="000000"/>
        </w:rPr>
        <w:t xml:space="preserve"> Five months ago</w:t>
      </w:r>
    </w:p>
    <w:p w:rsidR="00C4738B"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t>Location</w:t>
      </w:r>
      <w:r w:rsidRPr="00C4738B">
        <w:rPr>
          <w:rFonts w:ascii="Arial" w:eastAsia="Times New Roman" w:hAnsi="Arial" w:cs="Arial"/>
          <w:color w:val="000000"/>
        </w:rPr>
        <w:t>:</w:t>
      </w:r>
      <w:r w:rsidR="00995ECB">
        <w:rPr>
          <w:rFonts w:ascii="Arial" w:eastAsia="Times New Roman" w:hAnsi="Arial" w:cs="Arial"/>
          <w:color w:val="000000"/>
        </w:rPr>
        <w:t xml:space="preserve"> Right thumb</w:t>
      </w:r>
    </w:p>
    <w:p w:rsidR="00C4738B"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t>Duration</w:t>
      </w:r>
      <w:r w:rsidRPr="00C4738B">
        <w:rPr>
          <w:rFonts w:ascii="Arial" w:eastAsia="Times New Roman" w:hAnsi="Arial" w:cs="Arial"/>
          <w:color w:val="000000"/>
        </w:rPr>
        <w:t>:</w:t>
      </w:r>
      <w:r w:rsidR="00995ECB">
        <w:rPr>
          <w:rFonts w:ascii="Arial" w:eastAsia="Times New Roman" w:hAnsi="Arial" w:cs="Arial"/>
          <w:color w:val="000000"/>
        </w:rPr>
        <w:t xml:space="preserve"> No past episodes</w:t>
      </w:r>
    </w:p>
    <w:p w:rsidR="00C4738B"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t>Characteristics</w:t>
      </w:r>
      <w:r w:rsidRPr="00C4738B">
        <w:rPr>
          <w:rFonts w:ascii="Arial" w:eastAsia="Times New Roman" w:hAnsi="Arial" w:cs="Arial"/>
          <w:color w:val="000000"/>
        </w:rPr>
        <w:t>:</w:t>
      </w:r>
      <w:r w:rsidR="00995ECB">
        <w:rPr>
          <w:rFonts w:ascii="Arial" w:eastAsia="Times New Roman" w:hAnsi="Arial" w:cs="Arial"/>
          <w:color w:val="000000"/>
        </w:rPr>
        <w:t xml:space="preserve"> Sharp, throbbing,</w:t>
      </w:r>
    </w:p>
    <w:p w:rsidR="00C4738B"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t>Alleviating &amp; Aggravating factors</w:t>
      </w:r>
      <w:r w:rsidRPr="00C4738B">
        <w:rPr>
          <w:rFonts w:ascii="Arial" w:eastAsia="Times New Roman" w:hAnsi="Arial" w:cs="Arial"/>
          <w:color w:val="000000"/>
        </w:rPr>
        <w:t>:</w:t>
      </w:r>
      <w:r w:rsidR="00995ECB">
        <w:rPr>
          <w:rFonts w:ascii="Arial" w:eastAsia="Times New Roman" w:hAnsi="Arial" w:cs="Arial"/>
          <w:color w:val="000000"/>
        </w:rPr>
        <w:t xml:space="preserve"> Acetaminophen 400mg</w:t>
      </w:r>
      <w:r w:rsidR="00DA1430">
        <w:rPr>
          <w:rFonts w:ascii="Arial" w:eastAsia="Times New Roman" w:hAnsi="Arial" w:cs="Arial"/>
          <w:color w:val="000000"/>
        </w:rPr>
        <w:t xml:space="preserve"> and rest</w:t>
      </w:r>
    </w:p>
    <w:p w:rsidR="00C4738B"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t>R</w:t>
      </w:r>
      <w:r w:rsidR="000E3C29">
        <w:rPr>
          <w:rFonts w:ascii="Arial" w:eastAsia="Times New Roman" w:hAnsi="Arial" w:cs="Arial"/>
          <w:i/>
          <w:color w:val="000000"/>
        </w:rPr>
        <w:t>adiation</w:t>
      </w:r>
      <w:r w:rsidRPr="00C4738B">
        <w:rPr>
          <w:rFonts w:ascii="Arial" w:eastAsia="Times New Roman" w:hAnsi="Arial" w:cs="Arial"/>
          <w:color w:val="000000"/>
        </w:rPr>
        <w:t>:</w:t>
      </w:r>
      <w:r w:rsidR="000E3C29">
        <w:rPr>
          <w:rFonts w:ascii="Arial" w:eastAsia="Times New Roman" w:hAnsi="Arial" w:cs="Arial"/>
          <w:color w:val="000000"/>
        </w:rPr>
        <w:t xml:space="preserve"> None</w:t>
      </w:r>
    </w:p>
    <w:p w:rsidR="00C4738B"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t>Timing</w:t>
      </w:r>
      <w:r w:rsidRPr="00C4738B">
        <w:rPr>
          <w:rFonts w:ascii="Arial" w:eastAsia="Times New Roman" w:hAnsi="Arial" w:cs="Arial"/>
          <w:color w:val="000000"/>
        </w:rPr>
        <w:t>:</w:t>
      </w:r>
      <w:r w:rsidR="000E3C29">
        <w:rPr>
          <w:rFonts w:ascii="Arial" w:eastAsia="Times New Roman" w:hAnsi="Arial" w:cs="Arial"/>
          <w:color w:val="000000"/>
        </w:rPr>
        <w:t xml:space="preserve"> Constant</w:t>
      </w:r>
    </w:p>
    <w:p w:rsidR="004D2945" w:rsidRDefault="00C4738B" w:rsidP="004D2945">
      <w:pPr>
        <w:spacing w:before="100" w:beforeAutospacing="1" w:after="100" w:afterAutospacing="1"/>
        <w:ind w:left="720"/>
        <w:rPr>
          <w:rFonts w:ascii="Arial" w:eastAsia="Times New Roman" w:hAnsi="Arial" w:cs="Arial"/>
          <w:color w:val="000000"/>
        </w:rPr>
      </w:pPr>
      <w:r>
        <w:rPr>
          <w:rFonts w:ascii="Arial" w:eastAsia="Times New Roman" w:hAnsi="Arial" w:cs="Arial"/>
          <w:i/>
          <w:color w:val="000000"/>
        </w:rPr>
        <w:lastRenderedPageBreak/>
        <w:t>Severity</w:t>
      </w:r>
      <w:r w:rsidRPr="00C4738B">
        <w:rPr>
          <w:rFonts w:ascii="Arial" w:eastAsia="Times New Roman" w:hAnsi="Arial" w:cs="Arial"/>
          <w:color w:val="000000"/>
        </w:rPr>
        <w:t>:</w:t>
      </w:r>
      <w:r w:rsidR="004D2945">
        <w:rPr>
          <w:rFonts w:ascii="Arial" w:eastAsia="Times New Roman" w:hAnsi="Arial" w:cs="Arial"/>
          <w:color w:val="000000"/>
        </w:rPr>
        <w:t xml:space="preserve"> </w:t>
      </w:r>
      <w:r w:rsidR="000E3C29">
        <w:rPr>
          <w:rFonts w:ascii="Arial" w:eastAsia="Times New Roman" w:hAnsi="Arial" w:cs="Arial"/>
          <w:color w:val="000000"/>
        </w:rPr>
        <w:t>8 out of 10</w:t>
      </w:r>
    </w:p>
    <w:p w:rsidR="004D2945" w:rsidRPr="001D669F"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R</w:t>
      </w:r>
      <w:r>
        <w:rPr>
          <w:rFonts w:ascii="Arial" w:eastAsia="Times New Roman" w:hAnsi="Arial" w:cs="Arial"/>
          <w:b/>
          <w:bCs/>
          <w:color w:val="000000"/>
        </w:rPr>
        <w:t xml:space="preserve">eview of </w:t>
      </w:r>
      <w:r w:rsidRPr="001D669F">
        <w:rPr>
          <w:rFonts w:ascii="Arial" w:eastAsia="Times New Roman" w:hAnsi="Arial" w:cs="Arial"/>
          <w:b/>
          <w:bCs/>
          <w:color w:val="000000"/>
        </w:rPr>
        <w:t>S</w:t>
      </w:r>
      <w:r>
        <w:rPr>
          <w:rFonts w:ascii="Arial" w:eastAsia="Times New Roman" w:hAnsi="Arial" w:cs="Arial"/>
          <w:b/>
          <w:bCs/>
          <w:color w:val="000000"/>
        </w:rPr>
        <w:t>ystems</w:t>
      </w:r>
      <w:r w:rsidRPr="001D669F">
        <w:rPr>
          <w:rFonts w:ascii="Arial" w:eastAsia="Times New Roman" w:hAnsi="Arial" w:cs="Arial"/>
          <w:color w:val="000000"/>
        </w:rPr>
        <w:t>:</w:t>
      </w:r>
    </w:p>
    <w:p w:rsidR="004D2945" w:rsidRPr="001D669F"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General</w:t>
      </w:r>
      <w:r w:rsidRPr="001D669F">
        <w:rPr>
          <w:rFonts w:ascii="Arial" w:eastAsia="Times New Roman" w:hAnsi="Arial" w:cs="Arial"/>
          <w:color w:val="000000"/>
        </w:rPr>
        <w:t xml:space="preserve">: </w:t>
      </w:r>
      <w:r w:rsidR="000E3C29">
        <w:rPr>
          <w:rFonts w:ascii="Arial" w:eastAsia="Times New Roman" w:hAnsi="Arial" w:cs="Arial"/>
          <w:color w:val="000000"/>
        </w:rPr>
        <w:t>L.K. reports losing 3lbs in the past three months; he endorses fatigue</w:t>
      </w:r>
      <w:r w:rsidR="00DE4014">
        <w:rPr>
          <w:rFonts w:ascii="Arial" w:eastAsia="Times New Roman" w:hAnsi="Arial" w:cs="Arial"/>
          <w:color w:val="000000"/>
        </w:rPr>
        <w:t xml:space="preserve">, frequent </w:t>
      </w:r>
      <w:r w:rsidR="00DE4014">
        <w:rPr>
          <w:rFonts w:ascii="Arial" w:eastAsia="Times New Roman" w:hAnsi="Arial" w:cs="Arial"/>
          <w:color w:val="000000"/>
        </w:rPr>
        <w:t>night sweats</w:t>
      </w:r>
      <w:r w:rsidR="00DE4014">
        <w:rPr>
          <w:rFonts w:ascii="Arial" w:eastAsia="Times New Roman" w:hAnsi="Arial" w:cs="Arial"/>
          <w:color w:val="000000"/>
        </w:rPr>
        <w:t xml:space="preserve"> and fevers; denies chills</w:t>
      </w:r>
    </w:p>
    <w:p w:rsidR="004D2945" w:rsidRPr="001D669F" w:rsidRDefault="004D2945" w:rsidP="004D2945">
      <w:pPr>
        <w:spacing w:before="100" w:beforeAutospacing="1" w:after="100" w:afterAutospacing="1"/>
        <w:rPr>
          <w:rFonts w:ascii="Arial" w:eastAsia="Times New Roman" w:hAnsi="Arial" w:cs="Arial"/>
          <w:color w:val="000000"/>
        </w:rPr>
      </w:pPr>
      <w:r w:rsidRPr="00412950">
        <w:rPr>
          <w:rFonts w:ascii="Arial" w:eastAsia="Times New Roman" w:hAnsi="Arial" w:cs="Arial"/>
          <w:i/>
          <w:color w:val="000000"/>
        </w:rPr>
        <w:t>HEENT</w:t>
      </w:r>
      <w:r w:rsidRPr="001D669F">
        <w:rPr>
          <w:rFonts w:ascii="Arial" w:eastAsia="Times New Roman" w:hAnsi="Arial" w:cs="Arial"/>
          <w:color w:val="000000"/>
        </w:rPr>
        <w:t>:</w:t>
      </w:r>
      <w:r>
        <w:rPr>
          <w:rFonts w:ascii="Arial" w:eastAsia="Times New Roman" w:hAnsi="Arial" w:cs="Arial"/>
          <w:color w:val="000000"/>
        </w:rPr>
        <w:t xml:space="preserve"> </w:t>
      </w:r>
      <w:r w:rsidR="00DE4014">
        <w:rPr>
          <w:rFonts w:ascii="Arial" w:eastAsia="Times New Roman" w:hAnsi="Arial" w:cs="Arial"/>
          <w:color w:val="000000"/>
        </w:rPr>
        <w:t xml:space="preserve">No facial pain, trauma, headache, dizziness, or vertigo reported. No blurred vision, loss of vision, eye discharge, or sensitivity to light. Patient denies tinnitus, ear pain, difficulty hearing, or otorrhea. He denies nasal congestion, sinus pain, rhinitis, or nosebleeds. No sore throat, irritation, or voice hoarseness reported. </w:t>
      </w:r>
    </w:p>
    <w:p w:rsidR="004D2945" w:rsidRPr="001D669F" w:rsidRDefault="004D2945" w:rsidP="004D2945">
      <w:pPr>
        <w:spacing w:before="100" w:beforeAutospacing="1" w:after="100" w:afterAutospacing="1"/>
        <w:rPr>
          <w:rFonts w:ascii="Arial" w:eastAsia="Times New Roman" w:hAnsi="Arial" w:cs="Arial"/>
          <w:color w:val="000000"/>
        </w:rPr>
      </w:pPr>
      <w:r>
        <w:rPr>
          <w:rFonts w:ascii="Arial" w:eastAsia="Times New Roman" w:hAnsi="Arial" w:cs="Arial"/>
          <w:i/>
          <w:color w:val="000000"/>
        </w:rPr>
        <w:t>Respiratory</w:t>
      </w:r>
      <w:r>
        <w:rPr>
          <w:rFonts w:ascii="Arial" w:eastAsia="Times New Roman" w:hAnsi="Arial" w:cs="Arial"/>
          <w:color w:val="000000"/>
        </w:rPr>
        <w:t xml:space="preserve">: </w:t>
      </w:r>
      <w:r w:rsidR="00BB6820">
        <w:rPr>
          <w:rFonts w:ascii="Arial" w:eastAsia="Times New Roman" w:hAnsi="Arial" w:cs="Arial"/>
          <w:color w:val="000000"/>
        </w:rPr>
        <w:t>No reports of chest pain, shortness of breath, coughing, or wheezing</w:t>
      </w:r>
    </w:p>
    <w:p w:rsidR="004D2945" w:rsidRPr="001D669F" w:rsidRDefault="004D2945" w:rsidP="004D2945">
      <w:pPr>
        <w:spacing w:before="100" w:beforeAutospacing="1" w:after="100" w:afterAutospacing="1"/>
        <w:rPr>
          <w:rFonts w:ascii="Arial" w:eastAsia="Times New Roman" w:hAnsi="Arial" w:cs="Arial"/>
          <w:color w:val="000000"/>
        </w:rPr>
      </w:pPr>
      <w:r>
        <w:rPr>
          <w:rFonts w:ascii="Arial" w:eastAsia="Times New Roman" w:hAnsi="Arial" w:cs="Arial"/>
          <w:i/>
          <w:color w:val="000000"/>
        </w:rPr>
        <w:t>Cardiovascular</w:t>
      </w:r>
      <w:r w:rsidRPr="001D669F">
        <w:rPr>
          <w:rFonts w:ascii="Arial" w:eastAsia="Times New Roman" w:hAnsi="Arial" w:cs="Arial"/>
          <w:color w:val="000000"/>
        </w:rPr>
        <w:t xml:space="preserve">: </w:t>
      </w:r>
      <w:r w:rsidR="00BB6820">
        <w:rPr>
          <w:rFonts w:ascii="Arial" w:eastAsia="Times New Roman" w:hAnsi="Arial" w:cs="Arial"/>
          <w:color w:val="000000"/>
        </w:rPr>
        <w:t>No reports of tachycardia, palpitations, dyspnea, or paroxysmal nocturnal dyspnea</w:t>
      </w:r>
    </w:p>
    <w:p w:rsidR="004D2945"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Gastrointestinal</w:t>
      </w:r>
      <w:r w:rsidRPr="001D669F">
        <w:rPr>
          <w:rFonts w:ascii="Arial" w:eastAsia="Times New Roman" w:hAnsi="Arial" w:cs="Arial"/>
          <w:color w:val="000000"/>
        </w:rPr>
        <w:t xml:space="preserve">: </w:t>
      </w:r>
      <w:r w:rsidR="00BB6820">
        <w:rPr>
          <w:rFonts w:ascii="Arial" w:eastAsia="Times New Roman" w:hAnsi="Arial" w:cs="Arial"/>
          <w:color w:val="000000"/>
        </w:rPr>
        <w:t>No reports of abdominal pain, regurgitation, heartburn, nausea, vomiting, diarrhea, or constipation</w:t>
      </w:r>
    </w:p>
    <w:p w:rsidR="004D2945" w:rsidRPr="000702E7" w:rsidRDefault="004D2945" w:rsidP="004D2945">
      <w:pPr>
        <w:spacing w:before="100" w:beforeAutospacing="1" w:after="100" w:afterAutospacing="1"/>
        <w:rPr>
          <w:rFonts w:ascii="Arial" w:eastAsia="Times New Roman" w:hAnsi="Arial" w:cs="Arial"/>
          <w:color w:val="000000"/>
        </w:rPr>
      </w:pPr>
      <w:r>
        <w:rPr>
          <w:rFonts w:ascii="Arial" w:eastAsia="Times New Roman" w:hAnsi="Arial" w:cs="Arial"/>
          <w:i/>
          <w:color w:val="000000"/>
        </w:rPr>
        <w:t xml:space="preserve">Genitourinary: </w:t>
      </w:r>
      <w:r w:rsidR="000702E7">
        <w:rPr>
          <w:rFonts w:ascii="Arial" w:eastAsia="Times New Roman" w:hAnsi="Arial" w:cs="Arial"/>
          <w:color w:val="000000"/>
        </w:rPr>
        <w:t>Denies dysuria, hematuria, incontinence, frequency, or foul-smelling urine</w:t>
      </w:r>
    </w:p>
    <w:p w:rsidR="004D2945" w:rsidRPr="001D669F"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Neurological</w:t>
      </w:r>
      <w:r w:rsidRPr="001D669F">
        <w:rPr>
          <w:rFonts w:ascii="Arial" w:eastAsia="Times New Roman" w:hAnsi="Arial" w:cs="Arial"/>
          <w:color w:val="000000"/>
        </w:rPr>
        <w:t xml:space="preserve">: </w:t>
      </w:r>
      <w:r w:rsidR="000702E7">
        <w:rPr>
          <w:rFonts w:ascii="Arial" w:eastAsia="Times New Roman" w:hAnsi="Arial" w:cs="Arial"/>
          <w:color w:val="000000"/>
        </w:rPr>
        <w:t>No reports or history of headaches, paresthesia, syncope, numbness, tingling feeling, tremors, disorientation, or seizures</w:t>
      </w:r>
    </w:p>
    <w:p w:rsidR="004D2945" w:rsidRPr="001D669F"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Musculoskeletal</w:t>
      </w:r>
      <w:r w:rsidRPr="001D669F">
        <w:rPr>
          <w:rFonts w:ascii="Arial" w:eastAsia="Times New Roman" w:hAnsi="Arial" w:cs="Arial"/>
          <w:color w:val="000000"/>
        </w:rPr>
        <w:t xml:space="preserve">: </w:t>
      </w:r>
      <w:r w:rsidR="00D527F4">
        <w:rPr>
          <w:rFonts w:ascii="Arial" w:eastAsia="Times New Roman" w:hAnsi="Arial" w:cs="Arial"/>
          <w:color w:val="000000"/>
        </w:rPr>
        <w:t>Reports swelling and pain in the right thumb and stiffness of other fingers; denies history of falls, trauma, or</w:t>
      </w:r>
      <w:r w:rsidR="0005539D">
        <w:rPr>
          <w:rFonts w:ascii="Arial" w:eastAsia="Times New Roman" w:hAnsi="Arial" w:cs="Arial"/>
          <w:color w:val="000000"/>
        </w:rPr>
        <w:t xml:space="preserve"> loss of sensation</w:t>
      </w:r>
    </w:p>
    <w:p w:rsidR="004D2945" w:rsidRPr="001D669F"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Hematologic</w:t>
      </w:r>
      <w:r w:rsidRPr="001D669F">
        <w:rPr>
          <w:rFonts w:ascii="Arial" w:eastAsia="Times New Roman" w:hAnsi="Arial" w:cs="Arial"/>
          <w:color w:val="000000"/>
        </w:rPr>
        <w:t xml:space="preserve">: </w:t>
      </w:r>
      <w:r w:rsidR="00301318">
        <w:rPr>
          <w:rFonts w:ascii="Arial" w:eastAsia="Times New Roman" w:hAnsi="Arial" w:cs="Arial"/>
          <w:color w:val="000000"/>
        </w:rPr>
        <w:t>no history of hemophilia, thrombocytopenia, or other related conditions</w:t>
      </w:r>
    </w:p>
    <w:p w:rsidR="004D2945"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i/>
          <w:color w:val="000000"/>
        </w:rPr>
        <w:t>Endocrine</w:t>
      </w:r>
      <w:r w:rsidRPr="001D669F">
        <w:rPr>
          <w:rFonts w:ascii="Arial" w:eastAsia="Times New Roman" w:hAnsi="Arial" w:cs="Arial"/>
          <w:color w:val="000000"/>
        </w:rPr>
        <w:t xml:space="preserve">: </w:t>
      </w:r>
      <w:r w:rsidR="00301318">
        <w:rPr>
          <w:rFonts w:ascii="Arial" w:eastAsia="Times New Roman" w:hAnsi="Arial" w:cs="Arial"/>
          <w:color w:val="000000"/>
        </w:rPr>
        <w:t>No reports of polydipsia, polyphagia, or polyuria</w:t>
      </w:r>
    </w:p>
    <w:p w:rsidR="00301318" w:rsidRDefault="00301318" w:rsidP="004D2945">
      <w:pPr>
        <w:spacing w:before="100" w:beforeAutospacing="1" w:after="100" w:afterAutospacing="1"/>
        <w:rPr>
          <w:rFonts w:ascii="Arial" w:eastAsia="Times New Roman" w:hAnsi="Arial" w:cs="Arial"/>
          <w:color w:val="000000"/>
        </w:rPr>
      </w:pPr>
      <w:r>
        <w:rPr>
          <w:rFonts w:ascii="Arial" w:eastAsia="Times New Roman" w:hAnsi="Arial" w:cs="Arial"/>
          <w:i/>
          <w:color w:val="000000"/>
        </w:rPr>
        <w:t xml:space="preserve">Lymphatics: </w:t>
      </w:r>
      <w:r>
        <w:rPr>
          <w:rFonts w:ascii="Arial" w:eastAsia="Times New Roman" w:hAnsi="Arial" w:cs="Arial"/>
          <w:color w:val="000000"/>
        </w:rPr>
        <w:t>No reports of lymphadenopathy or tonsillitis</w:t>
      </w:r>
    </w:p>
    <w:p w:rsidR="00301318" w:rsidRPr="00301318" w:rsidRDefault="00301318" w:rsidP="004D2945">
      <w:pPr>
        <w:spacing w:before="100" w:beforeAutospacing="1" w:after="100" w:afterAutospacing="1"/>
        <w:rPr>
          <w:rFonts w:ascii="Arial" w:eastAsia="Times New Roman" w:hAnsi="Arial" w:cs="Arial"/>
          <w:color w:val="000000"/>
        </w:rPr>
      </w:pPr>
      <w:r>
        <w:rPr>
          <w:rFonts w:ascii="Arial" w:eastAsia="Times New Roman" w:hAnsi="Arial" w:cs="Arial"/>
          <w:i/>
          <w:color w:val="000000"/>
        </w:rPr>
        <w:t xml:space="preserve">Psychiatric: </w:t>
      </w:r>
      <w:r>
        <w:rPr>
          <w:rFonts w:ascii="Arial" w:eastAsia="Times New Roman" w:hAnsi="Arial" w:cs="Arial"/>
          <w:color w:val="000000"/>
        </w:rPr>
        <w:t>Endorses sleep problems and anxiety</w:t>
      </w:r>
    </w:p>
    <w:p w:rsidR="004D2945" w:rsidRDefault="004D2945" w:rsidP="004D2945">
      <w:pPr>
        <w:spacing w:before="100" w:beforeAutospacing="1" w:after="100" w:afterAutospacing="1"/>
        <w:rPr>
          <w:rFonts w:ascii="Arial" w:eastAsia="Times New Roman" w:hAnsi="Arial" w:cs="Arial"/>
          <w:bCs/>
          <w:color w:val="000000"/>
        </w:rPr>
      </w:pPr>
      <w:r w:rsidRPr="001D669F">
        <w:rPr>
          <w:rFonts w:ascii="Arial" w:eastAsia="Times New Roman" w:hAnsi="Arial" w:cs="Arial"/>
          <w:b/>
          <w:bCs/>
          <w:color w:val="000000"/>
        </w:rPr>
        <w:t>Medications</w:t>
      </w:r>
      <w:r>
        <w:rPr>
          <w:rFonts w:ascii="Arial" w:eastAsia="Times New Roman" w:hAnsi="Arial" w:cs="Arial"/>
          <w:b/>
          <w:bCs/>
          <w:color w:val="000000"/>
        </w:rPr>
        <w:t>/Allergies</w:t>
      </w:r>
      <w:r w:rsidRPr="001D669F">
        <w:rPr>
          <w:rFonts w:ascii="Arial" w:eastAsia="Times New Roman" w:hAnsi="Arial" w:cs="Arial"/>
          <w:bCs/>
          <w:color w:val="000000"/>
        </w:rPr>
        <w:t>:</w:t>
      </w:r>
      <w:r>
        <w:rPr>
          <w:rFonts w:ascii="Arial" w:eastAsia="Times New Roman" w:hAnsi="Arial" w:cs="Arial"/>
          <w:bCs/>
          <w:color w:val="000000"/>
        </w:rPr>
        <w:t xml:space="preserve"> </w:t>
      </w:r>
    </w:p>
    <w:p w:rsidR="004D2945" w:rsidRDefault="00C24739" w:rsidP="004D2945">
      <w:pPr>
        <w:pStyle w:val="ListParagraph"/>
        <w:numPr>
          <w:ilvl w:val="0"/>
          <w:numId w:val="2"/>
        </w:numPr>
        <w:spacing w:before="100" w:beforeAutospacing="1" w:after="100" w:afterAutospacing="1"/>
        <w:rPr>
          <w:rFonts w:ascii="Arial" w:eastAsia="Times New Roman" w:hAnsi="Arial" w:cs="Arial"/>
          <w:color w:val="000000"/>
        </w:rPr>
      </w:pPr>
      <w:proofErr w:type="spellStart"/>
      <w:r>
        <w:rPr>
          <w:rFonts w:ascii="Arial" w:eastAsia="Times New Roman" w:hAnsi="Arial" w:cs="Arial"/>
          <w:color w:val="000000"/>
        </w:rPr>
        <w:t>Orlistat</w:t>
      </w:r>
      <w:proofErr w:type="spellEnd"/>
      <w:r>
        <w:rPr>
          <w:rFonts w:ascii="Arial" w:eastAsia="Times New Roman" w:hAnsi="Arial" w:cs="Arial"/>
          <w:color w:val="000000"/>
        </w:rPr>
        <w:t xml:space="preserve"> 120 mg PO TID for obesity</w:t>
      </w:r>
    </w:p>
    <w:p w:rsidR="00C24739" w:rsidRPr="00AF04F5" w:rsidRDefault="00C24739" w:rsidP="004D2945">
      <w:pPr>
        <w:pStyle w:val="ListParagraph"/>
        <w:numPr>
          <w:ilvl w:val="0"/>
          <w:numId w:val="2"/>
        </w:numPr>
        <w:spacing w:before="100" w:beforeAutospacing="1" w:after="100" w:afterAutospacing="1"/>
        <w:rPr>
          <w:rFonts w:ascii="Arial" w:eastAsia="Times New Roman" w:hAnsi="Arial" w:cs="Arial"/>
          <w:color w:val="000000"/>
        </w:rPr>
      </w:pPr>
      <w:r>
        <w:rPr>
          <w:rFonts w:ascii="Arial" w:eastAsia="Times New Roman" w:hAnsi="Arial" w:cs="Arial"/>
          <w:color w:val="000000"/>
        </w:rPr>
        <w:t>Acetaminophen 400 mg PO q4hr PRN for pain relief</w:t>
      </w:r>
    </w:p>
    <w:p w:rsidR="004D2945" w:rsidRDefault="004D2945" w:rsidP="004D2945">
      <w:pPr>
        <w:spacing w:before="100" w:beforeAutospacing="1" w:after="100" w:afterAutospacing="1"/>
        <w:rPr>
          <w:rFonts w:ascii="Arial" w:eastAsia="Times New Roman" w:hAnsi="Arial" w:cs="Arial"/>
          <w:color w:val="000000"/>
        </w:rPr>
      </w:pPr>
      <w:r>
        <w:rPr>
          <w:rFonts w:ascii="Arial" w:eastAsia="Times New Roman" w:hAnsi="Arial" w:cs="Arial"/>
          <w:b/>
          <w:bCs/>
          <w:color w:val="000000"/>
        </w:rPr>
        <w:t>Past Medical History</w:t>
      </w:r>
      <w:r w:rsidRPr="001D669F">
        <w:rPr>
          <w:rFonts w:ascii="Arial" w:eastAsia="Times New Roman" w:hAnsi="Arial" w:cs="Arial"/>
          <w:color w:val="000000"/>
        </w:rPr>
        <w:t>:</w:t>
      </w:r>
      <w:r w:rsidR="00B8330C">
        <w:rPr>
          <w:rFonts w:ascii="Arial" w:eastAsia="Times New Roman" w:hAnsi="Arial" w:cs="Arial"/>
          <w:color w:val="000000"/>
        </w:rPr>
        <w:t xml:space="preserve"> </w:t>
      </w:r>
      <w:r w:rsidR="005B189C">
        <w:rPr>
          <w:rFonts w:ascii="Arial" w:eastAsia="Times New Roman" w:hAnsi="Arial" w:cs="Arial"/>
          <w:color w:val="000000"/>
        </w:rPr>
        <w:t>L.K. has obesity. He denies a history of any acut</w:t>
      </w:r>
      <w:r w:rsidR="008F5463">
        <w:rPr>
          <w:rFonts w:ascii="Arial" w:eastAsia="Times New Roman" w:hAnsi="Arial" w:cs="Arial"/>
          <w:color w:val="000000"/>
        </w:rPr>
        <w:t>e or chronic medical conditions. He denies any allergies to medications, food, or the environment.</w:t>
      </w:r>
    </w:p>
    <w:p w:rsidR="004D2945" w:rsidRPr="001D669F" w:rsidRDefault="004D2945" w:rsidP="004D2945">
      <w:pPr>
        <w:spacing w:before="100" w:beforeAutospacing="1" w:after="100" w:afterAutospacing="1"/>
        <w:rPr>
          <w:rFonts w:ascii="Arial" w:eastAsia="Times New Roman" w:hAnsi="Arial" w:cs="Arial"/>
          <w:color w:val="000000"/>
        </w:rPr>
      </w:pPr>
      <w:r>
        <w:rPr>
          <w:rFonts w:ascii="Arial" w:eastAsia="Times New Roman" w:hAnsi="Arial" w:cs="Arial"/>
          <w:b/>
          <w:color w:val="000000"/>
        </w:rPr>
        <w:t>Past Surgical History</w:t>
      </w:r>
      <w:r w:rsidRPr="00A22ADE">
        <w:rPr>
          <w:rFonts w:ascii="Arial" w:eastAsia="Times New Roman" w:hAnsi="Arial" w:cs="Arial"/>
          <w:color w:val="000000"/>
        </w:rPr>
        <w:t>:</w:t>
      </w:r>
      <w:r>
        <w:rPr>
          <w:rFonts w:ascii="Arial" w:eastAsia="Times New Roman" w:hAnsi="Arial" w:cs="Arial"/>
          <w:color w:val="000000"/>
        </w:rPr>
        <w:t xml:space="preserve"> </w:t>
      </w:r>
      <w:r w:rsidR="008F5463">
        <w:rPr>
          <w:rFonts w:ascii="Arial" w:eastAsia="Times New Roman" w:hAnsi="Arial" w:cs="Arial"/>
          <w:color w:val="000000"/>
        </w:rPr>
        <w:t>Appendectomy at 17 years</w:t>
      </w:r>
    </w:p>
    <w:p w:rsidR="004D2945" w:rsidRPr="001D669F"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lastRenderedPageBreak/>
        <w:t>Family History</w:t>
      </w:r>
      <w:r w:rsidRPr="001D669F">
        <w:rPr>
          <w:rFonts w:ascii="Arial" w:eastAsia="Times New Roman" w:hAnsi="Arial" w:cs="Arial"/>
          <w:bCs/>
          <w:color w:val="000000"/>
        </w:rPr>
        <w:t>:</w:t>
      </w:r>
      <w:r>
        <w:rPr>
          <w:rFonts w:ascii="Arial" w:eastAsia="Times New Roman" w:hAnsi="Arial" w:cs="Arial"/>
          <w:bCs/>
          <w:color w:val="000000"/>
        </w:rPr>
        <w:t xml:space="preserve"> </w:t>
      </w:r>
      <w:r w:rsidR="002C6FFE">
        <w:rPr>
          <w:rFonts w:ascii="Arial" w:eastAsia="Times New Roman" w:hAnsi="Arial" w:cs="Arial"/>
          <w:bCs/>
          <w:color w:val="000000"/>
        </w:rPr>
        <w:t>Maternal grandfather (alive, 85) with a history of scleroderma; maternal grandmother (alive, 82) with a history of rheumatoid arthritis</w:t>
      </w:r>
      <w:r w:rsidR="00681601">
        <w:rPr>
          <w:rFonts w:ascii="Arial" w:eastAsia="Times New Roman" w:hAnsi="Arial" w:cs="Arial"/>
          <w:bCs/>
          <w:color w:val="000000"/>
        </w:rPr>
        <w:t xml:space="preserve"> and currently on treatment for osteoarthritis; Mother (60 with a history of rheumatoid arthritis; paternal family history unknown</w:t>
      </w:r>
    </w:p>
    <w:p w:rsidR="004D2945" w:rsidRDefault="004D2945" w:rsidP="00984119">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Social history</w:t>
      </w:r>
      <w:r w:rsidRPr="001D669F">
        <w:rPr>
          <w:rFonts w:ascii="Arial" w:eastAsia="Times New Roman" w:hAnsi="Arial" w:cs="Arial"/>
          <w:color w:val="000000"/>
        </w:rPr>
        <w:t>:</w:t>
      </w:r>
      <w:r w:rsidR="00C8748E">
        <w:rPr>
          <w:rFonts w:ascii="Arial" w:eastAsia="Times New Roman" w:hAnsi="Arial" w:cs="Arial"/>
          <w:color w:val="000000"/>
        </w:rPr>
        <w:t xml:space="preserve"> </w:t>
      </w:r>
      <w:r w:rsidR="00137EAD">
        <w:rPr>
          <w:rFonts w:ascii="Arial" w:eastAsia="Times New Roman" w:hAnsi="Arial" w:cs="Arial"/>
          <w:color w:val="000000"/>
        </w:rPr>
        <w:t xml:space="preserve">L.K. works as </w:t>
      </w:r>
      <w:r w:rsidR="00BE5FD7">
        <w:rPr>
          <w:rFonts w:ascii="Arial" w:eastAsia="Times New Roman" w:hAnsi="Arial" w:cs="Arial"/>
          <w:color w:val="000000"/>
        </w:rPr>
        <w:t xml:space="preserve">the legal counsel for a local charity organization. He has a younger brother with whom he lives in a three-bedroom house. He is married and expects a child in the next three months. </w:t>
      </w:r>
      <w:r w:rsidR="00984119">
        <w:rPr>
          <w:rFonts w:ascii="Arial" w:eastAsia="Times New Roman" w:hAnsi="Arial" w:cs="Arial"/>
          <w:color w:val="000000"/>
        </w:rPr>
        <w:t xml:space="preserve">He identifies as a Lutheran Christian who attends service every Sunday with his family. </w:t>
      </w:r>
      <w:r w:rsidR="00984119">
        <w:rPr>
          <w:rFonts w:ascii="Arial" w:eastAsia="Times New Roman" w:hAnsi="Arial" w:cs="Arial"/>
          <w:color w:val="000000"/>
        </w:rPr>
        <w:t>His wife and other immediate family members are the main source of social support.</w:t>
      </w:r>
    </w:p>
    <w:p w:rsidR="004D2945" w:rsidRPr="001D669F" w:rsidRDefault="004D2945" w:rsidP="00081210">
      <w:pPr>
        <w:spacing w:before="100" w:beforeAutospacing="1" w:after="100" w:afterAutospacing="1"/>
        <w:rPr>
          <w:rFonts w:ascii="Arial" w:eastAsia="Times New Roman" w:hAnsi="Arial" w:cs="Arial"/>
          <w:color w:val="000000"/>
        </w:rPr>
      </w:pPr>
      <w:r>
        <w:rPr>
          <w:rFonts w:ascii="Arial" w:eastAsia="Times New Roman" w:hAnsi="Arial" w:cs="Arial"/>
          <w:b/>
          <w:color w:val="000000"/>
        </w:rPr>
        <w:t>Health and Maintenance Practices</w:t>
      </w:r>
      <w:r>
        <w:rPr>
          <w:rFonts w:ascii="Arial" w:eastAsia="Times New Roman" w:hAnsi="Arial" w:cs="Arial"/>
          <w:color w:val="000000"/>
        </w:rPr>
        <w:t>:</w:t>
      </w:r>
      <w:r w:rsidR="00C8748E">
        <w:rPr>
          <w:rFonts w:ascii="Arial" w:eastAsia="Times New Roman" w:hAnsi="Arial" w:cs="Arial"/>
          <w:color w:val="000000"/>
        </w:rPr>
        <w:t xml:space="preserve"> </w:t>
      </w:r>
      <w:r w:rsidR="00A068B6">
        <w:rPr>
          <w:rFonts w:ascii="Arial" w:eastAsia="Times New Roman" w:hAnsi="Arial" w:cs="Arial"/>
          <w:color w:val="000000"/>
        </w:rPr>
        <w:t xml:space="preserve">L.K. has been engaging in moderate-intensity physical activity for weight management for the past five </w:t>
      </w:r>
      <w:r w:rsidR="00081210">
        <w:rPr>
          <w:rFonts w:ascii="Arial" w:eastAsia="Times New Roman" w:hAnsi="Arial" w:cs="Arial"/>
          <w:color w:val="000000"/>
        </w:rPr>
        <w:t>months. In addition, h</w:t>
      </w:r>
      <w:r w:rsidR="00A068B6">
        <w:rPr>
          <w:rFonts w:ascii="Arial" w:eastAsia="Times New Roman" w:hAnsi="Arial" w:cs="Arial"/>
          <w:color w:val="000000"/>
        </w:rPr>
        <w:t>e reports taking low-carb, low-fat diets</w:t>
      </w:r>
      <w:r w:rsidR="00081210">
        <w:rPr>
          <w:rFonts w:ascii="Arial" w:eastAsia="Times New Roman" w:hAnsi="Arial" w:cs="Arial"/>
          <w:color w:val="000000"/>
        </w:rPr>
        <w:t xml:space="preserve"> as part of his weight loss program. He reports taking at least three cups of coffee per day to remain alert at work. </w:t>
      </w:r>
      <w:r w:rsidR="00081210">
        <w:rPr>
          <w:rFonts w:ascii="Arial" w:eastAsia="Times New Roman" w:hAnsi="Arial" w:cs="Arial"/>
          <w:color w:val="000000"/>
        </w:rPr>
        <w:t>He denies tobacco, alcohol, marijuana, or illicit drug use.</w:t>
      </w:r>
    </w:p>
    <w:p w:rsidR="004D2945" w:rsidRPr="001D669F" w:rsidRDefault="004D2945" w:rsidP="004D2945">
      <w:pPr>
        <w:spacing w:before="100" w:beforeAutospacing="1" w:after="100" w:afterAutospacing="1"/>
        <w:jc w:val="center"/>
        <w:rPr>
          <w:rFonts w:ascii="Arial" w:eastAsia="Times New Roman" w:hAnsi="Arial" w:cs="Arial"/>
          <w:color w:val="000000"/>
        </w:rPr>
      </w:pPr>
      <w:r w:rsidRPr="001D669F">
        <w:rPr>
          <w:rFonts w:ascii="Arial" w:eastAsia="Times New Roman" w:hAnsi="Arial" w:cs="Arial"/>
          <w:b/>
          <w:bCs/>
          <w:color w:val="000000"/>
          <w:u w:val="single"/>
        </w:rPr>
        <w:t>Objective Date</w:t>
      </w:r>
    </w:p>
    <w:p w:rsidR="004D2945" w:rsidRPr="001D669F" w:rsidRDefault="004D2945" w:rsidP="004D2945">
      <w:pPr>
        <w:rPr>
          <w:rFonts w:ascii="Arial" w:eastAsia="Times New Roman" w:hAnsi="Arial" w:cs="Arial"/>
          <w:color w:val="000000"/>
        </w:rPr>
      </w:pPr>
      <w:r w:rsidRPr="001D669F">
        <w:rPr>
          <w:rFonts w:ascii="Arial" w:eastAsia="Times New Roman" w:hAnsi="Arial" w:cs="Arial"/>
          <w:b/>
          <w:bCs/>
          <w:color w:val="000000"/>
        </w:rPr>
        <w:t>Physical exam</w:t>
      </w:r>
      <w:r w:rsidRPr="001D669F">
        <w:rPr>
          <w:rFonts w:ascii="Arial" w:eastAsia="Times New Roman" w:hAnsi="Arial" w:cs="Arial"/>
          <w:color w:val="000000"/>
        </w:rPr>
        <w:t xml:space="preserve">: </w:t>
      </w:r>
    </w:p>
    <w:p w:rsidR="004D2945" w:rsidRPr="001D669F" w:rsidRDefault="004D2945" w:rsidP="004D2945">
      <w:pPr>
        <w:rPr>
          <w:rFonts w:ascii="Arial" w:eastAsia="Times New Roman" w:hAnsi="Arial" w:cs="Arial"/>
          <w:color w:val="000000"/>
        </w:rPr>
      </w:pPr>
      <w:r w:rsidRPr="001D669F">
        <w:rPr>
          <w:rFonts w:ascii="Arial" w:eastAsia="Times New Roman" w:hAnsi="Arial" w:cs="Arial"/>
          <w:b/>
          <w:i/>
          <w:color w:val="000000"/>
        </w:rPr>
        <w:t>Vital signs</w:t>
      </w:r>
      <w:r w:rsidRPr="001D669F">
        <w:rPr>
          <w:rFonts w:ascii="Arial" w:eastAsia="Times New Roman" w:hAnsi="Arial" w:cs="Arial"/>
          <w:color w:val="000000"/>
        </w:rPr>
        <w:t>: Weight –</w:t>
      </w:r>
      <w:r w:rsidR="008F0E7D">
        <w:rPr>
          <w:rFonts w:ascii="Arial" w:eastAsia="Times New Roman" w:hAnsi="Arial" w:cs="Arial"/>
          <w:color w:val="000000"/>
        </w:rPr>
        <w:t>20</w:t>
      </w:r>
      <w:r w:rsidR="00081210">
        <w:rPr>
          <w:rFonts w:ascii="Arial" w:eastAsia="Times New Roman" w:hAnsi="Arial" w:cs="Arial"/>
          <w:color w:val="000000"/>
        </w:rPr>
        <w:t>0l</w:t>
      </w:r>
      <w:r>
        <w:rPr>
          <w:rFonts w:ascii="Arial" w:eastAsia="Times New Roman" w:hAnsi="Arial" w:cs="Arial"/>
          <w:color w:val="000000"/>
        </w:rPr>
        <w:t>b</w:t>
      </w:r>
      <w:r w:rsidRPr="001D669F">
        <w:rPr>
          <w:rFonts w:ascii="Arial" w:eastAsia="Times New Roman" w:hAnsi="Arial" w:cs="Arial"/>
          <w:color w:val="000000"/>
        </w:rPr>
        <w:t xml:space="preserve">; </w:t>
      </w:r>
      <w:r>
        <w:rPr>
          <w:rFonts w:ascii="Arial" w:eastAsia="Times New Roman" w:hAnsi="Arial" w:cs="Arial"/>
          <w:color w:val="000000"/>
        </w:rPr>
        <w:t xml:space="preserve">Height – 5ft6in; </w:t>
      </w:r>
      <w:r w:rsidRPr="001D669F">
        <w:rPr>
          <w:rFonts w:ascii="Arial" w:eastAsia="Times New Roman" w:hAnsi="Arial" w:cs="Arial"/>
          <w:color w:val="000000"/>
        </w:rPr>
        <w:t>T –</w:t>
      </w:r>
      <w:r>
        <w:rPr>
          <w:rFonts w:ascii="Arial" w:eastAsia="Times New Roman" w:hAnsi="Arial" w:cs="Arial"/>
          <w:color w:val="000000"/>
        </w:rPr>
        <w:t xml:space="preserve"> </w:t>
      </w:r>
      <w:r w:rsidR="00E776B5">
        <w:rPr>
          <w:rFonts w:ascii="Arial" w:eastAsia="Times New Roman" w:hAnsi="Arial" w:cs="Arial"/>
          <w:color w:val="000000"/>
        </w:rPr>
        <w:t>100</w:t>
      </w:r>
      <w:r w:rsidR="00531840">
        <w:rPr>
          <w:rFonts w:ascii="Arial" w:eastAsia="Times New Roman" w:hAnsi="Arial" w:cs="Arial"/>
          <w:color w:val="000000"/>
        </w:rPr>
        <w:t>.0</w:t>
      </w:r>
      <w:r>
        <w:rPr>
          <w:rFonts w:ascii="Arial" w:eastAsia="Times New Roman" w:hAnsi="Arial" w:cs="Arial"/>
          <w:color w:val="000000"/>
        </w:rPr>
        <w:t>ºF;</w:t>
      </w:r>
      <w:r w:rsidRPr="001D669F">
        <w:rPr>
          <w:rFonts w:ascii="Arial" w:eastAsia="Times New Roman" w:hAnsi="Arial" w:cs="Arial"/>
          <w:color w:val="000000"/>
        </w:rPr>
        <w:t xml:space="preserve"> </w:t>
      </w:r>
      <w:r>
        <w:rPr>
          <w:rFonts w:ascii="Arial" w:eastAsia="Times New Roman" w:hAnsi="Arial" w:cs="Arial"/>
          <w:color w:val="000000"/>
        </w:rPr>
        <w:t xml:space="preserve">BP – </w:t>
      </w:r>
      <w:r w:rsidR="00531840">
        <w:rPr>
          <w:rFonts w:ascii="Arial" w:eastAsia="Times New Roman" w:hAnsi="Arial" w:cs="Arial"/>
          <w:color w:val="000000"/>
        </w:rPr>
        <w:t>122/90</w:t>
      </w:r>
      <w:r>
        <w:rPr>
          <w:rFonts w:ascii="Arial" w:eastAsia="Times New Roman" w:hAnsi="Arial" w:cs="Arial"/>
          <w:color w:val="000000"/>
        </w:rPr>
        <w:t xml:space="preserve">; </w:t>
      </w:r>
      <w:r w:rsidRPr="001D669F">
        <w:rPr>
          <w:rFonts w:ascii="Arial" w:eastAsia="Times New Roman" w:hAnsi="Arial" w:cs="Arial"/>
          <w:color w:val="000000"/>
        </w:rPr>
        <w:t>R</w:t>
      </w:r>
      <w:r>
        <w:rPr>
          <w:rFonts w:ascii="Arial" w:eastAsia="Times New Roman" w:hAnsi="Arial" w:cs="Arial"/>
          <w:color w:val="000000"/>
        </w:rPr>
        <w:t>R</w:t>
      </w:r>
      <w:r w:rsidRPr="001D669F">
        <w:rPr>
          <w:rFonts w:ascii="Arial" w:eastAsia="Times New Roman" w:hAnsi="Arial" w:cs="Arial"/>
          <w:color w:val="000000"/>
        </w:rPr>
        <w:t xml:space="preserve"> –</w:t>
      </w:r>
      <w:r>
        <w:rPr>
          <w:rFonts w:ascii="Arial" w:eastAsia="Times New Roman" w:hAnsi="Arial" w:cs="Arial"/>
          <w:color w:val="000000"/>
        </w:rPr>
        <w:t xml:space="preserve"> </w:t>
      </w:r>
      <w:r w:rsidR="00531840">
        <w:rPr>
          <w:rFonts w:ascii="Arial" w:eastAsia="Times New Roman" w:hAnsi="Arial" w:cs="Arial"/>
          <w:color w:val="000000"/>
        </w:rPr>
        <w:t>20</w:t>
      </w:r>
      <w:r w:rsidRPr="001D669F">
        <w:rPr>
          <w:rFonts w:ascii="Arial" w:eastAsia="Times New Roman" w:hAnsi="Arial" w:cs="Arial"/>
          <w:color w:val="000000"/>
        </w:rPr>
        <w:t xml:space="preserve">; HR – </w:t>
      </w:r>
      <w:r w:rsidR="00531840">
        <w:rPr>
          <w:rFonts w:ascii="Arial" w:eastAsia="Times New Roman" w:hAnsi="Arial" w:cs="Arial"/>
          <w:color w:val="000000"/>
        </w:rPr>
        <w:t>80</w:t>
      </w:r>
      <w:r>
        <w:rPr>
          <w:rFonts w:ascii="Arial" w:eastAsia="Times New Roman" w:hAnsi="Arial" w:cs="Arial"/>
          <w:color w:val="000000"/>
        </w:rPr>
        <w:t>; SaO</w:t>
      </w:r>
      <w:r w:rsidRPr="00F40F6B">
        <w:rPr>
          <w:rFonts w:ascii="Arial" w:eastAsia="Times New Roman" w:hAnsi="Arial" w:cs="Arial"/>
          <w:color w:val="000000"/>
          <w:vertAlign w:val="subscript"/>
        </w:rPr>
        <w:t>2</w:t>
      </w:r>
      <w:r>
        <w:rPr>
          <w:rFonts w:ascii="Arial" w:eastAsia="Times New Roman" w:hAnsi="Arial" w:cs="Arial"/>
          <w:color w:val="000000"/>
        </w:rPr>
        <w:t xml:space="preserve"> – </w:t>
      </w:r>
      <w:r w:rsidR="00531840">
        <w:rPr>
          <w:rFonts w:ascii="Arial" w:eastAsia="Times New Roman" w:hAnsi="Arial" w:cs="Arial"/>
          <w:color w:val="000000"/>
        </w:rPr>
        <w:t>97</w:t>
      </w:r>
      <w:r>
        <w:rPr>
          <w:rFonts w:ascii="Arial" w:eastAsia="Times New Roman" w:hAnsi="Arial" w:cs="Arial"/>
          <w:color w:val="000000"/>
        </w:rPr>
        <w:t>%</w:t>
      </w:r>
      <w:r w:rsidRPr="001D669F">
        <w:rPr>
          <w:rFonts w:ascii="Arial" w:eastAsia="Times New Roman" w:hAnsi="Arial" w:cs="Arial"/>
          <w:color w:val="000000"/>
        </w:rPr>
        <w:t xml:space="preserve"> </w:t>
      </w:r>
    </w:p>
    <w:p w:rsidR="004D2945" w:rsidRDefault="004D2945" w:rsidP="004D2945">
      <w:pPr>
        <w:rPr>
          <w:rFonts w:ascii="Arial" w:eastAsia="Times New Roman" w:hAnsi="Arial" w:cs="Arial"/>
          <w:color w:val="000000"/>
        </w:rPr>
      </w:pPr>
      <w:r w:rsidRPr="001D669F">
        <w:rPr>
          <w:rFonts w:ascii="Arial" w:eastAsia="Times New Roman" w:hAnsi="Arial" w:cs="Arial"/>
          <w:b/>
          <w:i/>
          <w:color w:val="000000"/>
        </w:rPr>
        <w:t>General</w:t>
      </w:r>
      <w:r w:rsidRPr="001D669F">
        <w:rPr>
          <w:rFonts w:ascii="Arial" w:eastAsia="Times New Roman" w:hAnsi="Arial" w:cs="Arial"/>
          <w:color w:val="000000"/>
        </w:rPr>
        <w:t>:</w:t>
      </w:r>
      <w:r>
        <w:rPr>
          <w:rFonts w:ascii="Arial" w:eastAsia="Times New Roman" w:hAnsi="Arial" w:cs="Arial"/>
          <w:color w:val="000000"/>
        </w:rPr>
        <w:t xml:space="preserve"> </w:t>
      </w:r>
      <w:r w:rsidR="00531840">
        <w:rPr>
          <w:rFonts w:ascii="Arial" w:eastAsia="Times New Roman" w:hAnsi="Arial" w:cs="Arial"/>
          <w:color w:val="000000"/>
        </w:rPr>
        <w:t>L.K. appears of the stated age, well groomed, and of normal habitus</w:t>
      </w:r>
    </w:p>
    <w:p w:rsidR="00821963" w:rsidRPr="00821963" w:rsidRDefault="00821963" w:rsidP="004D2945">
      <w:pPr>
        <w:rPr>
          <w:rFonts w:ascii="Arial" w:eastAsia="Times New Roman" w:hAnsi="Arial" w:cs="Arial"/>
          <w:b/>
          <w:color w:val="000000"/>
        </w:rPr>
      </w:pPr>
      <w:r>
        <w:rPr>
          <w:rFonts w:ascii="Arial" w:eastAsia="Times New Roman" w:hAnsi="Arial" w:cs="Arial"/>
          <w:b/>
          <w:i/>
          <w:color w:val="000000"/>
        </w:rPr>
        <w:t xml:space="preserve">Neck: </w:t>
      </w:r>
      <w:r>
        <w:rPr>
          <w:rFonts w:ascii="Arial" w:eastAsia="Times New Roman" w:hAnsi="Arial" w:cs="Arial"/>
          <w:color w:val="000000"/>
        </w:rPr>
        <w:t xml:space="preserve">Sample, trachea midline, no palpable masses, carotid pulse regular, no jugular vein distension </w:t>
      </w:r>
    </w:p>
    <w:p w:rsidR="004D2945" w:rsidRPr="001D669F" w:rsidRDefault="004D2945" w:rsidP="004D2945">
      <w:pPr>
        <w:rPr>
          <w:rFonts w:ascii="Arial" w:eastAsia="Times New Roman" w:hAnsi="Arial" w:cs="Arial"/>
          <w:color w:val="000000"/>
        </w:rPr>
      </w:pPr>
      <w:r w:rsidRPr="001D669F">
        <w:rPr>
          <w:rFonts w:ascii="Arial" w:eastAsia="Times New Roman" w:hAnsi="Arial" w:cs="Arial"/>
          <w:b/>
          <w:i/>
          <w:color w:val="000000"/>
        </w:rPr>
        <w:t>Respiratory</w:t>
      </w:r>
      <w:r w:rsidRPr="001D669F">
        <w:rPr>
          <w:rFonts w:ascii="Arial" w:eastAsia="Times New Roman" w:hAnsi="Arial" w:cs="Arial"/>
          <w:color w:val="000000"/>
        </w:rPr>
        <w:t>:</w:t>
      </w:r>
      <w:r>
        <w:rPr>
          <w:rFonts w:ascii="Arial" w:eastAsia="Times New Roman" w:hAnsi="Arial" w:cs="Arial"/>
          <w:color w:val="000000"/>
        </w:rPr>
        <w:t xml:space="preserve"> </w:t>
      </w:r>
      <w:r w:rsidR="00821963">
        <w:rPr>
          <w:rFonts w:ascii="Arial" w:eastAsia="Times New Roman" w:hAnsi="Arial" w:cs="Arial"/>
          <w:color w:val="000000"/>
        </w:rPr>
        <w:t>Symmetric chest expansion</w:t>
      </w:r>
      <w:r w:rsidR="00C31CAB">
        <w:rPr>
          <w:rFonts w:ascii="Arial" w:eastAsia="Times New Roman" w:hAnsi="Arial" w:cs="Arial"/>
          <w:color w:val="000000"/>
        </w:rPr>
        <w:t>, unlabored breathing, no use of accessory muscles, clear lung sounds to auscultation, no wheezes, rhonchi, or crackles</w:t>
      </w:r>
    </w:p>
    <w:p w:rsidR="004D2945" w:rsidRDefault="004D2945" w:rsidP="004D2945">
      <w:pPr>
        <w:rPr>
          <w:rFonts w:ascii="Arial" w:eastAsia="Times New Roman" w:hAnsi="Arial" w:cs="Arial"/>
          <w:color w:val="000000"/>
        </w:rPr>
      </w:pPr>
      <w:r w:rsidRPr="001D669F">
        <w:rPr>
          <w:rFonts w:ascii="Arial" w:eastAsia="Times New Roman" w:hAnsi="Arial" w:cs="Arial"/>
          <w:b/>
          <w:i/>
          <w:color w:val="000000"/>
        </w:rPr>
        <w:t>Cardiovascular</w:t>
      </w:r>
      <w:r>
        <w:rPr>
          <w:rFonts w:ascii="Arial" w:eastAsia="Times New Roman" w:hAnsi="Arial" w:cs="Arial"/>
          <w:color w:val="000000"/>
        </w:rPr>
        <w:t xml:space="preserve">: </w:t>
      </w:r>
      <w:r w:rsidR="00C31CAB">
        <w:rPr>
          <w:rFonts w:ascii="Arial" w:eastAsia="Times New Roman" w:hAnsi="Arial" w:cs="Arial"/>
          <w:color w:val="000000"/>
        </w:rPr>
        <w:t>RRR, S1 and S2, no heaves, lifts, or thrills</w:t>
      </w:r>
    </w:p>
    <w:p w:rsidR="00174B68" w:rsidRDefault="00C31CAB" w:rsidP="004D2945">
      <w:pPr>
        <w:rPr>
          <w:rFonts w:ascii="Arial" w:eastAsia="Times New Roman" w:hAnsi="Arial" w:cs="Arial"/>
          <w:color w:val="000000"/>
        </w:rPr>
      </w:pPr>
      <w:r>
        <w:rPr>
          <w:rFonts w:ascii="Arial" w:eastAsia="Times New Roman" w:hAnsi="Arial" w:cs="Arial"/>
          <w:b/>
          <w:i/>
          <w:color w:val="000000"/>
        </w:rPr>
        <w:t>Peripheral vascular</w:t>
      </w:r>
      <w:r w:rsidR="004D2945" w:rsidRPr="001D669F">
        <w:rPr>
          <w:rFonts w:ascii="Arial" w:eastAsia="Times New Roman" w:hAnsi="Arial" w:cs="Arial"/>
          <w:color w:val="000000"/>
        </w:rPr>
        <w:t>:</w:t>
      </w:r>
      <w:r w:rsidR="00EE505D">
        <w:rPr>
          <w:rFonts w:ascii="Arial" w:eastAsia="Times New Roman" w:hAnsi="Arial" w:cs="Arial"/>
          <w:color w:val="000000"/>
        </w:rPr>
        <w:t xml:space="preserve"> Symmetric carotid artery pulses, no JVD, no clubbing, peripheral edema, or cyanosis; no visible varicose vein, pedal and radial pulses 2+ bilaterally; capillary refill &lt;3 seconds</w:t>
      </w:r>
    </w:p>
    <w:p w:rsidR="00EF4D23" w:rsidRDefault="00174B68" w:rsidP="004D2945">
      <w:pPr>
        <w:rPr>
          <w:rFonts w:ascii="Arial" w:eastAsia="Times New Roman" w:hAnsi="Arial" w:cs="Arial"/>
          <w:color w:val="000000"/>
        </w:rPr>
      </w:pPr>
      <w:r>
        <w:rPr>
          <w:rFonts w:ascii="Arial" w:eastAsia="Times New Roman" w:hAnsi="Arial" w:cs="Arial"/>
          <w:b/>
          <w:i/>
          <w:color w:val="000000"/>
        </w:rPr>
        <w:t xml:space="preserve">Extremities: </w:t>
      </w:r>
      <w:r>
        <w:rPr>
          <w:rFonts w:ascii="Arial" w:eastAsia="Times New Roman" w:hAnsi="Arial" w:cs="Arial"/>
          <w:color w:val="000000"/>
        </w:rPr>
        <w:t xml:space="preserve">Active ROM, equal calf sizes, negative </w:t>
      </w:r>
      <w:proofErr w:type="spellStart"/>
      <w:r>
        <w:rPr>
          <w:rFonts w:ascii="Arial" w:eastAsia="Times New Roman" w:hAnsi="Arial" w:cs="Arial"/>
          <w:color w:val="000000"/>
        </w:rPr>
        <w:t>Hooman’s</w:t>
      </w:r>
      <w:proofErr w:type="spellEnd"/>
      <w:r w:rsidR="00EF4D23">
        <w:rPr>
          <w:rFonts w:ascii="Arial" w:eastAsia="Times New Roman" w:hAnsi="Arial" w:cs="Arial"/>
          <w:color w:val="000000"/>
        </w:rPr>
        <w:t xml:space="preserve"> sign</w:t>
      </w:r>
    </w:p>
    <w:p w:rsidR="004D2945" w:rsidRPr="00EF4D23" w:rsidRDefault="004D2945" w:rsidP="004D2945">
      <w:pPr>
        <w:rPr>
          <w:rFonts w:ascii="Arial" w:eastAsia="Times New Roman" w:hAnsi="Arial" w:cs="Arial"/>
          <w:color w:val="000000"/>
        </w:rPr>
      </w:pPr>
      <w:r w:rsidRPr="00EF4D23">
        <w:rPr>
          <w:rFonts w:ascii="Arial" w:eastAsia="Times New Roman" w:hAnsi="Arial" w:cs="Arial"/>
          <w:b/>
          <w:color w:val="000000"/>
        </w:rPr>
        <w:t xml:space="preserve"> </w:t>
      </w:r>
      <w:r w:rsidR="00EF4D23" w:rsidRPr="00EF4D23">
        <w:rPr>
          <w:rFonts w:ascii="Arial" w:eastAsia="Times New Roman" w:hAnsi="Arial" w:cs="Arial"/>
          <w:b/>
          <w:i/>
          <w:color w:val="000000"/>
        </w:rPr>
        <w:t>Musculoskeletal</w:t>
      </w:r>
      <w:r w:rsidR="00EF4D23">
        <w:rPr>
          <w:rFonts w:ascii="Arial" w:eastAsia="Times New Roman" w:hAnsi="Arial" w:cs="Arial"/>
          <w:b/>
          <w:i/>
          <w:color w:val="000000"/>
        </w:rPr>
        <w:t>:</w:t>
      </w:r>
      <w:r w:rsidR="00EF4D23">
        <w:rPr>
          <w:rFonts w:ascii="Arial" w:eastAsia="Times New Roman" w:hAnsi="Arial" w:cs="Arial"/>
          <w:b/>
          <w:color w:val="000000"/>
        </w:rPr>
        <w:t xml:space="preserve"> </w:t>
      </w:r>
      <w:r w:rsidR="00F113EA">
        <w:rPr>
          <w:rFonts w:ascii="Arial" w:eastAsia="Times New Roman" w:hAnsi="Arial" w:cs="Arial"/>
          <w:color w:val="000000"/>
        </w:rPr>
        <w:t>Reduced ROM right thumb (flexion - 72º, extension - 7</w:t>
      </w:r>
      <w:r w:rsidR="00F113EA">
        <w:rPr>
          <w:rFonts w:ascii="Arial" w:eastAsia="Times New Roman" w:hAnsi="Arial" w:cs="Arial"/>
          <w:color w:val="000000"/>
        </w:rPr>
        <w:t>º</w:t>
      </w:r>
      <w:r w:rsidR="00F113EA">
        <w:rPr>
          <w:rFonts w:ascii="Arial" w:eastAsia="Times New Roman" w:hAnsi="Arial" w:cs="Arial"/>
          <w:color w:val="000000"/>
        </w:rPr>
        <w:t>)</w:t>
      </w:r>
      <w:r w:rsidR="000B37D5">
        <w:rPr>
          <w:rFonts w:ascii="Arial" w:eastAsia="Times New Roman" w:hAnsi="Arial" w:cs="Arial"/>
          <w:color w:val="000000"/>
        </w:rPr>
        <w:t>; active ROM in other digits; right thumb swollen, tender, and painful to palpation</w:t>
      </w:r>
    </w:p>
    <w:p w:rsidR="004D2945" w:rsidRDefault="004D2945" w:rsidP="004D2945">
      <w:pPr>
        <w:spacing w:before="100" w:beforeAutospacing="1" w:after="100" w:afterAutospacing="1"/>
        <w:rPr>
          <w:rFonts w:ascii="Arial" w:eastAsia="Times New Roman" w:hAnsi="Arial" w:cs="Arial"/>
          <w:color w:val="000000"/>
        </w:rPr>
      </w:pPr>
      <w:r w:rsidRPr="001D669F">
        <w:rPr>
          <w:rFonts w:ascii="Arial" w:eastAsia="Times New Roman" w:hAnsi="Arial" w:cs="Arial"/>
          <w:b/>
          <w:bCs/>
          <w:color w:val="000000"/>
        </w:rPr>
        <w:t>Diagnostic results</w:t>
      </w:r>
      <w:r w:rsidRPr="001D669F">
        <w:rPr>
          <w:rFonts w:ascii="Arial" w:eastAsia="Times New Roman" w:hAnsi="Arial" w:cs="Arial"/>
          <w:color w:val="000000"/>
        </w:rPr>
        <w:t>:</w:t>
      </w:r>
      <w:r>
        <w:rPr>
          <w:rFonts w:ascii="Arial" w:eastAsia="Times New Roman" w:hAnsi="Arial" w:cs="Arial"/>
          <w:color w:val="000000"/>
        </w:rPr>
        <w:t xml:space="preserve"> </w:t>
      </w:r>
    </w:p>
    <w:p w:rsidR="004D2945" w:rsidRPr="00962EAB" w:rsidRDefault="004D2945" w:rsidP="004D2945">
      <w:pPr>
        <w:spacing w:before="100" w:beforeAutospacing="1" w:after="100" w:afterAutospacing="1"/>
        <w:rPr>
          <w:rFonts w:ascii="Arial" w:eastAsia="Times New Roman" w:hAnsi="Arial" w:cs="Arial"/>
          <w:color w:val="000000"/>
        </w:rPr>
      </w:pPr>
    </w:p>
    <w:p w:rsidR="004D2945" w:rsidRDefault="004D2945" w:rsidP="004D2945">
      <w:pPr>
        <w:spacing w:before="100" w:beforeAutospacing="1" w:after="100" w:afterAutospacing="1"/>
        <w:jc w:val="center"/>
        <w:rPr>
          <w:rFonts w:ascii="Arial" w:eastAsia="Times New Roman" w:hAnsi="Arial" w:cs="Arial"/>
          <w:b/>
          <w:bCs/>
          <w:color w:val="000000"/>
          <w:u w:val="single"/>
        </w:rPr>
      </w:pPr>
      <w:r w:rsidRPr="001D669F">
        <w:rPr>
          <w:rFonts w:ascii="Arial" w:eastAsia="Times New Roman" w:hAnsi="Arial" w:cs="Arial"/>
          <w:b/>
          <w:bCs/>
          <w:color w:val="000000"/>
          <w:u w:val="single"/>
        </w:rPr>
        <w:t>Assessment</w:t>
      </w:r>
    </w:p>
    <w:p w:rsidR="004D2945" w:rsidRDefault="004D2945" w:rsidP="004D2945">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 xml:space="preserve">Primary and Differential Diagnoses </w:t>
      </w:r>
    </w:p>
    <w:p w:rsidR="009931E6" w:rsidRPr="009931E6" w:rsidRDefault="009931E6" w:rsidP="009931E6">
      <w:pPr>
        <w:pStyle w:val="ListParagraph"/>
        <w:numPr>
          <w:ilvl w:val="0"/>
          <w:numId w:val="4"/>
        </w:numPr>
        <w:spacing w:before="100" w:beforeAutospacing="1" w:after="100" w:afterAutospacing="1"/>
        <w:rPr>
          <w:rFonts w:ascii="Arial" w:eastAsia="Times New Roman" w:hAnsi="Arial" w:cs="Arial"/>
          <w:b/>
          <w:color w:val="000000"/>
          <w:sz w:val="24"/>
          <w:szCs w:val="24"/>
        </w:rPr>
      </w:pPr>
      <w:r w:rsidRPr="009931E6">
        <w:rPr>
          <w:rFonts w:ascii="Arial" w:eastAsia="Times New Roman" w:hAnsi="Arial" w:cs="Arial"/>
          <w:b/>
          <w:color w:val="000000"/>
          <w:sz w:val="24"/>
          <w:szCs w:val="24"/>
        </w:rPr>
        <w:lastRenderedPageBreak/>
        <w:t xml:space="preserve">Rheumatoid arthritis. </w:t>
      </w:r>
      <w:r w:rsidRPr="009931E6">
        <w:rPr>
          <w:rFonts w:ascii="Arial" w:eastAsia="Times New Roman" w:hAnsi="Arial" w:cs="Arial"/>
          <w:color w:val="000000"/>
          <w:sz w:val="24"/>
          <w:szCs w:val="24"/>
        </w:rPr>
        <w:t xml:space="preserve">RA </w:t>
      </w:r>
      <w:r w:rsidRPr="009931E6">
        <w:rPr>
          <w:rFonts w:ascii="Arial" w:hAnsi="Arial" w:cs="Arial"/>
          <w:sz w:val="24"/>
          <w:szCs w:val="24"/>
        </w:rPr>
        <w:t>chronic systemic inflammatory disease emanating from the interaction among immunologic, genetic, and environmental factors. The condition often starts in small joints attaching fingers to the hand and toes to the feet and progresses to larger joints such as knees, wrists, elbows, ankles, shoulders, and elbows. The progression could affect other organs, including the heart, kidneys, lungs, and the skin (Bullock et al., 2019). Exposure to environmental pollutants such as smoke, silica dust, and carbon-derived nanomaterials could contribute to the development of the disease (</w:t>
      </w:r>
      <w:proofErr w:type="spellStart"/>
      <w:r w:rsidRPr="009931E6">
        <w:rPr>
          <w:rFonts w:ascii="Arial" w:hAnsi="Arial" w:cs="Arial"/>
          <w:sz w:val="24"/>
          <w:szCs w:val="24"/>
        </w:rPr>
        <w:t>Alsaber</w:t>
      </w:r>
      <w:proofErr w:type="spellEnd"/>
      <w:r w:rsidRPr="009931E6">
        <w:rPr>
          <w:rFonts w:ascii="Arial" w:hAnsi="Arial" w:cs="Arial"/>
          <w:sz w:val="24"/>
          <w:szCs w:val="24"/>
        </w:rPr>
        <w:t xml:space="preserve"> et al., 2020). Environmental factors contribute to the condition by mediating the release of anti-</w:t>
      </w:r>
      <w:proofErr w:type="spellStart"/>
      <w:r w:rsidRPr="009931E6">
        <w:rPr>
          <w:rFonts w:ascii="Arial" w:hAnsi="Arial" w:cs="Arial"/>
          <w:sz w:val="24"/>
          <w:szCs w:val="24"/>
        </w:rPr>
        <w:t>citrullinated</w:t>
      </w:r>
      <w:proofErr w:type="spellEnd"/>
      <w:r w:rsidRPr="009931E6">
        <w:rPr>
          <w:rFonts w:ascii="Arial" w:hAnsi="Arial" w:cs="Arial"/>
          <w:sz w:val="24"/>
          <w:szCs w:val="24"/>
        </w:rPr>
        <w:t xml:space="preserve"> protein antibodies (ACPAs). The interaction with genetic factors results in the reactivity of antiantibodies to </w:t>
      </w:r>
      <w:proofErr w:type="spellStart"/>
      <w:r w:rsidRPr="009931E6">
        <w:rPr>
          <w:rFonts w:ascii="Arial" w:hAnsi="Arial" w:cs="Arial"/>
          <w:sz w:val="24"/>
          <w:szCs w:val="24"/>
        </w:rPr>
        <w:t>citrullinated</w:t>
      </w:r>
      <w:proofErr w:type="spellEnd"/>
      <w:r w:rsidRPr="009931E6">
        <w:rPr>
          <w:rFonts w:ascii="Arial" w:hAnsi="Arial" w:cs="Arial"/>
          <w:sz w:val="24"/>
          <w:szCs w:val="24"/>
        </w:rPr>
        <w:t xml:space="preserve"> antigens (</w:t>
      </w:r>
      <w:hyperlink r:id="rId5" w:history="1">
        <w:r w:rsidRPr="009931E6">
          <w:rPr>
            <w:rFonts w:ascii="Arial" w:hAnsi="Arial" w:cs="Arial"/>
            <w:sz w:val="24"/>
            <w:szCs w:val="24"/>
          </w:rPr>
          <w:t>Guo et al., 2018</w:t>
        </w:r>
      </w:hyperlink>
      <w:r w:rsidRPr="009931E6">
        <w:rPr>
          <w:rFonts w:ascii="Arial" w:hAnsi="Arial" w:cs="Arial"/>
          <w:sz w:val="24"/>
          <w:szCs w:val="24"/>
        </w:rPr>
        <w:t>). In turn, this leads to the destruction of connective tissue and synovial membranes. Prolonged destructions results in the formation of pannus at the junction synovial tissue and articular cartilage. Consequently, this damages the cartilage, soft tissue, and subchondral bone resulting in further joint pain, swelling, and tenderness (</w:t>
      </w:r>
      <w:proofErr w:type="spellStart"/>
      <w:r w:rsidRPr="009931E6">
        <w:rPr>
          <w:rFonts w:ascii="Arial" w:hAnsi="Arial" w:cs="Arial"/>
          <w:sz w:val="24"/>
          <w:szCs w:val="24"/>
        </w:rPr>
        <w:t>Owtrowska</w:t>
      </w:r>
      <w:proofErr w:type="spellEnd"/>
      <w:r w:rsidRPr="009931E6">
        <w:rPr>
          <w:rFonts w:ascii="Arial" w:hAnsi="Arial" w:cs="Arial"/>
          <w:sz w:val="24"/>
          <w:szCs w:val="24"/>
        </w:rPr>
        <w:t xml:space="preserve"> et al., 2018). L.K. presents with conventional clinical manifestations of RA. The disease often involves symptoms such as morning stiffness that lasts for more than 30 minutes, fever, fatigue, weight loss, joint tenderness, swelling, and warmth (</w:t>
      </w:r>
      <w:r w:rsidR="00A138A6">
        <w:rPr>
          <w:rFonts w:ascii="Arial" w:hAnsi="Arial" w:cs="Arial"/>
          <w:sz w:val="24"/>
          <w:szCs w:val="24"/>
        </w:rPr>
        <w:t>Bullock et al., 2019</w:t>
      </w:r>
      <w:r w:rsidRPr="009931E6">
        <w:rPr>
          <w:rFonts w:ascii="Arial" w:hAnsi="Arial" w:cs="Arial"/>
          <w:sz w:val="24"/>
          <w:szCs w:val="24"/>
        </w:rPr>
        <w:t>).</w:t>
      </w:r>
    </w:p>
    <w:p w:rsidR="009931E6" w:rsidRPr="009931E6" w:rsidRDefault="009931E6" w:rsidP="009931E6">
      <w:pPr>
        <w:pStyle w:val="ListParagraph"/>
        <w:numPr>
          <w:ilvl w:val="0"/>
          <w:numId w:val="4"/>
        </w:numPr>
        <w:spacing w:before="100" w:beforeAutospacing="1" w:after="100" w:afterAutospacing="1"/>
        <w:rPr>
          <w:rFonts w:ascii="Arial" w:eastAsia="Times New Roman" w:hAnsi="Arial" w:cs="Arial"/>
          <w:b/>
          <w:color w:val="000000"/>
          <w:sz w:val="24"/>
          <w:szCs w:val="24"/>
        </w:rPr>
      </w:pPr>
      <w:r w:rsidRPr="009931E6">
        <w:rPr>
          <w:rFonts w:ascii="Arial" w:eastAsia="Times New Roman" w:hAnsi="Arial" w:cs="Arial"/>
          <w:b/>
          <w:color w:val="000000"/>
          <w:sz w:val="24"/>
          <w:szCs w:val="24"/>
        </w:rPr>
        <w:t xml:space="preserve">Psoriatic arthritis: </w:t>
      </w:r>
      <w:proofErr w:type="spellStart"/>
      <w:r w:rsidRPr="009931E6">
        <w:rPr>
          <w:rFonts w:ascii="Arial" w:eastAsia="Times New Roman" w:hAnsi="Arial" w:cs="Arial"/>
          <w:color w:val="000000"/>
          <w:sz w:val="24"/>
          <w:szCs w:val="24"/>
        </w:rPr>
        <w:t>PsA</w:t>
      </w:r>
      <w:proofErr w:type="spellEnd"/>
      <w:r w:rsidRPr="009931E6">
        <w:rPr>
          <w:rFonts w:ascii="Arial" w:eastAsia="Times New Roman" w:hAnsi="Arial" w:cs="Arial"/>
          <w:color w:val="000000"/>
          <w:sz w:val="24"/>
          <w:szCs w:val="24"/>
        </w:rPr>
        <w:t xml:space="preserve"> is also a chronic musculoskeletal disease mediated by immune and inflammatory factors. Similar to PA, the pathophysiology of the disease involves an interaction among genetic, environmental, and immunologic factors (</w:t>
      </w:r>
      <w:proofErr w:type="spellStart"/>
      <w:r w:rsidRPr="009931E6">
        <w:rPr>
          <w:rFonts w:ascii="Arial" w:eastAsia="Times New Roman" w:hAnsi="Arial" w:cs="Arial"/>
          <w:color w:val="000000"/>
          <w:sz w:val="24"/>
          <w:szCs w:val="24"/>
        </w:rPr>
        <w:t>Ocampo</w:t>
      </w:r>
      <w:proofErr w:type="spellEnd"/>
      <w:r w:rsidRPr="009931E6">
        <w:rPr>
          <w:rFonts w:ascii="Arial" w:eastAsia="Times New Roman" w:hAnsi="Arial" w:cs="Arial"/>
          <w:color w:val="000000"/>
          <w:sz w:val="24"/>
          <w:szCs w:val="24"/>
        </w:rPr>
        <w:t xml:space="preserve"> &amp; </w:t>
      </w:r>
      <w:proofErr w:type="spellStart"/>
      <w:r w:rsidRPr="009931E6">
        <w:rPr>
          <w:rFonts w:ascii="Arial" w:eastAsia="Times New Roman" w:hAnsi="Arial" w:cs="Arial"/>
          <w:color w:val="000000"/>
          <w:sz w:val="24"/>
          <w:szCs w:val="24"/>
        </w:rPr>
        <w:t>Gladman</w:t>
      </w:r>
      <w:proofErr w:type="spellEnd"/>
      <w:r w:rsidRPr="009931E6">
        <w:rPr>
          <w:rFonts w:ascii="Arial" w:eastAsia="Times New Roman" w:hAnsi="Arial" w:cs="Arial"/>
          <w:color w:val="000000"/>
          <w:sz w:val="24"/>
          <w:szCs w:val="24"/>
        </w:rPr>
        <w:t>, 2019). In addition, other external factors, including s</w:t>
      </w:r>
      <w:r w:rsidRPr="009931E6">
        <w:rPr>
          <w:rFonts w:ascii="Arial" w:hAnsi="Arial" w:cs="Arial"/>
          <w:bCs/>
          <w:sz w:val="24"/>
          <w:szCs w:val="24"/>
        </w:rPr>
        <w:t xml:space="preserve">ome medications, trauma, and infections, could contribute to its development. The factors stimulate rapid </w:t>
      </w:r>
      <w:proofErr w:type="spellStart"/>
      <w:r w:rsidRPr="009931E6">
        <w:rPr>
          <w:rFonts w:ascii="Arial" w:hAnsi="Arial" w:cs="Arial"/>
          <w:bCs/>
          <w:sz w:val="24"/>
          <w:szCs w:val="24"/>
        </w:rPr>
        <w:t>immunocyte</w:t>
      </w:r>
      <w:proofErr w:type="spellEnd"/>
      <w:r w:rsidRPr="009931E6">
        <w:rPr>
          <w:rFonts w:ascii="Arial" w:hAnsi="Arial" w:cs="Arial"/>
          <w:bCs/>
          <w:sz w:val="24"/>
          <w:szCs w:val="24"/>
        </w:rPr>
        <w:t xml:space="preserve"> activation resulting in a cascade of cytokines with interferon gamma and tumor necrosis factor </w:t>
      </w:r>
      <w:proofErr w:type="gramStart"/>
      <w:r w:rsidRPr="009931E6">
        <w:rPr>
          <w:rFonts w:ascii="Arial" w:hAnsi="Arial" w:cs="Arial"/>
          <w:bCs/>
          <w:sz w:val="24"/>
          <w:szCs w:val="24"/>
        </w:rPr>
        <w:t>being released</w:t>
      </w:r>
      <w:proofErr w:type="gramEnd"/>
      <w:r w:rsidRPr="009931E6">
        <w:rPr>
          <w:rFonts w:ascii="Arial" w:hAnsi="Arial" w:cs="Arial"/>
          <w:bCs/>
          <w:sz w:val="24"/>
          <w:szCs w:val="24"/>
        </w:rPr>
        <w:t xml:space="preserve">. Besides, inflammatory processes associated with </w:t>
      </w:r>
      <w:proofErr w:type="spellStart"/>
      <w:r w:rsidRPr="009931E6">
        <w:rPr>
          <w:rFonts w:ascii="Arial" w:hAnsi="Arial" w:cs="Arial"/>
          <w:bCs/>
          <w:sz w:val="24"/>
          <w:szCs w:val="24"/>
        </w:rPr>
        <w:t>PsA</w:t>
      </w:r>
      <w:proofErr w:type="spellEnd"/>
      <w:r w:rsidRPr="009931E6">
        <w:rPr>
          <w:rFonts w:ascii="Arial" w:hAnsi="Arial" w:cs="Arial"/>
          <w:bCs/>
          <w:sz w:val="24"/>
          <w:szCs w:val="24"/>
        </w:rPr>
        <w:t xml:space="preserve"> could emanate from the release of proteins that disturb the signaling between T cells and dendritic cells or the </w:t>
      </w:r>
      <w:proofErr w:type="spellStart"/>
      <w:r w:rsidRPr="009931E6">
        <w:rPr>
          <w:rFonts w:ascii="Arial" w:hAnsi="Arial" w:cs="Arial"/>
          <w:bCs/>
          <w:sz w:val="24"/>
          <w:szCs w:val="24"/>
        </w:rPr>
        <w:t>alterationsof</w:t>
      </w:r>
      <w:proofErr w:type="spellEnd"/>
      <w:r w:rsidRPr="009931E6">
        <w:rPr>
          <w:rFonts w:ascii="Arial" w:hAnsi="Arial" w:cs="Arial"/>
          <w:bCs/>
          <w:sz w:val="24"/>
          <w:szCs w:val="24"/>
        </w:rPr>
        <w:t xml:space="preserve"> interleukin 23 (</w:t>
      </w:r>
      <w:proofErr w:type="spellStart"/>
      <w:r w:rsidRPr="009931E6">
        <w:rPr>
          <w:rFonts w:ascii="Arial" w:hAnsi="Arial" w:cs="Arial"/>
          <w:bCs/>
          <w:sz w:val="24"/>
          <w:szCs w:val="24"/>
        </w:rPr>
        <w:t>Sankowski</w:t>
      </w:r>
      <w:proofErr w:type="spellEnd"/>
      <w:r w:rsidRPr="009931E6">
        <w:rPr>
          <w:rFonts w:ascii="Arial" w:hAnsi="Arial" w:cs="Arial"/>
          <w:bCs/>
          <w:sz w:val="24"/>
          <w:szCs w:val="24"/>
        </w:rPr>
        <w:t xml:space="preserve"> et al., 2018). Obesity is a significant risk factor in the pathogenesis of the disease (</w:t>
      </w:r>
      <w:proofErr w:type="spellStart"/>
      <w:r w:rsidRPr="009931E6">
        <w:rPr>
          <w:rFonts w:ascii="Arial" w:hAnsi="Arial" w:cs="Arial"/>
          <w:bCs/>
          <w:sz w:val="24"/>
          <w:szCs w:val="24"/>
        </w:rPr>
        <w:t>Queiro</w:t>
      </w:r>
      <w:proofErr w:type="spellEnd"/>
      <w:r w:rsidRPr="009931E6">
        <w:rPr>
          <w:rFonts w:ascii="Arial" w:hAnsi="Arial" w:cs="Arial"/>
          <w:bCs/>
          <w:sz w:val="24"/>
          <w:szCs w:val="24"/>
        </w:rPr>
        <w:t xml:space="preserve"> et al., 2019). Pertinent positives for </w:t>
      </w:r>
      <w:proofErr w:type="spellStart"/>
      <w:r w:rsidRPr="009931E6">
        <w:rPr>
          <w:rFonts w:ascii="Arial" w:hAnsi="Arial" w:cs="Arial"/>
          <w:bCs/>
          <w:sz w:val="24"/>
          <w:szCs w:val="24"/>
        </w:rPr>
        <w:t>PsA</w:t>
      </w:r>
      <w:proofErr w:type="spellEnd"/>
      <w:r w:rsidRPr="009931E6">
        <w:rPr>
          <w:rFonts w:ascii="Arial" w:hAnsi="Arial" w:cs="Arial"/>
          <w:bCs/>
          <w:sz w:val="24"/>
          <w:szCs w:val="24"/>
        </w:rPr>
        <w:t xml:space="preserve"> in the presentation include joint swelling and tenderness, morning stiffness of the joints, and fatigue. However, the absence of a family history of </w:t>
      </w:r>
      <w:proofErr w:type="spellStart"/>
      <w:r w:rsidRPr="009931E6">
        <w:rPr>
          <w:rFonts w:ascii="Arial" w:hAnsi="Arial" w:cs="Arial"/>
          <w:bCs/>
          <w:sz w:val="24"/>
          <w:szCs w:val="24"/>
        </w:rPr>
        <w:t>PsA</w:t>
      </w:r>
      <w:proofErr w:type="spellEnd"/>
      <w:r w:rsidRPr="009931E6">
        <w:rPr>
          <w:rFonts w:ascii="Arial" w:hAnsi="Arial" w:cs="Arial"/>
          <w:bCs/>
          <w:sz w:val="24"/>
          <w:szCs w:val="24"/>
        </w:rPr>
        <w:t xml:space="preserve"> makes the diagnosis less likely. In addition, the patient does not present with peripheral arthritis, axial involvement, or sausage-like appearance of the affected joints as </w:t>
      </w:r>
      <w:proofErr w:type="gramStart"/>
      <w:r w:rsidRPr="009931E6">
        <w:rPr>
          <w:rFonts w:ascii="Arial" w:hAnsi="Arial" w:cs="Arial"/>
          <w:bCs/>
          <w:sz w:val="24"/>
          <w:szCs w:val="24"/>
        </w:rPr>
        <w:t>would be expected</w:t>
      </w:r>
      <w:proofErr w:type="gramEnd"/>
      <w:r w:rsidRPr="009931E6">
        <w:rPr>
          <w:rFonts w:ascii="Arial" w:hAnsi="Arial" w:cs="Arial"/>
          <w:bCs/>
          <w:sz w:val="24"/>
          <w:szCs w:val="24"/>
        </w:rPr>
        <w:t xml:space="preserve"> in </w:t>
      </w:r>
      <w:proofErr w:type="spellStart"/>
      <w:r w:rsidRPr="009931E6">
        <w:rPr>
          <w:rFonts w:ascii="Arial" w:hAnsi="Arial" w:cs="Arial"/>
          <w:bCs/>
          <w:sz w:val="24"/>
          <w:szCs w:val="24"/>
        </w:rPr>
        <w:t>PsA.</w:t>
      </w:r>
      <w:proofErr w:type="spellEnd"/>
      <w:r w:rsidRPr="009931E6">
        <w:rPr>
          <w:rFonts w:ascii="Arial" w:hAnsi="Arial" w:cs="Arial"/>
          <w:bCs/>
          <w:sz w:val="24"/>
          <w:szCs w:val="24"/>
        </w:rPr>
        <w:t xml:space="preserve"> </w:t>
      </w:r>
    </w:p>
    <w:p w:rsidR="009931E6" w:rsidRPr="009931E6" w:rsidRDefault="009931E6" w:rsidP="009931E6">
      <w:pPr>
        <w:pStyle w:val="ListParagraph"/>
        <w:numPr>
          <w:ilvl w:val="0"/>
          <w:numId w:val="4"/>
        </w:numPr>
        <w:spacing w:before="100" w:beforeAutospacing="1" w:after="100" w:afterAutospacing="1"/>
        <w:rPr>
          <w:rFonts w:ascii="Arial" w:eastAsia="Times New Roman" w:hAnsi="Arial" w:cs="Arial"/>
          <w:b/>
          <w:color w:val="000000"/>
          <w:sz w:val="24"/>
          <w:szCs w:val="24"/>
        </w:rPr>
      </w:pPr>
      <w:r w:rsidRPr="009931E6">
        <w:rPr>
          <w:rFonts w:ascii="Arial" w:eastAsia="Times New Roman" w:hAnsi="Arial" w:cs="Arial"/>
          <w:b/>
          <w:color w:val="000000"/>
          <w:sz w:val="24"/>
          <w:szCs w:val="24"/>
        </w:rPr>
        <w:t xml:space="preserve">Osteoarthritis: </w:t>
      </w:r>
      <w:r w:rsidRPr="009931E6">
        <w:rPr>
          <w:rFonts w:ascii="Arial" w:eastAsia="Times New Roman" w:hAnsi="Arial" w:cs="Arial"/>
          <w:color w:val="000000"/>
          <w:sz w:val="24"/>
          <w:szCs w:val="24"/>
        </w:rPr>
        <w:t>OA is an inflammatory condition involving the progressive degeneration of the articular cartilage in the affected joints. Pro-inflammatory markers, abnormal joint mechanics, and mechanical stress mediate its emergence and progression (</w:t>
      </w:r>
      <w:proofErr w:type="spellStart"/>
      <w:r w:rsidRPr="009931E6">
        <w:rPr>
          <w:rFonts w:ascii="Arial" w:eastAsia="Times New Roman" w:hAnsi="Arial" w:cs="Arial"/>
          <w:color w:val="000000"/>
          <w:sz w:val="24"/>
          <w:szCs w:val="24"/>
        </w:rPr>
        <w:t>Mohd</w:t>
      </w:r>
      <w:proofErr w:type="spellEnd"/>
      <w:r w:rsidRPr="009931E6">
        <w:rPr>
          <w:rFonts w:ascii="Arial" w:eastAsia="Times New Roman" w:hAnsi="Arial" w:cs="Arial"/>
          <w:color w:val="000000"/>
          <w:sz w:val="24"/>
          <w:szCs w:val="24"/>
        </w:rPr>
        <w:t xml:space="preserve"> </w:t>
      </w:r>
      <w:proofErr w:type="spellStart"/>
      <w:r w:rsidRPr="009931E6">
        <w:rPr>
          <w:rFonts w:ascii="Arial" w:eastAsia="Times New Roman" w:hAnsi="Arial" w:cs="Arial"/>
          <w:color w:val="000000"/>
          <w:sz w:val="24"/>
          <w:szCs w:val="24"/>
        </w:rPr>
        <w:t>Yunus</w:t>
      </w:r>
      <w:proofErr w:type="spellEnd"/>
      <w:r w:rsidRPr="009931E6">
        <w:rPr>
          <w:rFonts w:ascii="Arial" w:eastAsia="Times New Roman" w:hAnsi="Arial" w:cs="Arial"/>
          <w:color w:val="000000"/>
          <w:sz w:val="24"/>
          <w:szCs w:val="24"/>
        </w:rPr>
        <w:t xml:space="preserve"> et al., 2020). Typically, OA is associated with large weight-bearing joints and those experiencing greater </w:t>
      </w:r>
      <w:r w:rsidRPr="009931E6">
        <w:rPr>
          <w:rFonts w:ascii="Arial" w:eastAsia="Times New Roman" w:hAnsi="Arial" w:cs="Arial"/>
          <w:color w:val="000000"/>
          <w:sz w:val="24"/>
          <w:szCs w:val="24"/>
        </w:rPr>
        <w:lastRenderedPageBreak/>
        <w:t>mechanical stress, including knees, elbows, writs, hips, and the lower vertebral column. Obesity is also a significant risk factor for the development of OA (</w:t>
      </w:r>
      <w:proofErr w:type="spellStart"/>
      <w:r w:rsidRPr="009931E6">
        <w:rPr>
          <w:rFonts w:ascii="Arial" w:eastAsia="Times New Roman" w:hAnsi="Arial" w:cs="Arial"/>
          <w:color w:val="000000"/>
          <w:sz w:val="24"/>
          <w:szCs w:val="24"/>
        </w:rPr>
        <w:t>Bennell</w:t>
      </w:r>
      <w:proofErr w:type="spellEnd"/>
      <w:r w:rsidRPr="009931E6">
        <w:rPr>
          <w:rFonts w:ascii="Arial" w:eastAsia="Times New Roman" w:hAnsi="Arial" w:cs="Arial"/>
          <w:color w:val="000000"/>
          <w:sz w:val="24"/>
          <w:szCs w:val="24"/>
        </w:rPr>
        <w:t xml:space="preserve"> et al., 2019). Consistent with the conventional symptoms, L.K. presents with joint pain relieved by rest, joint swelling, and stiffness. However, the pain is not aggravated by temperature as would be expected with OA. In addition, the patient does not present with crepitus and </w:t>
      </w:r>
      <w:proofErr w:type="spellStart"/>
      <w:proofErr w:type="gramStart"/>
      <w:r w:rsidRPr="009931E6">
        <w:rPr>
          <w:rFonts w:ascii="Arial" w:eastAsia="Times New Roman" w:hAnsi="Arial" w:cs="Arial"/>
          <w:color w:val="000000"/>
          <w:sz w:val="24"/>
          <w:szCs w:val="24"/>
        </w:rPr>
        <w:t>Herbedeen’s</w:t>
      </w:r>
      <w:proofErr w:type="spellEnd"/>
      <w:proofErr w:type="gramEnd"/>
      <w:r w:rsidRPr="009931E6">
        <w:rPr>
          <w:rFonts w:ascii="Arial" w:eastAsia="Times New Roman" w:hAnsi="Arial" w:cs="Arial"/>
          <w:color w:val="000000"/>
          <w:sz w:val="24"/>
          <w:szCs w:val="24"/>
        </w:rPr>
        <w:t xml:space="preserve"> or Bouchard’s nodes. The presence of joint tenderness also makes the diagnosis less likely.</w:t>
      </w:r>
    </w:p>
    <w:p w:rsidR="00C8748E" w:rsidRPr="009931E6" w:rsidRDefault="009931E6" w:rsidP="004D2945">
      <w:pPr>
        <w:pStyle w:val="ListParagraph"/>
        <w:numPr>
          <w:ilvl w:val="0"/>
          <w:numId w:val="4"/>
        </w:numPr>
        <w:spacing w:before="100" w:beforeAutospacing="1" w:after="100" w:afterAutospacing="1"/>
        <w:rPr>
          <w:rFonts w:ascii="Arial" w:eastAsia="Times New Roman" w:hAnsi="Arial" w:cs="Arial"/>
          <w:b/>
          <w:color w:val="000000"/>
          <w:sz w:val="24"/>
          <w:szCs w:val="24"/>
        </w:rPr>
      </w:pPr>
      <w:r w:rsidRPr="009931E6">
        <w:rPr>
          <w:rFonts w:ascii="Arial" w:eastAsia="Times New Roman" w:hAnsi="Arial" w:cs="Arial"/>
          <w:b/>
          <w:color w:val="000000"/>
          <w:sz w:val="24"/>
          <w:szCs w:val="24"/>
        </w:rPr>
        <w:t xml:space="preserve">Systematic lupus erythematosus: </w:t>
      </w:r>
      <w:r w:rsidRPr="009931E6">
        <w:rPr>
          <w:rFonts w:ascii="Arial" w:eastAsia="Times New Roman" w:hAnsi="Arial" w:cs="Arial"/>
          <w:color w:val="000000"/>
          <w:sz w:val="24"/>
          <w:szCs w:val="24"/>
        </w:rPr>
        <w:t>SLE has a complex pathogenesis but also involves the interaction of different factors (genetic, epigenetic, hormonal, environment, and immunologic (</w:t>
      </w:r>
      <w:r w:rsidRPr="009931E6">
        <w:rPr>
          <w:rFonts w:ascii="Arial" w:hAnsi="Arial" w:cs="Arial"/>
          <w:bCs/>
          <w:sz w:val="24"/>
          <w:szCs w:val="24"/>
        </w:rPr>
        <w:t xml:space="preserve">Ameer et al., 2022). Broadly, the disorder involves aberrant T cells, B cells, and </w:t>
      </w:r>
      <w:proofErr w:type="spellStart"/>
      <w:r w:rsidRPr="009931E6">
        <w:rPr>
          <w:rFonts w:ascii="Arial" w:hAnsi="Arial" w:cs="Arial"/>
          <w:bCs/>
          <w:sz w:val="24"/>
          <w:szCs w:val="24"/>
        </w:rPr>
        <w:t>monocytic</w:t>
      </w:r>
      <w:proofErr w:type="spellEnd"/>
      <w:r w:rsidRPr="009931E6">
        <w:rPr>
          <w:rFonts w:ascii="Arial" w:hAnsi="Arial" w:cs="Arial"/>
          <w:bCs/>
          <w:sz w:val="24"/>
          <w:szCs w:val="24"/>
        </w:rPr>
        <w:t xml:space="preserve">-derived cells. In turn, this activates polyclonal B cells, increases the release of antibody-producing cells and autoantibodies, mediates </w:t>
      </w:r>
      <w:proofErr w:type="spellStart"/>
      <w:r w:rsidRPr="009931E6">
        <w:rPr>
          <w:rFonts w:ascii="Arial" w:hAnsi="Arial" w:cs="Arial"/>
          <w:bCs/>
          <w:sz w:val="24"/>
          <w:szCs w:val="24"/>
        </w:rPr>
        <w:t>hypergammaglobulinemia</w:t>
      </w:r>
      <w:proofErr w:type="spellEnd"/>
      <w:r w:rsidRPr="009931E6">
        <w:rPr>
          <w:rFonts w:ascii="Arial" w:hAnsi="Arial" w:cs="Arial"/>
          <w:bCs/>
          <w:sz w:val="24"/>
          <w:szCs w:val="24"/>
        </w:rPr>
        <w:t xml:space="preserve">, and triggers formation of immune complexes (Adams &amp; Shao, 2022). The changes lead to autoimmunity, flawed clearance of immune complexes, and the accumulation of apoptotic waste that trigger SLE (Fava &amp; Petri, 2019). Pertinent positives that could lead to this diagnosis include the non-specific fever, weight loss, fatigue, and joint pain. However, the absence of photosensitivity, facial erythema, and a dry, scaly raised rash on the face or upper part of the body rules out this diagnosis. </w:t>
      </w:r>
    </w:p>
    <w:p w:rsidR="004D2945" w:rsidRPr="00AC2FEA" w:rsidRDefault="004D2945" w:rsidP="004D2945">
      <w:pPr>
        <w:spacing w:before="100" w:beforeAutospacing="1" w:after="100" w:afterAutospacing="1"/>
        <w:jc w:val="center"/>
        <w:rPr>
          <w:rFonts w:ascii="Arial" w:eastAsia="Times New Roman" w:hAnsi="Arial" w:cs="Arial"/>
          <w:b/>
          <w:bCs/>
          <w:color w:val="000000"/>
          <w:u w:val="single"/>
        </w:rPr>
      </w:pPr>
      <w:r w:rsidRPr="001D669F">
        <w:rPr>
          <w:rFonts w:ascii="Arial" w:eastAsia="Times New Roman" w:hAnsi="Arial" w:cs="Arial"/>
          <w:b/>
          <w:bCs/>
          <w:color w:val="000000"/>
          <w:u w:val="single"/>
        </w:rPr>
        <w:t>Plan</w:t>
      </w:r>
    </w:p>
    <w:p w:rsidR="004D2945" w:rsidRPr="001D669F" w:rsidRDefault="004D2945" w:rsidP="004D2945">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 xml:space="preserve">Pharmacological interventions: </w:t>
      </w:r>
    </w:p>
    <w:p w:rsidR="00CE0464" w:rsidRDefault="00CE0464" w:rsidP="004D2945">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 following medications would be essential in treating RA. </w:t>
      </w:r>
    </w:p>
    <w:p w:rsidR="00CE0464" w:rsidRDefault="00051603" w:rsidP="00CE0464">
      <w:pPr>
        <w:pStyle w:val="ListParagraph"/>
        <w:numPr>
          <w:ilvl w:val="1"/>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Acetaminophen</w:t>
      </w:r>
      <w:r w:rsidR="008C7210">
        <w:rPr>
          <w:rFonts w:ascii="Arial" w:eastAsia="Times New Roman" w:hAnsi="Arial" w:cs="Arial"/>
          <w:bCs/>
          <w:color w:val="000000"/>
          <w:sz w:val="24"/>
          <w:szCs w:val="24"/>
        </w:rPr>
        <w:t xml:space="preserve"> 500 mg PO q4hr or PRN</w:t>
      </w:r>
    </w:p>
    <w:p w:rsidR="00CE0464" w:rsidRDefault="00CE0464" w:rsidP="00CE0464">
      <w:pPr>
        <w:pStyle w:val="ListParagraph"/>
        <w:numPr>
          <w:ilvl w:val="1"/>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Ibuprofen 400 mg PO q8hr</w:t>
      </w:r>
    </w:p>
    <w:p w:rsidR="00CE0464" w:rsidRDefault="00DA2CBE" w:rsidP="00CE0464">
      <w:pPr>
        <w:pStyle w:val="ListParagraph"/>
        <w:numPr>
          <w:ilvl w:val="1"/>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Prednisone</w:t>
      </w:r>
      <w:r w:rsidR="00CE0464">
        <w:rPr>
          <w:rFonts w:ascii="Arial" w:eastAsia="Times New Roman" w:hAnsi="Arial" w:cs="Arial"/>
          <w:bCs/>
          <w:color w:val="000000"/>
          <w:sz w:val="24"/>
          <w:szCs w:val="24"/>
        </w:rPr>
        <w:t xml:space="preserve"> 5 mg PO QD</w:t>
      </w:r>
    </w:p>
    <w:p w:rsidR="00CE0464" w:rsidRDefault="00A11969" w:rsidP="00CE0464">
      <w:pPr>
        <w:pStyle w:val="ListParagraph"/>
        <w:numPr>
          <w:ilvl w:val="1"/>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Methotrexate 7.5 mg PO single dose </w:t>
      </w:r>
      <w:proofErr w:type="spellStart"/>
      <w:r>
        <w:rPr>
          <w:rFonts w:ascii="Arial" w:eastAsia="Times New Roman" w:hAnsi="Arial" w:cs="Arial"/>
          <w:bCs/>
          <w:color w:val="000000"/>
          <w:sz w:val="24"/>
          <w:szCs w:val="24"/>
        </w:rPr>
        <w:t>qWk</w:t>
      </w:r>
      <w:proofErr w:type="spellEnd"/>
      <w:r>
        <w:rPr>
          <w:rFonts w:ascii="Arial" w:eastAsia="Times New Roman" w:hAnsi="Arial" w:cs="Arial"/>
          <w:bCs/>
          <w:color w:val="000000"/>
          <w:sz w:val="24"/>
          <w:szCs w:val="24"/>
        </w:rPr>
        <w:t xml:space="preserve"> followed by 2.5 mg PO q12hr q3wks.</w:t>
      </w:r>
    </w:p>
    <w:p w:rsidR="004D2945" w:rsidRPr="00D80F94" w:rsidRDefault="008C7210" w:rsidP="004D2945">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 </w:t>
      </w:r>
      <w:r w:rsidR="00CE0464">
        <w:rPr>
          <w:rFonts w:ascii="Arial" w:eastAsia="Times New Roman" w:hAnsi="Arial" w:cs="Arial"/>
          <w:bCs/>
          <w:color w:val="000000"/>
          <w:sz w:val="24"/>
          <w:szCs w:val="24"/>
        </w:rPr>
        <w:t>combination of the medications would help in address</w:t>
      </w:r>
      <w:r w:rsidR="00773F05">
        <w:rPr>
          <w:rFonts w:ascii="Arial" w:eastAsia="Times New Roman" w:hAnsi="Arial" w:cs="Arial"/>
          <w:bCs/>
          <w:color w:val="000000"/>
          <w:sz w:val="24"/>
          <w:szCs w:val="24"/>
        </w:rPr>
        <w:t xml:space="preserve">ing the multiple </w:t>
      </w:r>
      <w:r w:rsidR="00051603">
        <w:rPr>
          <w:rFonts w:ascii="Arial" w:eastAsia="Times New Roman" w:hAnsi="Arial" w:cs="Arial"/>
          <w:bCs/>
          <w:color w:val="000000"/>
          <w:sz w:val="24"/>
          <w:szCs w:val="24"/>
        </w:rPr>
        <w:t xml:space="preserve">symptoms. Acetaminophen exerts analgesic effects via its metabolite (AM404) that acts on the cannabinoid 1 and transient receptor potential </w:t>
      </w:r>
      <w:proofErr w:type="spellStart"/>
      <w:r w:rsidR="005E3F5D">
        <w:rPr>
          <w:rFonts w:ascii="Arial" w:eastAsia="Times New Roman" w:hAnsi="Arial" w:cs="Arial"/>
          <w:bCs/>
          <w:color w:val="000000"/>
          <w:sz w:val="24"/>
          <w:szCs w:val="24"/>
        </w:rPr>
        <w:t>vanillo</w:t>
      </w:r>
      <w:r w:rsidR="00712B09">
        <w:rPr>
          <w:rFonts w:ascii="Arial" w:eastAsia="Times New Roman" w:hAnsi="Arial" w:cs="Arial"/>
          <w:bCs/>
          <w:color w:val="000000"/>
          <w:sz w:val="24"/>
          <w:szCs w:val="24"/>
        </w:rPr>
        <w:t>i</w:t>
      </w:r>
      <w:r w:rsidR="005E3F5D">
        <w:rPr>
          <w:rFonts w:ascii="Arial" w:eastAsia="Times New Roman" w:hAnsi="Arial" w:cs="Arial"/>
          <w:bCs/>
          <w:color w:val="000000"/>
          <w:sz w:val="24"/>
          <w:szCs w:val="24"/>
        </w:rPr>
        <w:t>d</w:t>
      </w:r>
      <w:proofErr w:type="spellEnd"/>
      <w:r w:rsidR="005E3F5D">
        <w:rPr>
          <w:rFonts w:ascii="Arial" w:eastAsia="Times New Roman" w:hAnsi="Arial" w:cs="Arial"/>
          <w:bCs/>
          <w:color w:val="000000"/>
          <w:sz w:val="24"/>
          <w:szCs w:val="24"/>
        </w:rPr>
        <w:t xml:space="preserve"> 1 (TRPV1) receptors (</w:t>
      </w:r>
      <w:proofErr w:type="spellStart"/>
      <w:r w:rsidR="00A138A6">
        <w:rPr>
          <w:rFonts w:ascii="Arial" w:eastAsia="Times New Roman" w:hAnsi="Arial" w:cs="Arial"/>
          <w:bCs/>
          <w:color w:val="000000"/>
          <w:sz w:val="24"/>
          <w:szCs w:val="24"/>
        </w:rPr>
        <w:t>Ohashi</w:t>
      </w:r>
      <w:proofErr w:type="spellEnd"/>
      <w:r w:rsidR="00A138A6">
        <w:rPr>
          <w:rFonts w:ascii="Arial" w:eastAsia="Times New Roman" w:hAnsi="Arial" w:cs="Arial"/>
          <w:bCs/>
          <w:color w:val="000000"/>
          <w:sz w:val="24"/>
          <w:szCs w:val="24"/>
        </w:rPr>
        <w:t xml:space="preserve"> &amp; Kohno, 2020</w:t>
      </w:r>
      <w:r w:rsidR="005E3F5D">
        <w:rPr>
          <w:rFonts w:ascii="Arial" w:eastAsia="Times New Roman" w:hAnsi="Arial" w:cs="Arial"/>
          <w:bCs/>
          <w:color w:val="000000"/>
          <w:sz w:val="24"/>
          <w:szCs w:val="24"/>
        </w:rPr>
        <w:t xml:space="preserve">). </w:t>
      </w:r>
      <w:r w:rsidR="00831C32">
        <w:rPr>
          <w:rFonts w:ascii="Arial" w:eastAsia="Times New Roman" w:hAnsi="Arial" w:cs="Arial"/>
          <w:bCs/>
          <w:color w:val="000000"/>
          <w:sz w:val="24"/>
          <w:szCs w:val="24"/>
        </w:rPr>
        <w:t>Ibup</w:t>
      </w:r>
      <w:r w:rsidR="00096A17">
        <w:rPr>
          <w:rFonts w:ascii="Arial" w:eastAsia="Times New Roman" w:hAnsi="Arial" w:cs="Arial"/>
          <w:bCs/>
          <w:color w:val="000000"/>
          <w:sz w:val="24"/>
          <w:szCs w:val="24"/>
        </w:rPr>
        <w:t>rofen, a</w:t>
      </w:r>
      <w:r w:rsidR="00831C32">
        <w:rPr>
          <w:rFonts w:ascii="Arial" w:eastAsia="Times New Roman" w:hAnsi="Arial" w:cs="Arial"/>
          <w:bCs/>
          <w:color w:val="000000"/>
          <w:sz w:val="24"/>
          <w:szCs w:val="24"/>
        </w:rPr>
        <w:t xml:space="preserve"> non-steroidal anti-inflammatory agent, exerts its analgesic and antipyretic effects through inhibitory actions on cyclooxygena</w:t>
      </w:r>
      <w:r w:rsidR="00712B09">
        <w:rPr>
          <w:rFonts w:ascii="Arial" w:eastAsia="Times New Roman" w:hAnsi="Arial" w:cs="Arial"/>
          <w:bCs/>
          <w:color w:val="000000"/>
          <w:sz w:val="24"/>
          <w:szCs w:val="24"/>
        </w:rPr>
        <w:t>se involved in prostaglandins sy</w:t>
      </w:r>
      <w:r w:rsidR="00831C32">
        <w:rPr>
          <w:rFonts w:ascii="Arial" w:eastAsia="Times New Roman" w:hAnsi="Arial" w:cs="Arial"/>
          <w:bCs/>
          <w:color w:val="000000"/>
          <w:sz w:val="24"/>
          <w:szCs w:val="24"/>
        </w:rPr>
        <w:t>nthesis (</w:t>
      </w:r>
      <w:proofErr w:type="spellStart"/>
      <w:r w:rsidR="00CC43C4">
        <w:rPr>
          <w:rFonts w:ascii="Arial" w:eastAsia="Times New Roman" w:hAnsi="Arial" w:cs="Arial"/>
          <w:bCs/>
          <w:color w:val="000000"/>
          <w:sz w:val="24"/>
          <w:szCs w:val="24"/>
        </w:rPr>
        <w:t>Bushra</w:t>
      </w:r>
      <w:proofErr w:type="spellEnd"/>
      <w:r w:rsidR="00CC43C4">
        <w:rPr>
          <w:rFonts w:ascii="Arial" w:eastAsia="Times New Roman" w:hAnsi="Arial" w:cs="Arial"/>
          <w:bCs/>
          <w:color w:val="000000"/>
          <w:sz w:val="24"/>
          <w:szCs w:val="24"/>
        </w:rPr>
        <w:t xml:space="preserve"> &amp; Aslam, 2020</w:t>
      </w:r>
      <w:r w:rsidR="00096A17">
        <w:rPr>
          <w:rFonts w:ascii="Arial" w:eastAsia="Times New Roman" w:hAnsi="Arial" w:cs="Arial"/>
          <w:bCs/>
          <w:color w:val="000000"/>
          <w:sz w:val="24"/>
          <w:szCs w:val="24"/>
        </w:rPr>
        <w:t>). Low-dose prednisone combined with disease-modifying anti-rheumatic drug (DNARD)</w:t>
      </w:r>
      <w:r w:rsidR="00904DE7">
        <w:rPr>
          <w:rFonts w:ascii="Arial" w:eastAsia="Times New Roman" w:hAnsi="Arial" w:cs="Arial"/>
          <w:bCs/>
          <w:color w:val="000000"/>
          <w:sz w:val="24"/>
          <w:szCs w:val="24"/>
        </w:rPr>
        <w:t xml:space="preserve"> helps in bony erosion in RA (</w:t>
      </w:r>
      <w:r w:rsidR="00CC43C4">
        <w:rPr>
          <w:rFonts w:ascii="Arial" w:eastAsia="Times New Roman" w:hAnsi="Arial" w:cs="Arial"/>
          <w:bCs/>
          <w:color w:val="000000"/>
          <w:sz w:val="24"/>
          <w:szCs w:val="24"/>
        </w:rPr>
        <w:t>Lim &amp; Conn, 2021</w:t>
      </w:r>
      <w:r w:rsidR="00904DE7">
        <w:rPr>
          <w:rFonts w:ascii="Arial" w:eastAsia="Times New Roman" w:hAnsi="Arial" w:cs="Arial"/>
          <w:bCs/>
          <w:color w:val="000000"/>
          <w:sz w:val="24"/>
          <w:szCs w:val="24"/>
        </w:rPr>
        <w:t>). Methotrexate, a DMARD, is essential to reducing pain, reducing joint damage, and improving function in RA (</w:t>
      </w:r>
      <w:proofErr w:type="spellStart"/>
      <w:r w:rsidR="00A73EFF">
        <w:rPr>
          <w:rFonts w:ascii="Arial" w:eastAsia="Times New Roman" w:hAnsi="Arial" w:cs="Arial"/>
          <w:bCs/>
          <w:color w:val="000000"/>
          <w:sz w:val="24"/>
          <w:szCs w:val="24"/>
        </w:rPr>
        <w:t>Siddhanamatha</w:t>
      </w:r>
      <w:proofErr w:type="spellEnd"/>
      <w:r w:rsidR="00A73EFF">
        <w:rPr>
          <w:rFonts w:ascii="Arial" w:eastAsia="Times New Roman" w:hAnsi="Arial" w:cs="Arial"/>
          <w:bCs/>
          <w:color w:val="000000"/>
          <w:sz w:val="24"/>
          <w:szCs w:val="24"/>
        </w:rPr>
        <w:t xml:space="preserve"> et al., 2019</w:t>
      </w:r>
      <w:r w:rsidR="00904DE7">
        <w:rPr>
          <w:rFonts w:ascii="Arial" w:eastAsia="Times New Roman" w:hAnsi="Arial" w:cs="Arial"/>
          <w:bCs/>
          <w:color w:val="000000"/>
          <w:sz w:val="24"/>
          <w:szCs w:val="24"/>
        </w:rPr>
        <w:t xml:space="preserve">). </w:t>
      </w:r>
      <w:r w:rsidR="00400387">
        <w:rPr>
          <w:rFonts w:ascii="Arial" w:eastAsia="Times New Roman" w:hAnsi="Arial" w:cs="Arial"/>
          <w:bCs/>
          <w:color w:val="000000"/>
          <w:sz w:val="24"/>
          <w:szCs w:val="24"/>
        </w:rPr>
        <w:t xml:space="preserve">MTX acts by inhibiting DA, RNA, and protein synthesis by binding to </w:t>
      </w:r>
      <w:proofErr w:type="spellStart"/>
      <w:r w:rsidR="00400387">
        <w:rPr>
          <w:rFonts w:ascii="Arial" w:eastAsia="Times New Roman" w:hAnsi="Arial" w:cs="Arial"/>
          <w:bCs/>
          <w:color w:val="000000"/>
          <w:sz w:val="24"/>
          <w:szCs w:val="24"/>
        </w:rPr>
        <w:t>dihydrofolate</w:t>
      </w:r>
      <w:proofErr w:type="spellEnd"/>
      <w:r w:rsidR="00400387">
        <w:rPr>
          <w:rFonts w:ascii="Arial" w:eastAsia="Times New Roman" w:hAnsi="Arial" w:cs="Arial"/>
          <w:bCs/>
          <w:color w:val="000000"/>
          <w:sz w:val="24"/>
          <w:szCs w:val="24"/>
        </w:rPr>
        <w:t xml:space="preserve"> reductase</w:t>
      </w:r>
      <w:r w:rsidR="003905C0">
        <w:rPr>
          <w:rFonts w:ascii="Arial" w:eastAsia="Times New Roman" w:hAnsi="Arial" w:cs="Arial"/>
          <w:bCs/>
          <w:color w:val="000000"/>
          <w:sz w:val="24"/>
          <w:szCs w:val="24"/>
        </w:rPr>
        <w:t xml:space="preserve">. In turn, this reduces the conversion of </w:t>
      </w:r>
      <w:proofErr w:type="spellStart"/>
      <w:r w:rsidR="003905C0">
        <w:rPr>
          <w:rFonts w:ascii="Arial" w:eastAsia="Times New Roman" w:hAnsi="Arial" w:cs="Arial"/>
          <w:bCs/>
          <w:color w:val="000000"/>
          <w:sz w:val="24"/>
          <w:szCs w:val="24"/>
        </w:rPr>
        <w:t>dihydrofolate</w:t>
      </w:r>
      <w:proofErr w:type="spellEnd"/>
      <w:r w:rsidR="003905C0">
        <w:rPr>
          <w:rFonts w:ascii="Arial" w:eastAsia="Times New Roman" w:hAnsi="Arial" w:cs="Arial"/>
          <w:bCs/>
          <w:color w:val="000000"/>
          <w:sz w:val="24"/>
          <w:szCs w:val="24"/>
        </w:rPr>
        <w:t xml:space="preserve"> to tetrahydrofolate and </w:t>
      </w:r>
      <w:r w:rsidR="003905C0">
        <w:rPr>
          <w:rFonts w:ascii="Arial" w:eastAsia="Times New Roman" w:hAnsi="Arial" w:cs="Arial"/>
          <w:bCs/>
          <w:color w:val="000000"/>
          <w:sz w:val="24"/>
          <w:szCs w:val="24"/>
        </w:rPr>
        <w:lastRenderedPageBreak/>
        <w:t xml:space="preserve">inhibits thymidylate </w:t>
      </w:r>
      <w:proofErr w:type="spellStart"/>
      <w:r w:rsidR="003905C0">
        <w:rPr>
          <w:rFonts w:ascii="Arial" w:eastAsia="Times New Roman" w:hAnsi="Arial" w:cs="Arial"/>
          <w:bCs/>
          <w:color w:val="000000"/>
          <w:sz w:val="24"/>
          <w:szCs w:val="24"/>
        </w:rPr>
        <w:t>synthetase</w:t>
      </w:r>
      <w:proofErr w:type="spellEnd"/>
      <w:r w:rsidR="00C837BD">
        <w:rPr>
          <w:rFonts w:ascii="Arial" w:eastAsia="Times New Roman" w:hAnsi="Arial" w:cs="Arial"/>
          <w:bCs/>
          <w:color w:val="000000"/>
          <w:sz w:val="24"/>
          <w:szCs w:val="24"/>
        </w:rPr>
        <w:t>, which decrease the accumulation of folate and thymidine residues (</w:t>
      </w:r>
      <w:r w:rsidR="00A73EFF">
        <w:rPr>
          <w:rFonts w:ascii="Arial" w:eastAsia="Times New Roman" w:hAnsi="Arial" w:cs="Arial"/>
          <w:bCs/>
          <w:color w:val="000000"/>
          <w:sz w:val="24"/>
          <w:szCs w:val="24"/>
        </w:rPr>
        <w:t xml:space="preserve">Friedman &amp; </w:t>
      </w:r>
      <w:proofErr w:type="spellStart"/>
      <w:r w:rsidR="00A73EFF">
        <w:rPr>
          <w:rFonts w:ascii="Arial" w:eastAsia="Times New Roman" w:hAnsi="Arial" w:cs="Arial"/>
          <w:bCs/>
          <w:color w:val="000000"/>
          <w:sz w:val="24"/>
          <w:szCs w:val="24"/>
        </w:rPr>
        <w:t>Cronstein</w:t>
      </w:r>
      <w:proofErr w:type="spellEnd"/>
      <w:r w:rsidR="00A73EFF">
        <w:rPr>
          <w:rFonts w:ascii="Arial" w:eastAsia="Times New Roman" w:hAnsi="Arial" w:cs="Arial"/>
          <w:bCs/>
          <w:color w:val="000000"/>
          <w:sz w:val="24"/>
          <w:szCs w:val="24"/>
        </w:rPr>
        <w:t>, 2019</w:t>
      </w:r>
      <w:r w:rsidR="00C837BD">
        <w:rPr>
          <w:rFonts w:ascii="Arial" w:eastAsia="Times New Roman" w:hAnsi="Arial" w:cs="Arial"/>
          <w:bCs/>
          <w:color w:val="000000"/>
          <w:sz w:val="24"/>
          <w:szCs w:val="24"/>
        </w:rPr>
        <w:t xml:space="preserve">). </w:t>
      </w:r>
      <w:r w:rsidR="00904DE7">
        <w:rPr>
          <w:rFonts w:ascii="Arial" w:eastAsia="Times New Roman" w:hAnsi="Arial" w:cs="Arial"/>
          <w:bCs/>
          <w:color w:val="000000"/>
          <w:sz w:val="24"/>
          <w:szCs w:val="24"/>
        </w:rPr>
        <w:t xml:space="preserve">The drugs </w:t>
      </w:r>
      <w:proofErr w:type="gramStart"/>
      <w:r w:rsidR="00904DE7">
        <w:rPr>
          <w:rFonts w:ascii="Arial" w:eastAsia="Times New Roman" w:hAnsi="Arial" w:cs="Arial"/>
          <w:bCs/>
          <w:color w:val="000000"/>
          <w:sz w:val="24"/>
          <w:szCs w:val="24"/>
        </w:rPr>
        <w:t>will be tapered</w:t>
      </w:r>
      <w:proofErr w:type="gramEnd"/>
      <w:r w:rsidR="00904DE7">
        <w:rPr>
          <w:rFonts w:ascii="Arial" w:eastAsia="Times New Roman" w:hAnsi="Arial" w:cs="Arial"/>
          <w:bCs/>
          <w:color w:val="000000"/>
          <w:sz w:val="24"/>
          <w:szCs w:val="24"/>
        </w:rPr>
        <w:t xml:space="preserve"> accordingly to prevent side effects and harms. </w:t>
      </w:r>
    </w:p>
    <w:p w:rsidR="004D2945" w:rsidRPr="001D669F" w:rsidRDefault="004D2945" w:rsidP="004D2945">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Non-pharmacological interventions:</w:t>
      </w:r>
    </w:p>
    <w:p w:rsidR="004D2945" w:rsidRDefault="002A7A42" w:rsidP="004D2945">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 patient will continue with </w:t>
      </w:r>
      <w:r w:rsidR="00DD1CC6">
        <w:rPr>
          <w:rFonts w:ascii="Arial" w:eastAsia="Times New Roman" w:hAnsi="Arial" w:cs="Arial"/>
          <w:bCs/>
          <w:color w:val="000000"/>
          <w:sz w:val="24"/>
          <w:szCs w:val="24"/>
        </w:rPr>
        <w:t xml:space="preserve">his </w:t>
      </w:r>
      <w:r>
        <w:rPr>
          <w:rFonts w:ascii="Arial" w:eastAsia="Times New Roman" w:hAnsi="Arial" w:cs="Arial"/>
          <w:bCs/>
          <w:color w:val="000000"/>
          <w:sz w:val="24"/>
          <w:szCs w:val="24"/>
        </w:rPr>
        <w:t xml:space="preserve">physical activity </w:t>
      </w:r>
      <w:r w:rsidR="00DD1CC6">
        <w:rPr>
          <w:rFonts w:ascii="Arial" w:eastAsia="Times New Roman" w:hAnsi="Arial" w:cs="Arial"/>
          <w:bCs/>
          <w:color w:val="000000"/>
          <w:sz w:val="24"/>
          <w:szCs w:val="24"/>
        </w:rPr>
        <w:t xml:space="preserve">program </w:t>
      </w:r>
      <w:r>
        <w:rPr>
          <w:rFonts w:ascii="Arial" w:eastAsia="Times New Roman" w:hAnsi="Arial" w:cs="Arial"/>
          <w:bCs/>
          <w:color w:val="000000"/>
          <w:sz w:val="24"/>
          <w:szCs w:val="24"/>
        </w:rPr>
        <w:t>to manage weight, which is a significant risk factor for RA</w:t>
      </w:r>
    </w:p>
    <w:p w:rsidR="002A7A42" w:rsidRPr="007C5380" w:rsidRDefault="00DD1CC6" w:rsidP="004D2945">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Occupational and physical therapy are recommended to improve outcomes</w:t>
      </w:r>
    </w:p>
    <w:p w:rsidR="004D2945" w:rsidRDefault="004D2945" w:rsidP="004D2945">
      <w:pPr>
        <w:spacing w:before="100" w:beforeAutospacing="1" w:after="100" w:afterAutospacing="1"/>
        <w:rPr>
          <w:rFonts w:ascii="Arial" w:eastAsia="Times New Roman" w:hAnsi="Arial" w:cs="Arial"/>
          <w:b/>
          <w:bCs/>
          <w:color w:val="000000"/>
        </w:rPr>
      </w:pPr>
      <w:r w:rsidRPr="001D669F">
        <w:rPr>
          <w:rFonts w:ascii="Arial" w:eastAsia="Times New Roman" w:hAnsi="Arial" w:cs="Arial"/>
          <w:b/>
          <w:bCs/>
          <w:color w:val="000000"/>
        </w:rPr>
        <w:t>Patient education:</w:t>
      </w:r>
    </w:p>
    <w:p w:rsidR="004D2945" w:rsidRDefault="00DD1CC6" w:rsidP="008D43AF">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 patient is educated about medication side effects, including nausea, vomiting, </w:t>
      </w:r>
      <w:r w:rsidR="002B3ABC">
        <w:rPr>
          <w:rFonts w:ascii="Arial" w:eastAsia="Times New Roman" w:hAnsi="Arial" w:cs="Arial"/>
          <w:bCs/>
          <w:color w:val="000000"/>
          <w:sz w:val="24"/>
          <w:szCs w:val="24"/>
        </w:rPr>
        <w:t xml:space="preserve">possible </w:t>
      </w:r>
      <w:r>
        <w:rPr>
          <w:rFonts w:ascii="Arial" w:eastAsia="Times New Roman" w:hAnsi="Arial" w:cs="Arial"/>
          <w:bCs/>
          <w:color w:val="000000"/>
          <w:sz w:val="24"/>
          <w:szCs w:val="24"/>
        </w:rPr>
        <w:t>loss of appetite, diarrhea, abdominal pain, and sore throat</w:t>
      </w:r>
      <w:r w:rsidR="002B3ABC">
        <w:rPr>
          <w:rFonts w:ascii="Arial" w:eastAsia="Times New Roman" w:hAnsi="Arial" w:cs="Arial"/>
          <w:bCs/>
          <w:color w:val="000000"/>
          <w:sz w:val="24"/>
          <w:szCs w:val="24"/>
        </w:rPr>
        <w:t>.</w:t>
      </w:r>
    </w:p>
    <w:p w:rsidR="002B3ABC" w:rsidRDefault="002B3ABC" w:rsidP="008D43AF">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The patient is advised to take adequate rest </w:t>
      </w:r>
      <w:r w:rsidR="00E109EF">
        <w:rPr>
          <w:rFonts w:ascii="Arial" w:eastAsia="Times New Roman" w:hAnsi="Arial" w:cs="Arial"/>
          <w:bCs/>
          <w:color w:val="000000"/>
          <w:sz w:val="24"/>
          <w:szCs w:val="24"/>
        </w:rPr>
        <w:t>to relieve symptoms (pain) and avoid exerting excess stress on the joint</w:t>
      </w:r>
    </w:p>
    <w:p w:rsidR="00E109EF" w:rsidRPr="004D2945" w:rsidRDefault="00E109EF" w:rsidP="008D43AF">
      <w:pPr>
        <w:pStyle w:val="ListParagraph"/>
        <w:numPr>
          <w:ilvl w:val="0"/>
          <w:numId w:val="1"/>
        </w:num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The patient is advised to consider appropriate exercise on the thumb that could improve ROM</w:t>
      </w:r>
    </w:p>
    <w:p w:rsidR="004D2945" w:rsidRPr="00D43668" w:rsidRDefault="004D2945" w:rsidP="004D2945">
      <w:pPr>
        <w:spacing w:before="100" w:beforeAutospacing="1" w:after="100" w:afterAutospacing="1"/>
        <w:rPr>
          <w:rFonts w:ascii="Arial" w:eastAsia="Times New Roman" w:hAnsi="Arial" w:cs="Arial"/>
          <w:bCs/>
          <w:color w:val="000000"/>
        </w:rPr>
      </w:pPr>
      <w:r w:rsidRPr="001D669F">
        <w:rPr>
          <w:rFonts w:ascii="Arial" w:eastAsia="Times New Roman" w:hAnsi="Arial" w:cs="Arial"/>
          <w:b/>
          <w:bCs/>
          <w:color w:val="000000"/>
        </w:rPr>
        <w:t>Follow-up:</w:t>
      </w:r>
      <w:r w:rsidR="00D43668">
        <w:rPr>
          <w:rFonts w:ascii="Arial" w:eastAsia="Times New Roman" w:hAnsi="Arial" w:cs="Arial"/>
          <w:b/>
          <w:bCs/>
          <w:color w:val="000000"/>
        </w:rPr>
        <w:t xml:space="preserve"> </w:t>
      </w:r>
      <w:r w:rsidR="00D43668">
        <w:rPr>
          <w:rFonts w:ascii="Arial" w:eastAsia="Times New Roman" w:hAnsi="Arial" w:cs="Arial"/>
          <w:bCs/>
          <w:color w:val="000000"/>
        </w:rPr>
        <w:t>F/U in 4 weeks</w:t>
      </w:r>
    </w:p>
    <w:p w:rsidR="004D2945" w:rsidRPr="004D2945" w:rsidRDefault="004D2945" w:rsidP="00042D20">
      <w:pPr>
        <w:pStyle w:val="ListParagraph"/>
        <w:numPr>
          <w:ilvl w:val="0"/>
          <w:numId w:val="1"/>
        </w:numPr>
        <w:spacing w:beforeAutospacing="1" w:after="160" w:afterAutospacing="1" w:line="259" w:lineRule="auto"/>
        <w:rPr>
          <w:rFonts w:ascii="Arial" w:eastAsia="Times New Roman" w:hAnsi="Arial" w:cs="Arial"/>
          <w:b/>
          <w:bCs/>
          <w:color w:val="000000"/>
        </w:rPr>
      </w:pPr>
      <w:r w:rsidRPr="004D2945">
        <w:rPr>
          <w:rFonts w:ascii="Arial" w:eastAsia="Times New Roman" w:hAnsi="Arial" w:cs="Arial"/>
          <w:b/>
          <w:bCs/>
          <w:color w:val="000000"/>
        </w:rPr>
        <w:br w:type="page"/>
      </w:r>
    </w:p>
    <w:p w:rsidR="004D2945" w:rsidRDefault="004D2945" w:rsidP="004D2945">
      <w:pPr>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References</w:t>
      </w:r>
    </w:p>
    <w:p w:rsidR="00A73EFF" w:rsidRPr="00A73EFF" w:rsidRDefault="00A73EFF" w:rsidP="00A73EFF">
      <w:pPr>
        <w:spacing w:before="0"/>
        <w:ind w:left="720" w:hanging="720"/>
        <w:rPr>
          <w:rFonts w:ascii="Arial" w:hAnsi="Arial" w:cs="Arial"/>
          <w:color w:val="222222"/>
          <w:shd w:val="clear" w:color="auto" w:fill="FFFFFF"/>
        </w:rPr>
      </w:pPr>
      <w:r w:rsidRPr="00A73EFF">
        <w:rPr>
          <w:rFonts w:ascii="Arial" w:hAnsi="Arial" w:cs="Arial"/>
          <w:color w:val="222222"/>
          <w:shd w:val="clear" w:color="auto" w:fill="FFFFFF"/>
        </w:rPr>
        <w:t>Adams, D. E., &amp; Shao, W. H. (2022). Epigenetic alterations in immune cells of systemic lupus erythematosus and therapeutic implications. </w:t>
      </w:r>
      <w:r w:rsidRPr="00A73EFF">
        <w:rPr>
          <w:rFonts w:ascii="Arial" w:hAnsi="Arial" w:cs="Arial"/>
          <w:i/>
          <w:iCs/>
          <w:color w:val="222222"/>
          <w:shd w:val="clear" w:color="auto" w:fill="FFFFFF"/>
        </w:rPr>
        <w:t>Cells</w:t>
      </w:r>
      <w:r w:rsidRPr="00A73EFF">
        <w:rPr>
          <w:rFonts w:ascii="Arial" w:hAnsi="Arial" w:cs="Arial"/>
          <w:color w:val="222222"/>
          <w:shd w:val="clear" w:color="auto" w:fill="FFFFFF"/>
        </w:rPr>
        <w:t>, </w:t>
      </w:r>
      <w:r w:rsidRPr="00A73EFF">
        <w:rPr>
          <w:rFonts w:ascii="Arial" w:hAnsi="Arial" w:cs="Arial"/>
          <w:i/>
          <w:iCs/>
          <w:color w:val="222222"/>
          <w:shd w:val="clear" w:color="auto" w:fill="FFFFFF"/>
        </w:rPr>
        <w:t>11</w:t>
      </w:r>
      <w:r w:rsidRPr="00A73EFF">
        <w:rPr>
          <w:rFonts w:ascii="Arial" w:hAnsi="Arial" w:cs="Arial"/>
          <w:color w:val="222222"/>
          <w:shd w:val="clear" w:color="auto" w:fill="FFFFFF"/>
        </w:rPr>
        <w:t xml:space="preserve">(3), 506. </w:t>
      </w:r>
      <w:hyperlink r:id="rId6" w:history="1">
        <w:r w:rsidRPr="00A73EFF">
          <w:rPr>
            <w:rStyle w:val="Hyperlink"/>
            <w:rFonts w:ascii="Arial" w:hAnsi="Arial" w:cs="Arial"/>
            <w:shd w:val="clear" w:color="auto" w:fill="FFFFFF"/>
          </w:rPr>
          <w:t>https://doi.org/10.3390/cells11030506</w:t>
        </w:r>
      </w:hyperlink>
      <w:r w:rsidRPr="00A73EFF">
        <w:rPr>
          <w:rFonts w:ascii="Arial" w:hAnsi="Arial" w:cs="Arial"/>
          <w:color w:val="222222"/>
          <w:shd w:val="clear" w:color="auto" w:fill="FFFFFF"/>
        </w:rPr>
        <w:t xml:space="preserve"> </w:t>
      </w:r>
    </w:p>
    <w:p w:rsidR="00A73EFF" w:rsidRPr="00A73EFF" w:rsidRDefault="00A73EFF" w:rsidP="00A73EFF">
      <w:pPr>
        <w:spacing w:before="0"/>
        <w:ind w:left="720" w:hanging="720"/>
        <w:rPr>
          <w:rFonts w:ascii="Arial" w:hAnsi="Arial" w:cs="Arial"/>
        </w:rPr>
      </w:pPr>
      <w:proofErr w:type="spellStart"/>
      <w:r w:rsidRPr="00A73EFF">
        <w:rPr>
          <w:rFonts w:ascii="Arial" w:hAnsi="Arial" w:cs="Arial"/>
          <w:color w:val="222222"/>
          <w:shd w:val="clear" w:color="auto" w:fill="FFFFFF"/>
        </w:rPr>
        <w:t>Alsaber</w:t>
      </w:r>
      <w:proofErr w:type="spellEnd"/>
      <w:r w:rsidRPr="00A73EFF">
        <w:rPr>
          <w:rFonts w:ascii="Arial" w:hAnsi="Arial" w:cs="Arial"/>
          <w:color w:val="222222"/>
          <w:shd w:val="clear" w:color="auto" w:fill="FFFFFF"/>
        </w:rPr>
        <w:t>, A., Pan, J., Al-</w:t>
      </w:r>
      <w:proofErr w:type="spellStart"/>
      <w:r w:rsidRPr="00A73EFF">
        <w:rPr>
          <w:rFonts w:ascii="Arial" w:hAnsi="Arial" w:cs="Arial"/>
          <w:color w:val="222222"/>
          <w:shd w:val="clear" w:color="auto" w:fill="FFFFFF"/>
        </w:rPr>
        <w:t>Herz</w:t>
      </w:r>
      <w:proofErr w:type="spellEnd"/>
      <w:r w:rsidRPr="00A73EFF">
        <w:rPr>
          <w:rFonts w:ascii="Arial" w:hAnsi="Arial" w:cs="Arial"/>
          <w:color w:val="222222"/>
          <w:shd w:val="clear" w:color="auto" w:fill="FFFFFF"/>
        </w:rPr>
        <w:t xml:space="preserve">, A., </w:t>
      </w:r>
      <w:proofErr w:type="spellStart"/>
      <w:r w:rsidRPr="00A73EFF">
        <w:rPr>
          <w:rFonts w:ascii="Arial" w:hAnsi="Arial" w:cs="Arial"/>
          <w:color w:val="222222"/>
          <w:shd w:val="clear" w:color="auto" w:fill="FFFFFF"/>
        </w:rPr>
        <w:t>Alkandary</w:t>
      </w:r>
      <w:proofErr w:type="spellEnd"/>
      <w:r w:rsidRPr="00A73EFF">
        <w:rPr>
          <w:rFonts w:ascii="Arial" w:hAnsi="Arial" w:cs="Arial"/>
          <w:color w:val="222222"/>
          <w:shd w:val="clear" w:color="auto" w:fill="FFFFFF"/>
        </w:rPr>
        <w:t>, D. S., Al-</w:t>
      </w:r>
      <w:proofErr w:type="spellStart"/>
      <w:r w:rsidRPr="00A73EFF">
        <w:rPr>
          <w:rFonts w:ascii="Arial" w:hAnsi="Arial" w:cs="Arial"/>
          <w:color w:val="222222"/>
          <w:shd w:val="clear" w:color="auto" w:fill="FFFFFF"/>
        </w:rPr>
        <w:t>Hurban</w:t>
      </w:r>
      <w:proofErr w:type="spellEnd"/>
      <w:r w:rsidRPr="00A73EFF">
        <w:rPr>
          <w:rFonts w:ascii="Arial" w:hAnsi="Arial" w:cs="Arial"/>
          <w:color w:val="222222"/>
          <w:shd w:val="clear" w:color="auto" w:fill="FFFFFF"/>
        </w:rPr>
        <w:t xml:space="preserve">, A., &amp; </w:t>
      </w:r>
      <w:proofErr w:type="spellStart"/>
      <w:r w:rsidRPr="00A73EFF">
        <w:rPr>
          <w:rFonts w:ascii="Arial" w:hAnsi="Arial" w:cs="Arial"/>
          <w:color w:val="222222"/>
          <w:shd w:val="clear" w:color="auto" w:fill="FFFFFF"/>
        </w:rPr>
        <w:t>Setiya</w:t>
      </w:r>
      <w:proofErr w:type="spellEnd"/>
      <w:r w:rsidRPr="00A73EFF">
        <w:rPr>
          <w:rFonts w:ascii="Arial" w:hAnsi="Arial" w:cs="Arial"/>
          <w:color w:val="222222"/>
          <w:shd w:val="clear" w:color="auto" w:fill="FFFFFF"/>
        </w:rPr>
        <w:t>, P. (2020). Influence of ambient air pollution on rheumatoid arthritis disease activity score index. </w:t>
      </w:r>
      <w:r w:rsidRPr="00A73EFF">
        <w:rPr>
          <w:rFonts w:ascii="Arial" w:hAnsi="Arial" w:cs="Arial"/>
          <w:i/>
          <w:iCs/>
          <w:color w:val="222222"/>
          <w:shd w:val="clear" w:color="auto" w:fill="FFFFFF"/>
        </w:rPr>
        <w:t>International journal of environmental research and public health</w:t>
      </w:r>
      <w:r w:rsidRPr="00A73EFF">
        <w:rPr>
          <w:rFonts w:ascii="Arial" w:hAnsi="Arial" w:cs="Arial"/>
          <w:color w:val="222222"/>
          <w:shd w:val="clear" w:color="auto" w:fill="FFFFFF"/>
        </w:rPr>
        <w:t>, </w:t>
      </w:r>
      <w:r w:rsidRPr="00A73EFF">
        <w:rPr>
          <w:rFonts w:ascii="Arial" w:hAnsi="Arial" w:cs="Arial"/>
          <w:i/>
          <w:iCs/>
          <w:color w:val="222222"/>
          <w:shd w:val="clear" w:color="auto" w:fill="FFFFFF"/>
        </w:rPr>
        <w:t>17</w:t>
      </w:r>
      <w:r w:rsidRPr="00A73EFF">
        <w:rPr>
          <w:rFonts w:ascii="Arial" w:hAnsi="Arial" w:cs="Arial"/>
          <w:color w:val="222222"/>
          <w:shd w:val="clear" w:color="auto" w:fill="FFFFFF"/>
        </w:rPr>
        <w:t xml:space="preserve">(2), 416. </w:t>
      </w:r>
      <w:hyperlink r:id="rId7" w:history="1">
        <w:r w:rsidRPr="00A73EFF">
          <w:rPr>
            <w:rStyle w:val="Hyperlink"/>
            <w:rFonts w:ascii="Arial" w:hAnsi="Arial" w:cs="Arial"/>
            <w:shd w:val="clear" w:color="auto" w:fill="FFFFFF"/>
          </w:rPr>
          <w:t>https://doi.org/10.3390/ijerph17020416</w:t>
        </w:r>
      </w:hyperlink>
      <w:r w:rsidRPr="00A73EFF">
        <w:rPr>
          <w:rFonts w:ascii="Arial" w:hAnsi="Arial" w:cs="Arial"/>
          <w:color w:val="212121"/>
          <w:shd w:val="clear" w:color="auto" w:fill="FFFFFF"/>
        </w:rPr>
        <w:t xml:space="preserve"> </w:t>
      </w:r>
    </w:p>
    <w:p w:rsidR="00A73EFF" w:rsidRPr="00A73EFF" w:rsidRDefault="00A73EFF" w:rsidP="00A73EFF">
      <w:pPr>
        <w:spacing w:before="0"/>
        <w:ind w:left="720" w:hanging="720"/>
        <w:rPr>
          <w:rFonts w:ascii="Arial" w:hAnsi="Arial" w:cs="Arial"/>
        </w:rPr>
      </w:pPr>
      <w:r w:rsidRPr="00A73EFF">
        <w:rPr>
          <w:rFonts w:ascii="Arial" w:hAnsi="Arial" w:cs="Arial"/>
        </w:rPr>
        <w:t xml:space="preserve">Ameer, M. A., Chaudhry, H., </w:t>
      </w:r>
      <w:proofErr w:type="spellStart"/>
      <w:r w:rsidRPr="00A73EFF">
        <w:rPr>
          <w:rFonts w:ascii="Arial" w:hAnsi="Arial" w:cs="Arial"/>
        </w:rPr>
        <w:t>Mushtaq</w:t>
      </w:r>
      <w:proofErr w:type="spellEnd"/>
      <w:r w:rsidRPr="00A73EFF">
        <w:rPr>
          <w:rFonts w:ascii="Arial" w:hAnsi="Arial" w:cs="Arial"/>
        </w:rPr>
        <w:t xml:space="preserve">, J., Khan, O. S., Babar, M., </w:t>
      </w:r>
      <w:proofErr w:type="spellStart"/>
      <w:r w:rsidRPr="00A73EFF">
        <w:rPr>
          <w:rFonts w:ascii="Arial" w:hAnsi="Arial" w:cs="Arial"/>
        </w:rPr>
        <w:t>Hashim</w:t>
      </w:r>
      <w:proofErr w:type="spellEnd"/>
      <w:r w:rsidRPr="00A73EFF">
        <w:rPr>
          <w:rFonts w:ascii="Arial" w:hAnsi="Arial" w:cs="Arial"/>
        </w:rPr>
        <w:t xml:space="preserve">, T., Zeb, S., Tariq, M. A., </w:t>
      </w:r>
      <w:proofErr w:type="spellStart"/>
      <w:r w:rsidRPr="00A73EFF">
        <w:rPr>
          <w:rFonts w:ascii="Arial" w:hAnsi="Arial" w:cs="Arial"/>
        </w:rPr>
        <w:t>Patlolla</w:t>
      </w:r>
      <w:proofErr w:type="spellEnd"/>
      <w:r w:rsidRPr="00A73EFF">
        <w:rPr>
          <w:rFonts w:ascii="Arial" w:hAnsi="Arial" w:cs="Arial"/>
        </w:rPr>
        <w:t xml:space="preserve">, S. R., Ali, J., </w:t>
      </w:r>
      <w:proofErr w:type="spellStart"/>
      <w:r w:rsidRPr="00A73EFF">
        <w:rPr>
          <w:rFonts w:ascii="Arial" w:hAnsi="Arial" w:cs="Arial"/>
        </w:rPr>
        <w:t>Hashim</w:t>
      </w:r>
      <w:proofErr w:type="spellEnd"/>
      <w:r w:rsidRPr="00A73EFF">
        <w:rPr>
          <w:rFonts w:ascii="Arial" w:hAnsi="Arial" w:cs="Arial"/>
        </w:rPr>
        <w:t xml:space="preserve">, S. N., &amp; </w:t>
      </w:r>
      <w:proofErr w:type="spellStart"/>
      <w:r w:rsidRPr="00A73EFF">
        <w:rPr>
          <w:rFonts w:ascii="Arial" w:hAnsi="Arial" w:cs="Arial"/>
        </w:rPr>
        <w:t>Hashim</w:t>
      </w:r>
      <w:proofErr w:type="spellEnd"/>
      <w:r w:rsidRPr="00A73EFF">
        <w:rPr>
          <w:rFonts w:ascii="Arial" w:hAnsi="Arial" w:cs="Arial"/>
        </w:rPr>
        <w:t xml:space="preserve">, S. (2022). An Overview of Systemic Lupus Erythematosus (SLE) Pathogenesis, Classification, and Management. </w:t>
      </w:r>
      <w:proofErr w:type="spellStart"/>
      <w:r w:rsidRPr="00A73EFF">
        <w:rPr>
          <w:rFonts w:ascii="Arial" w:hAnsi="Arial" w:cs="Arial"/>
          <w:i/>
          <w:iCs/>
        </w:rPr>
        <w:t>Cureus</w:t>
      </w:r>
      <w:proofErr w:type="spellEnd"/>
      <w:r w:rsidRPr="00A73EFF">
        <w:rPr>
          <w:rFonts w:ascii="Arial" w:hAnsi="Arial" w:cs="Arial"/>
        </w:rPr>
        <w:t xml:space="preserve">, </w:t>
      </w:r>
      <w:r w:rsidRPr="00A73EFF">
        <w:rPr>
          <w:rFonts w:ascii="Arial" w:hAnsi="Arial" w:cs="Arial"/>
          <w:i/>
          <w:iCs/>
        </w:rPr>
        <w:t>14</w:t>
      </w:r>
      <w:r w:rsidRPr="00A73EFF">
        <w:rPr>
          <w:rFonts w:ascii="Arial" w:hAnsi="Arial" w:cs="Arial"/>
        </w:rPr>
        <w:t xml:space="preserve">(10). </w:t>
      </w:r>
      <w:hyperlink r:id="rId8" w:history="1">
        <w:r w:rsidRPr="00A73EFF">
          <w:rPr>
            <w:rStyle w:val="Hyperlink"/>
            <w:rFonts w:ascii="Arial" w:hAnsi="Arial" w:cs="Arial"/>
          </w:rPr>
          <w:t>https://doi.org/10.7759/cureus.30330</w:t>
        </w:r>
      </w:hyperlink>
    </w:p>
    <w:p w:rsidR="00A73EFF" w:rsidRPr="00A73EFF" w:rsidRDefault="00A73EFF" w:rsidP="00A73EFF">
      <w:pPr>
        <w:spacing w:before="0"/>
        <w:ind w:left="720" w:hanging="720"/>
        <w:rPr>
          <w:rFonts w:ascii="Arial" w:hAnsi="Arial" w:cs="Arial"/>
        </w:rPr>
      </w:pPr>
      <w:proofErr w:type="spellStart"/>
      <w:r w:rsidRPr="00A73EFF">
        <w:rPr>
          <w:rFonts w:ascii="Arial" w:hAnsi="Arial" w:cs="Arial"/>
        </w:rPr>
        <w:t>Bennell</w:t>
      </w:r>
      <w:proofErr w:type="spellEnd"/>
      <w:r w:rsidRPr="00A73EFF">
        <w:rPr>
          <w:rFonts w:ascii="Arial" w:hAnsi="Arial" w:cs="Arial"/>
        </w:rPr>
        <w:t xml:space="preserve">, K. L., </w:t>
      </w:r>
      <w:proofErr w:type="spellStart"/>
      <w:r w:rsidRPr="00A73EFF">
        <w:rPr>
          <w:rFonts w:ascii="Arial" w:hAnsi="Arial" w:cs="Arial"/>
        </w:rPr>
        <w:t>Nelligan</w:t>
      </w:r>
      <w:proofErr w:type="spellEnd"/>
      <w:r w:rsidRPr="00A73EFF">
        <w:rPr>
          <w:rFonts w:ascii="Arial" w:hAnsi="Arial" w:cs="Arial"/>
        </w:rPr>
        <w:t xml:space="preserve">, R. K., </w:t>
      </w:r>
      <w:proofErr w:type="spellStart"/>
      <w:r w:rsidRPr="00A73EFF">
        <w:rPr>
          <w:rFonts w:ascii="Arial" w:hAnsi="Arial" w:cs="Arial"/>
        </w:rPr>
        <w:t>Kimp</w:t>
      </w:r>
      <w:proofErr w:type="spellEnd"/>
      <w:r w:rsidRPr="00A73EFF">
        <w:rPr>
          <w:rFonts w:ascii="Arial" w:hAnsi="Arial" w:cs="Arial"/>
        </w:rPr>
        <w:t xml:space="preserve">, A. J., Wrigley, T. V., Metcalf, B., </w:t>
      </w:r>
      <w:proofErr w:type="spellStart"/>
      <w:r w:rsidRPr="00A73EFF">
        <w:rPr>
          <w:rFonts w:ascii="Arial" w:hAnsi="Arial" w:cs="Arial"/>
        </w:rPr>
        <w:t>Kasza</w:t>
      </w:r>
      <w:proofErr w:type="spellEnd"/>
      <w:r w:rsidRPr="00A73EFF">
        <w:rPr>
          <w:rFonts w:ascii="Arial" w:hAnsi="Arial" w:cs="Arial"/>
        </w:rPr>
        <w:t xml:space="preserve">, J., Hodges, P. W., &amp; </w:t>
      </w:r>
      <w:proofErr w:type="spellStart"/>
      <w:r w:rsidRPr="00A73EFF">
        <w:rPr>
          <w:rFonts w:ascii="Arial" w:hAnsi="Arial" w:cs="Arial"/>
        </w:rPr>
        <w:t>Hinman</w:t>
      </w:r>
      <w:proofErr w:type="spellEnd"/>
      <w:r w:rsidRPr="00A73EFF">
        <w:rPr>
          <w:rFonts w:ascii="Arial" w:hAnsi="Arial" w:cs="Arial"/>
        </w:rPr>
        <w:t xml:space="preserve">, R. S. (2019). Comparison of weight bearing functional exercise and non-weight bearing quadriceps strengthening exercise on pain and function for people with knee osteoarthritis and obesity: Protocol for the TARGET </w:t>
      </w:r>
      <w:proofErr w:type="spellStart"/>
      <w:r w:rsidRPr="00A73EFF">
        <w:rPr>
          <w:rFonts w:ascii="Arial" w:hAnsi="Arial" w:cs="Arial"/>
        </w:rPr>
        <w:t>randomised</w:t>
      </w:r>
      <w:proofErr w:type="spellEnd"/>
      <w:r w:rsidRPr="00A73EFF">
        <w:rPr>
          <w:rFonts w:ascii="Arial" w:hAnsi="Arial" w:cs="Arial"/>
        </w:rPr>
        <w:t xml:space="preserve"> controlled trial. </w:t>
      </w:r>
      <w:r w:rsidRPr="00A73EFF">
        <w:rPr>
          <w:rFonts w:ascii="Arial" w:hAnsi="Arial" w:cs="Arial"/>
          <w:i/>
          <w:iCs/>
        </w:rPr>
        <w:t>BMC Musculoskeletal Disorders</w:t>
      </w:r>
      <w:r w:rsidRPr="00A73EFF">
        <w:rPr>
          <w:rFonts w:ascii="Arial" w:hAnsi="Arial" w:cs="Arial"/>
        </w:rPr>
        <w:t xml:space="preserve">, </w:t>
      </w:r>
      <w:r w:rsidRPr="00A73EFF">
        <w:rPr>
          <w:rFonts w:ascii="Arial" w:hAnsi="Arial" w:cs="Arial"/>
          <w:i/>
          <w:iCs/>
        </w:rPr>
        <w:t>20</w:t>
      </w:r>
      <w:r w:rsidRPr="00A73EFF">
        <w:rPr>
          <w:rFonts w:ascii="Arial" w:hAnsi="Arial" w:cs="Arial"/>
        </w:rPr>
        <w:t xml:space="preserve">. </w:t>
      </w:r>
      <w:hyperlink r:id="rId9" w:history="1">
        <w:r w:rsidRPr="00A73EFF">
          <w:rPr>
            <w:rStyle w:val="Hyperlink"/>
            <w:rFonts w:ascii="Arial" w:hAnsi="Arial" w:cs="Arial"/>
          </w:rPr>
          <w:t>https://doi.org/10.1186/s12891-019-2662-5</w:t>
        </w:r>
      </w:hyperlink>
    </w:p>
    <w:p w:rsidR="00A73EFF" w:rsidRPr="00A73EFF" w:rsidRDefault="00A73EFF" w:rsidP="00A73EFF">
      <w:pPr>
        <w:spacing w:before="0"/>
        <w:ind w:left="720" w:hanging="720"/>
        <w:rPr>
          <w:rFonts w:ascii="Arial" w:hAnsi="Arial" w:cs="Arial"/>
        </w:rPr>
      </w:pPr>
      <w:r w:rsidRPr="00A73EFF">
        <w:rPr>
          <w:rFonts w:ascii="Arial" w:hAnsi="Arial" w:cs="Arial"/>
        </w:rPr>
        <w:t xml:space="preserve">Bullock, J., Rizvi, A. A., Saleh, A. M., Ahmed, S. S., Do, D. P., Ansari, R. A., &amp; Ahmed, J. (2019). Rheumatoid Arthritis: A Brief Overview of the Treatment. </w:t>
      </w:r>
      <w:r w:rsidRPr="00A73EFF">
        <w:rPr>
          <w:rFonts w:ascii="Arial" w:hAnsi="Arial" w:cs="Arial"/>
          <w:i/>
          <w:iCs/>
        </w:rPr>
        <w:t>Medical Principles and Practice</w:t>
      </w:r>
      <w:r w:rsidRPr="00A73EFF">
        <w:rPr>
          <w:rFonts w:ascii="Arial" w:hAnsi="Arial" w:cs="Arial"/>
        </w:rPr>
        <w:t xml:space="preserve">, </w:t>
      </w:r>
      <w:r w:rsidRPr="00A73EFF">
        <w:rPr>
          <w:rFonts w:ascii="Arial" w:hAnsi="Arial" w:cs="Arial"/>
          <w:i/>
          <w:iCs/>
        </w:rPr>
        <w:t>27</w:t>
      </w:r>
      <w:r w:rsidRPr="00A73EFF">
        <w:rPr>
          <w:rFonts w:ascii="Arial" w:hAnsi="Arial" w:cs="Arial"/>
        </w:rPr>
        <w:t xml:space="preserve">(6), 501-507. </w:t>
      </w:r>
      <w:hyperlink r:id="rId10" w:history="1">
        <w:r w:rsidRPr="00A73EFF">
          <w:rPr>
            <w:rStyle w:val="Hyperlink"/>
            <w:rFonts w:ascii="Arial" w:hAnsi="Arial" w:cs="Arial"/>
          </w:rPr>
          <w:t>https://doi.org/10.1159/000493390</w:t>
        </w:r>
      </w:hyperlink>
      <w:r w:rsidRPr="00A73EFF">
        <w:rPr>
          <w:rFonts w:ascii="Arial" w:hAnsi="Arial" w:cs="Arial"/>
        </w:rPr>
        <w:t xml:space="preserve"> </w:t>
      </w:r>
    </w:p>
    <w:p w:rsidR="00A73EFF" w:rsidRPr="00A73EFF" w:rsidRDefault="00A73EFF" w:rsidP="00A73EFF">
      <w:pPr>
        <w:spacing w:before="0"/>
        <w:ind w:left="720" w:hanging="720"/>
        <w:rPr>
          <w:rFonts w:ascii="Arial" w:eastAsia="Times New Roman" w:hAnsi="Arial" w:cs="Arial"/>
        </w:rPr>
      </w:pPr>
      <w:proofErr w:type="spellStart"/>
      <w:r w:rsidRPr="00A138A6">
        <w:rPr>
          <w:rFonts w:ascii="Arial" w:eastAsia="Times New Roman" w:hAnsi="Arial" w:cs="Arial"/>
        </w:rPr>
        <w:t>Bushra</w:t>
      </w:r>
      <w:proofErr w:type="spellEnd"/>
      <w:r w:rsidRPr="00A138A6">
        <w:rPr>
          <w:rFonts w:ascii="Arial" w:eastAsia="Times New Roman" w:hAnsi="Arial" w:cs="Arial"/>
        </w:rPr>
        <w:t>, R., &amp; Aslam, N. (20</w:t>
      </w:r>
      <w:r w:rsidRPr="00A73EFF">
        <w:rPr>
          <w:rFonts w:ascii="Arial" w:eastAsia="Times New Roman" w:hAnsi="Arial" w:cs="Arial"/>
        </w:rPr>
        <w:t>2</w:t>
      </w:r>
      <w:r w:rsidRPr="00A138A6">
        <w:rPr>
          <w:rFonts w:ascii="Arial" w:eastAsia="Times New Roman" w:hAnsi="Arial" w:cs="Arial"/>
        </w:rPr>
        <w:t xml:space="preserve">0). An Overview of Clinical Pharmacology of Ibuprofen. </w:t>
      </w:r>
      <w:r w:rsidRPr="00A138A6">
        <w:rPr>
          <w:rFonts w:ascii="Arial" w:eastAsia="Times New Roman" w:hAnsi="Arial" w:cs="Arial"/>
          <w:i/>
          <w:iCs/>
        </w:rPr>
        <w:t>Oman Medical Journal</w:t>
      </w:r>
      <w:r w:rsidRPr="00A138A6">
        <w:rPr>
          <w:rFonts w:ascii="Arial" w:eastAsia="Times New Roman" w:hAnsi="Arial" w:cs="Arial"/>
        </w:rPr>
        <w:t xml:space="preserve">, </w:t>
      </w:r>
      <w:r w:rsidRPr="00A138A6">
        <w:rPr>
          <w:rFonts w:ascii="Arial" w:eastAsia="Times New Roman" w:hAnsi="Arial" w:cs="Arial"/>
          <w:i/>
          <w:iCs/>
        </w:rPr>
        <w:t>25</w:t>
      </w:r>
      <w:r w:rsidRPr="00A138A6">
        <w:rPr>
          <w:rFonts w:ascii="Arial" w:eastAsia="Times New Roman" w:hAnsi="Arial" w:cs="Arial"/>
        </w:rPr>
        <w:t>(3), 155-1661.</w:t>
      </w:r>
      <w:r w:rsidRPr="00A73EFF">
        <w:rPr>
          <w:rFonts w:ascii="Arial" w:eastAsia="Times New Roman" w:hAnsi="Arial" w:cs="Arial"/>
        </w:rPr>
        <w:t xml:space="preserve"> </w:t>
      </w:r>
      <w:hyperlink r:id="rId11" w:history="1">
        <w:r w:rsidRPr="00A73EFF">
          <w:rPr>
            <w:rStyle w:val="Hyperlink"/>
            <w:rFonts w:ascii="Arial" w:eastAsia="Times New Roman" w:hAnsi="Arial" w:cs="Arial"/>
          </w:rPr>
          <w:t>https://doi.org/10.5001/omj.2020.49</w:t>
        </w:r>
      </w:hyperlink>
    </w:p>
    <w:p w:rsidR="00A73EFF" w:rsidRPr="00A73EFF" w:rsidRDefault="00A73EFF" w:rsidP="00A73EFF">
      <w:pPr>
        <w:spacing w:before="0"/>
        <w:ind w:left="720" w:hanging="720"/>
        <w:rPr>
          <w:rFonts w:ascii="Arial" w:hAnsi="Arial" w:cs="Arial"/>
        </w:rPr>
      </w:pPr>
      <w:r w:rsidRPr="00A73EFF">
        <w:rPr>
          <w:rFonts w:ascii="Arial" w:hAnsi="Arial" w:cs="Arial"/>
        </w:rPr>
        <w:t xml:space="preserve">Fava, A., &amp; Petri, M. (2019). Systemic Lupus Erythematosus: Diagnosis and Clinical Management. </w:t>
      </w:r>
      <w:r w:rsidRPr="00A73EFF">
        <w:rPr>
          <w:rFonts w:ascii="Arial" w:hAnsi="Arial" w:cs="Arial"/>
          <w:i/>
          <w:iCs/>
        </w:rPr>
        <w:t>Journal of autoimmunity</w:t>
      </w:r>
      <w:r w:rsidRPr="00A73EFF">
        <w:rPr>
          <w:rFonts w:ascii="Arial" w:hAnsi="Arial" w:cs="Arial"/>
        </w:rPr>
        <w:t xml:space="preserve">, </w:t>
      </w:r>
      <w:r w:rsidRPr="00A73EFF">
        <w:rPr>
          <w:rFonts w:ascii="Arial" w:hAnsi="Arial" w:cs="Arial"/>
          <w:i/>
          <w:iCs/>
        </w:rPr>
        <w:t>96</w:t>
      </w:r>
      <w:r w:rsidRPr="00A73EFF">
        <w:rPr>
          <w:rFonts w:ascii="Arial" w:hAnsi="Arial" w:cs="Arial"/>
        </w:rPr>
        <w:t xml:space="preserve">, 1. </w:t>
      </w:r>
      <w:hyperlink r:id="rId12" w:history="1">
        <w:r w:rsidRPr="00A73EFF">
          <w:rPr>
            <w:rStyle w:val="Hyperlink"/>
            <w:rFonts w:ascii="Arial" w:hAnsi="Arial" w:cs="Arial"/>
          </w:rPr>
          <w:t>https://doi.org/10.1016/j.jaut.2018.11.001</w:t>
        </w:r>
      </w:hyperlink>
      <w:r w:rsidRPr="00A73EFF">
        <w:rPr>
          <w:rFonts w:ascii="Arial" w:hAnsi="Arial" w:cs="Arial"/>
        </w:rPr>
        <w:t xml:space="preserve"> </w:t>
      </w:r>
    </w:p>
    <w:p w:rsidR="00A73EFF" w:rsidRPr="00A73EFF" w:rsidRDefault="00A73EFF" w:rsidP="00A73EFF">
      <w:pPr>
        <w:spacing w:before="0"/>
        <w:ind w:left="720" w:hanging="720"/>
        <w:rPr>
          <w:rFonts w:ascii="Arial" w:eastAsia="Times New Roman" w:hAnsi="Arial" w:cs="Arial"/>
        </w:rPr>
      </w:pPr>
      <w:r w:rsidRPr="00A73EFF">
        <w:rPr>
          <w:rFonts w:ascii="Arial" w:eastAsia="Times New Roman" w:hAnsi="Arial" w:cs="Arial"/>
        </w:rPr>
        <w:t xml:space="preserve">Friedman, B., &amp; </w:t>
      </w:r>
      <w:proofErr w:type="spellStart"/>
      <w:r w:rsidRPr="00A73EFF">
        <w:rPr>
          <w:rFonts w:ascii="Arial" w:eastAsia="Times New Roman" w:hAnsi="Arial" w:cs="Arial"/>
        </w:rPr>
        <w:t>Cronstein</w:t>
      </w:r>
      <w:proofErr w:type="spellEnd"/>
      <w:r w:rsidRPr="00A73EFF">
        <w:rPr>
          <w:rFonts w:ascii="Arial" w:eastAsia="Times New Roman" w:hAnsi="Arial" w:cs="Arial"/>
        </w:rPr>
        <w:t xml:space="preserve">, B. (2019). Methotrexate Mechanism in Treatment of Rheumatoid Arthritis. </w:t>
      </w:r>
      <w:r w:rsidRPr="00A73EFF">
        <w:rPr>
          <w:rFonts w:ascii="Arial" w:eastAsia="Times New Roman" w:hAnsi="Arial" w:cs="Arial"/>
          <w:i/>
          <w:iCs/>
        </w:rPr>
        <w:t xml:space="preserve">Joint, Bone, </w:t>
      </w:r>
      <w:proofErr w:type="gramStart"/>
      <w:r w:rsidRPr="00A73EFF">
        <w:rPr>
          <w:rFonts w:ascii="Arial" w:eastAsia="Times New Roman" w:hAnsi="Arial" w:cs="Arial"/>
          <w:i/>
          <w:iCs/>
        </w:rPr>
        <w:t>Spine :</w:t>
      </w:r>
      <w:proofErr w:type="gramEnd"/>
      <w:r w:rsidRPr="00A73EFF">
        <w:rPr>
          <w:rFonts w:ascii="Arial" w:eastAsia="Times New Roman" w:hAnsi="Arial" w:cs="Arial"/>
          <w:i/>
          <w:iCs/>
        </w:rPr>
        <w:t xml:space="preserve"> Revue du </w:t>
      </w:r>
      <w:proofErr w:type="spellStart"/>
      <w:r w:rsidRPr="00A73EFF">
        <w:rPr>
          <w:rFonts w:ascii="Arial" w:eastAsia="Times New Roman" w:hAnsi="Arial" w:cs="Arial"/>
          <w:i/>
          <w:iCs/>
        </w:rPr>
        <w:t>Rhumatisme</w:t>
      </w:r>
      <w:proofErr w:type="spellEnd"/>
      <w:r w:rsidRPr="00A73EFF">
        <w:rPr>
          <w:rFonts w:ascii="Arial" w:eastAsia="Times New Roman" w:hAnsi="Arial" w:cs="Arial"/>
        </w:rPr>
        <w:t xml:space="preserve">, </w:t>
      </w:r>
      <w:r w:rsidRPr="00A73EFF">
        <w:rPr>
          <w:rFonts w:ascii="Arial" w:eastAsia="Times New Roman" w:hAnsi="Arial" w:cs="Arial"/>
          <w:i/>
          <w:iCs/>
        </w:rPr>
        <w:t>86</w:t>
      </w:r>
      <w:r w:rsidRPr="00A73EFF">
        <w:rPr>
          <w:rFonts w:ascii="Arial" w:eastAsia="Times New Roman" w:hAnsi="Arial" w:cs="Arial"/>
        </w:rPr>
        <w:t xml:space="preserve">(3), 301. </w:t>
      </w:r>
      <w:hyperlink r:id="rId13" w:history="1">
        <w:r w:rsidRPr="00A73EFF">
          <w:rPr>
            <w:rStyle w:val="Hyperlink"/>
            <w:rFonts w:ascii="Arial" w:eastAsia="Times New Roman" w:hAnsi="Arial" w:cs="Arial"/>
          </w:rPr>
          <w:t>https://doi.org/10.1016/j.jbspin.2018.07.004</w:t>
        </w:r>
      </w:hyperlink>
      <w:r w:rsidRPr="00A73EFF">
        <w:rPr>
          <w:rFonts w:ascii="Arial" w:eastAsia="Times New Roman" w:hAnsi="Arial" w:cs="Arial"/>
        </w:rPr>
        <w:t xml:space="preserve"> </w:t>
      </w:r>
    </w:p>
    <w:p w:rsidR="00A73EFF" w:rsidRPr="00A73EFF" w:rsidRDefault="00A73EFF" w:rsidP="00A73EFF">
      <w:pPr>
        <w:spacing w:before="0"/>
        <w:ind w:left="720" w:hanging="720"/>
        <w:rPr>
          <w:rFonts w:ascii="Arial" w:hAnsi="Arial" w:cs="Arial"/>
        </w:rPr>
      </w:pPr>
      <w:proofErr w:type="spellStart"/>
      <w:r w:rsidRPr="00A73EFF">
        <w:rPr>
          <w:rFonts w:ascii="Arial" w:hAnsi="Arial" w:cs="Arial"/>
        </w:rPr>
        <w:t>Guo</w:t>
      </w:r>
      <w:proofErr w:type="spellEnd"/>
      <w:r w:rsidRPr="00A73EFF">
        <w:rPr>
          <w:rFonts w:ascii="Arial" w:hAnsi="Arial" w:cs="Arial"/>
        </w:rPr>
        <w:t xml:space="preserve">, Q., Wang, Y., Xu, D., </w:t>
      </w:r>
      <w:proofErr w:type="spellStart"/>
      <w:r w:rsidRPr="00A73EFF">
        <w:rPr>
          <w:rFonts w:ascii="Arial" w:hAnsi="Arial" w:cs="Arial"/>
        </w:rPr>
        <w:t>Nossent</w:t>
      </w:r>
      <w:proofErr w:type="spellEnd"/>
      <w:r w:rsidRPr="00A73EFF">
        <w:rPr>
          <w:rFonts w:ascii="Arial" w:hAnsi="Arial" w:cs="Arial"/>
        </w:rPr>
        <w:t xml:space="preserve">, J., </w:t>
      </w:r>
      <w:proofErr w:type="spellStart"/>
      <w:r w:rsidRPr="00A73EFF">
        <w:rPr>
          <w:rFonts w:ascii="Arial" w:hAnsi="Arial" w:cs="Arial"/>
        </w:rPr>
        <w:t>Pavlos</w:t>
      </w:r>
      <w:proofErr w:type="spellEnd"/>
      <w:r w:rsidRPr="00A73EFF">
        <w:rPr>
          <w:rFonts w:ascii="Arial" w:hAnsi="Arial" w:cs="Arial"/>
        </w:rPr>
        <w:t xml:space="preserve">, N. J., &amp; Xu, J. (2018). Rheumatoid arthritis: Pathological mechanisms and modern pharmacologic therapies. </w:t>
      </w:r>
      <w:r w:rsidRPr="00A73EFF">
        <w:rPr>
          <w:rFonts w:ascii="Arial" w:hAnsi="Arial" w:cs="Arial"/>
          <w:i/>
          <w:iCs/>
        </w:rPr>
        <w:t>Bone Research</w:t>
      </w:r>
      <w:r w:rsidRPr="00A73EFF">
        <w:rPr>
          <w:rFonts w:ascii="Arial" w:hAnsi="Arial" w:cs="Arial"/>
        </w:rPr>
        <w:t xml:space="preserve">, </w:t>
      </w:r>
      <w:r w:rsidRPr="00A73EFF">
        <w:rPr>
          <w:rFonts w:ascii="Arial" w:hAnsi="Arial" w:cs="Arial"/>
          <w:i/>
          <w:iCs/>
        </w:rPr>
        <w:t>6</w:t>
      </w:r>
      <w:r w:rsidRPr="00A73EFF">
        <w:rPr>
          <w:rFonts w:ascii="Arial" w:hAnsi="Arial" w:cs="Arial"/>
        </w:rPr>
        <w:t xml:space="preserve">. </w:t>
      </w:r>
      <w:hyperlink r:id="rId14" w:history="1">
        <w:r w:rsidRPr="00A73EFF">
          <w:rPr>
            <w:rStyle w:val="Hyperlink"/>
            <w:rFonts w:ascii="Arial" w:hAnsi="Arial" w:cs="Arial"/>
          </w:rPr>
          <w:t>https://doi.org/10.1038/s41413-018-0016-9</w:t>
        </w:r>
      </w:hyperlink>
      <w:r w:rsidRPr="00A73EFF">
        <w:rPr>
          <w:rFonts w:ascii="Arial" w:hAnsi="Arial" w:cs="Arial"/>
        </w:rPr>
        <w:t xml:space="preserve"> </w:t>
      </w:r>
    </w:p>
    <w:p w:rsidR="00A73EFF" w:rsidRPr="00A73EFF" w:rsidRDefault="00A73EFF" w:rsidP="00A73EFF">
      <w:pPr>
        <w:spacing w:before="0"/>
        <w:ind w:left="720" w:hanging="720"/>
        <w:rPr>
          <w:rFonts w:ascii="Arial" w:eastAsia="Times New Roman" w:hAnsi="Arial" w:cs="Arial"/>
        </w:rPr>
      </w:pPr>
      <w:r w:rsidRPr="00A73EFF">
        <w:rPr>
          <w:rFonts w:ascii="Arial" w:eastAsia="Times New Roman" w:hAnsi="Arial" w:cs="Arial"/>
        </w:rPr>
        <w:t>Lim, S. S., &amp; Conn, D. L. (202</w:t>
      </w:r>
      <w:r w:rsidRPr="00CC43C4">
        <w:rPr>
          <w:rFonts w:ascii="Arial" w:eastAsia="Times New Roman" w:hAnsi="Arial" w:cs="Arial"/>
        </w:rPr>
        <w:t xml:space="preserve">1). The use of low-dose prednisone in the management of rheumatoid arthritis. </w:t>
      </w:r>
      <w:r w:rsidRPr="00CC43C4">
        <w:rPr>
          <w:rFonts w:ascii="Arial" w:eastAsia="Times New Roman" w:hAnsi="Arial" w:cs="Arial"/>
          <w:i/>
          <w:iCs/>
        </w:rPr>
        <w:t xml:space="preserve">Bulletin on the </w:t>
      </w:r>
      <w:r w:rsidRPr="00A73EFF">
        <w:rPr>
          <w:rFonts w:ascii="Arial" w:eastAsia="Times New Roman" w:hAnsi="Arial" w:cs="Arial"/>
          <w:i/>
          <w:iCs/>
        </w:rPr>
        <w:t>Rheumatic D</w:t>
      </w:r>
      <w:r w:rsidRPr="00CC43C4">
        <w:rPr>
          <w:rFonts w:ascii="Arial" w:eastAsia="Times New Roman" w:hAnsi="Arial" w:cs="Arial"/>
          <w:i/>
          <w:iCs/>
        </w:rPr>
        <w:t>iseases</w:t>
      </w:r>
      <w:r w:rsidRPr="00CC43C4">
        <w:rPr>
          <w:rFonts w:ascii="Arial" w:eastAsia="Times New Roman" w:hAnsi="Arial" w:cs="Arial"/>
        </w:rPr>
        <w:t xml:space="preserve">, </w:t>
      </w:r>
      <w:r w:rsidRPr="00CC43C4">
        <w:rPr>
          <w:rFonts w:ascii="Arial" w:eastAsia="Times New Roman" w:hAnsi="Arial" w:cs="Arial"/>
          <w:i/>
          <w:iCs/>
        </w:rPr>
        <w:t>50</w:t>
      </w:r>
      <w:r w:rsidRPr="00CC43C4">
        <w:rPr>
          <w:rFonts w:ascii="Arial" w:eastAsia="Times New Roman" w:hAnsi="Arial" w:cs="Arial"/>
        </w:rPr>
        <w:t xml:space="preserve">(12), 1–4. </w:t>
      </w:r>
    </w:p>
    <w:p w:rsidR="00A73EFF" w:rsidRPr="00A73EFF" w:rsidRDefault="00A73EFF" w:rsidP="00A73EFF">
      <w:pPr>
        <w:spacing w:before="0"/>
        <w:ind w:left="720" w:hanging="720"/>
        <w:rPr>
          <w:rFonts w:ascii="Arial" w:hAnsi="Arial" w:cs="Arial"/>
        </w:rPr>
      </w:pPr>
      <w:proofErr w:type="spellStart"/>
      <w:r w:rsidRPr="00A73EFF">
        <w:rPr>
          <w:rFonts w:ascii="Arial" w:hAnsi="Arial" w:cs="Arial"/>
        </w:rPr>
        <w:t>Mohd</w:t>
      </w:r>
      <w:proofErr w:type="spellEnd"/>
      <w:r w:rsidRPr="00A73EFF">
        <w:rPr>
          <w:rFonts w:ascii="Arial" w:hAnsi="Arial" w:cs="Arial"/>
        </w:rPr>
        <w:t xml:space="preserve"> </w:t>
      </w:r>
      <w:proofErr w:type="spellStart"/>
      <w:r w:rsidRPr="00A73EFF">
        <w:rPr>
          <w:rFonts w:ascii="Arial" w:hAnsi="Arial" w:cs="Arial"/>
        </w:rPr>
        <w:t>Yunus</w:t>
      </w:r>
      <w:proofErr w:type="spellEnd"/>
      <w:r w:rsidRPr="00A73EFF">
        <w:rPr>
          <w:rFonts w:ascii="Arial" w:hAnsi="Arial" w:cs="Arial"/>
        </w:rPr>
        <w:t xml:space="preserve">, M. H., </w:t>
      </w:r>
      <w:proofErr w:type="spellStart"/>
      <w:r w:rsidRPr="00A73EFF">
        <w:rPr>
          <w:rFonts w:ascii="Arial" w:hAnsi="Arial" w:cs="Arial"/>
        </w:rPr>
        <w:t>Nordin</w:t>
      </w:r>
      <w:proofErr w:type="spellEnd"/>
      <w:r w:rsidRPr="00A73EFF">
        <w:rPr>
          <w:rFonts w:ascii="Arial" w:hAnsi="Arial" w:cs="Arial"/>
        </w:rPr>
        <w:t xml:space="preserve">, A., &amp; Kamal, H. (2020). Pathophysiological Perspective of Osteoarthritis. </w:t>
      </w:r>
      <w:proofErr w:type="spellStart"/>
      <w:r w:rsidRPr="00A73EFF">
        <w:rPr>
          <w:rFonts w:ascii="Arial" w:hAnsi="Arial" w:cs="Arial"/>
          <w:i/>
          <w:iCs/>
        </w:rPr>
        <w:t>Medicina</w:t>
      </w:r>
      <w:proofErr w:type="spellEnd"/>
      <w:r w:rsidRPr="00A73EFF">
        <w:rPr>
          <w:rFonts w:ascii="Arial" w:hAnsi="Arial" w:cs="Arial"/>
        </w:rPr>
        <w:t xml:space="preserve">, </w:t>
      </w:r>
      <w:r w:rsidRPr="00A73EFF">
        <w:rPr>
          <w:rFonts w:ascii="Arial" w:hAnsi="Arial" w:cs="Arial"/>
          <w:i/>
          <w:iCs/>
        </w:rPr>
        <w:t>56</w:t>
      </w:r>
      <w:r w:rsidRPr="00A73EFF">
        <w:rPr>
          <w:rFonts w:ascii="Arial" w:hAnsi="Arial" w:cs="Arial"/>
        </w:rPr>
        <w:t xml:space="preserve">(11). </w:t>
      </w:r>
      <w:hyperlink r:id="rId15" w:history="1">
        <w:r w:rsidRPr="00A73EFF">
          <w:rPr>
            <w:rStyle w:val="Hyperlink"/>
            <w:rFonts w:ascii="Arial" w:hAnsi="Arial" w:cs="Arial"/>
          </w:rPr>
          <w:t>https://doi.org/10.3390/medicina56110614</w:t>
        </w:r>
      </w:hyperlink>
    </w:p>
    <w:p w:rsidR="00A73EFF" w:rsidRPr="00A73EFF" w:rsidRDefault="00A73EFF" w:rsidP="00A73EFF">
      <w:pPr>
        <w:spacing w:before="0"/>
        <w:ind w:left="720" w:hanging="720"/>
        <w:rPr>
          <w:rFonts w:ascii="Arial" w:hAnsi="Arial" w:cs="Arial"/>
        </w:rPr>
      </w:pPr>
      <w:proofErr w:type="spellStart"/>
      <w:r w:rsidRPr="00A73EFF">
        <w:rPr>
          <w:rFonts w:ascii="Arial" w:hAnsi="Arial" w:cs="Arial"/>
        </w:rPr>
        <w:t>Ocampo</w:t>
      </w:r>
      <w:proofErr w:type="spellEnd"/>
      <w:r w:rsidRPr="00A73EFF">
        <w:rPr>
          <w:rFonts w:ascii="Arial" w:hAnsi="Arial" w:cs="Arial"/>
        </w:rPr>
        <w:t xml:space="preserve">, V., &amp; </w:t>
      </w:r>
      <w:proofErr w:type="spellStart"/>
      <w:r w:rsidRPr="00A73EFF">
        <w:rPr>
          <w:rFonts w:ascii="Arial" w:hAnsi="Arial" w:cs="Arial"/>
        </w:rPr>
        <w:t>Gladman</w:t>
      </w:r>
      <w:proofErr w:type="spellEnd"/>
      <w:r w:rsidRPr="00A73EFF">
        <w:rPr>
          <w:rFonts w:ascii="Arial" w:hAnsi="Arial" w:cs="Arial"/>
        </w:rPr>
        <w:t xml:space="preserve">, D. (2019). Psoriatic arthritis. </w:t>
      </w:r>
      <w:r w:rsidRPr="00A73EFF">
        <w:rPr>
          <w:rFonts w:ascii="Arial" w:hAnsi="Arial" w:cs="Arial"/>
          <w:i/>
          <w:iCs/>
        </w:rPr>
        <w:t>F1000Research</w:t>
      </w:r>
      <w:r w:rsidRPr="00A73EFF">
        <w:rPr>
          <w:rFonts w:ascii="Arial" w:hAnsi="Arial" w:cs="Arial"/>
        </w:rPr>
        <w:t xml:space="preserve">, </w:t>
      </w:r>
      <w:r w:rsidRPr="00A73EFF">
        <w:rPr>
          <w:rFonts w:ascii="Arial" w:hAnsi="Arial" w:cs="Arial"/>
          <w:i/>
          <w:iCs/>
        </w:rPr>
        <w:t>8</w:t>
      </w:r>
      <w:r w:rsidRPr="00A73EFF">
        <w:rPr>
          <w:rFonts w:ascii="Arial" w:hAnsi="Arial" w:cs="Arial"/>
        </w:rPr>
        <w:t xml:space="preserve">. </w:t>
      </w:r>
      <w:hyperlink r:id="rId16" w:history="1">
        <w:r w:rsidRPr="00A73EFF">
          <w:rPr>
            <w:rStyle w:val="Hyperlink"/>
            <w:rFonts w:ascii="Arial" w:hAnsi="Arial" w:cs="Arial"/>
          </w:rPr>
          <w:t>https://doi.org/10.12688/f1000research.19144.1</w:t>
        </w:r>
      </w:hyperlink>
      <w:r w:rsidRPr="00A73EFF">
        <w:rPr>
          <w:rFonts w:ascii="Arial" w:hAnsi="Arial" w:cs="Arial"/>
        </w:rPr>
        <w:t xml:space="preserve"> </w:t>
      </w:r>
    </w:p>
    <w:p w:rsidR="00A73EFF" w:rsidRPr="00A73EFF" w:rsidRDefault="00A73EFF" w:rsidP="00A73EFF">
      <w:pPr>
        <w:spacing w:before="0"/>
        <w:ind w:left="720" w:hanging="720"/>
        <w:rPr>
          <w:rFonts w:ascii="Arial" w:eastAsia="Times New Roman" w:hAnsi="Arial" w:cs="Arial"/>
        </w:rPr>
      </w:pPr>
      <w:proofErr w:type="spellStart"/>
      <w:r w:rsidRPr="00A138A6">
        <w:rPr>
          <w:rFonts w:ascii="Arial" w:eastAsia="Times New Roman" w:hAnsi="Arial" w:cs="Arial"/>
        </w:rPr>
        <w:t>Ohashi</w:t>
      </w:r>
      <w:proofErr w:type="spellEnd"/>
      <w:r w:rsidRPr="00A138A6">
        <w:rPr>
          <w:rFonts w:ascii="Arial" w:eastAsia="Times New Roman" w:hAnsi="Arial" w:cs="Arial"/>
        </w:rPr>
        <w:t xml:space="preserve">, N., &amp; Kohno, T. (2020). Analgesic Effect of Acetaminophen: A Review of Known and Novel Mechanisms of Action. </w:t>
      </w:r>
      <w:r w:rsidRPr="00A138A6">
        <w:rPr>
          <w:rFonts w:ascii="Arial" w:eastAsia="Times New Roman" w:hAnsi="Arial" w:cs="Arial"/>
          <w:i/>
          <w:iCs/>
        </w:rPr>
        <w:t>Frontiers in Pharmacology</w:t>
      </w:r>
      <w:r w:rsidRPr="00A138A6">
        <w:rPr>
          <w:rFonts w:ascii="Arial" w:eastAsia="Times New Roman" w:hAnsi="Arial" w:cs="Arial"/>
        </w:rPr>
        <w:t xml:space="preserve">, </w:t>
      </w:r>
      <w:r w:rsidRPr="00A138A6">
        <w:rPr>
          <w:rFonts w:ascii="Arial" w:eastAsia="Times New Roman" w:hAnsi="Arial" w:cs="Arial"/>
          <w:i/>
          <w:iCs/>
        </w:rPr>
        <w:t>11</w:t>
      </w:r>
      <w:r w:rsidRPr="00A138A6">
        <w:rPr>
          <w:rFonts w:ascii="Arial" w:eastAsia="Times New Roman" w:hAnsi="Arial" w:cs="Arial"/>
        </w:rPr>
        <w:t xml:space="preserve">. </w:t>
      </w:r>
      <w:hyperlink r:id="rId17" w:history="1">
        <w:r w:rsidRPr="00A73EFF">
          <w:rPr>
            <w:rStyle w:val="Hyperlink"/>
            <w:rFonts w:ascii="Arial" w:eastAsia="Times New Roman" w:hAnsi="Arial" w:cs="Arial"/>
          </w:rPr>
          <w:t>https://doi.org/10.3389/fphar.2020.580289</w:t>
        </w:r>
      </w:hyperlink>
      <w:r w:rsidRPr="00A73EFF">
        <w:rPr>
          <w:rFonts w:ascii="Arial" w:eastAsia="Times New Roman" w:hAnsi="Arial" w:cs="Arial"/>
        </w:rPr>
        <w:t xml:space="preserve"> </w:t>
      </w:r>
    </w:p>
    <w:p w:rsidR="00A73EFF" w:rsidRPr="00A73EFF" w:rsidRDefault="00A73EFF" w:rsidP="00A73EFF">
      <w:pPr>
        <w:spacing w:before="0"/>
        <w:ind w:left="720" w:hanging="720"/>
        <w:rPr>
          <w:rFonts w:ascii="Arial" w:hAnsi="Arial" w:cs="Arial"/>
        </w:rPr>
      </w:pPr>
      <w:proofErr w:type="spellStart"/>
      <w:r w:rsidRPr="00A73EFF">
        <w:rPr>
          <w:rFonts w:ascii="Arial" w:hAnsi="Arial" w:cs="Arial"/>
        </w:rPr>
        <w:t>Ostrowska</w:t>
      </w:r>
      <w:proofErr w:type="spellEnd"/>
      <w:r w:rsidRPr="00A73EFF">
        <w:rPr>
          <w:rFonts w:ascii="Arial" w:hAnsi="Arial" w:cs="Arial"/>
        </w:rPr>
        <w:t xml:space="preserve">, M., </w:t>
      </w:r>
      <w:proofErr w:type="spellStart"/>
      <w:r w:rsidRPr="00A73EFF">
        <w:rPr>
          <w:rFonts w:ascii="Arial" w:hAnsi="Arial" w:cs="Arial"/>
        </w:rPr>
        <w:t>Maśliński</w:t>
      </w:r>
      <w:proofErr w:type="spellEnd"/>
      <w:r w:rsidRPr="00A73EFF">
        <w:rPr>
          <w:rFonts w:ascii="Arial" w:hAnsi="Arial" w:cs="Arial"/>
        </w:rPr>
        <w:t xml:space="preserve">, W., </w:t>
      </w:r>
      <w:proofErr w:type="spellStart"/>
      <w:r w:rsidRPr="00A73EFF">
        <w:rPr>
          <w:rFonts w:ascii="Arial" w:hAnsi="Arial" w:cs="Arial"/>
        </w:rPr>
        <w:t>Prochorec-Sobieszek</w:t>
      </w:r>
      <w:proofErr w:type="spellEnd"/>
      <w:r w:rsidRPr="00A73EFF">
        <w:rPr>
          <w:rFonts w:ascii="Arial" w:hAnsi="Arial" w:cs="Arial"/>
        </w:rPr>
        <w:t xml:space="preserve">, M., </w:t>
      </w:r>
      <w:proofErr w:type="spellStart"/>
      <w:r w:rsidRPr="00A73EFF">
        <w:rPr>
          <w:rFonts w:ascii="Arial" w:hAnsi="Arial" w:cs="Arial"/>
        </w:rPr>
        <w:t>Nieciecki</w:t>
      </w:r>
      <w:proofErr w:type="spellEnd"/>
      <w:r w:rsidRPr="00A73EFF">
        <w:rPr>
          <w:rFonts w:ascii="Arial" w:hAnsi="Arial" w:cs="Arial"/>
        </w:rPr>
        <w:t xml:space="preserve">, M., &amp; </w:t>
      </w:r>
      <w:proofErr w:type="spellStart"/>
      <w:r w:rsidRPr="00A73EFF">
        <w:rPr>
          <w:rFonts w:ascii="Arial" w:hAnsi="Arial" w:cs="Arial"/>
        </w:rPr>
        <w:t>Sudoł-Szopińska</w:t>
      </w:r>
      <w:proofErr w:type="spellEnd"/>
      <w:r w:rsidRPr="00A73EFF">
        <w:rPr>
          <w:rFonts w:ascii="Arial" w:hAnsi="Arial" w:cs="Arial"/>
        </w:rPr>
        <w:t xml:space="preserve">, I. (2018). Cartilage and bone damage in rheumatoid arthritis. </w:t>
      </w:r>
      <w:proofErr w:type="spellStart"/>
      <w:r w:rsidRPr="00A73EFF">
        <w:rPr>
          <w:rFonts w:ascii="Arial" w:hAnsi="Arial" w:cs="Arial"/>
          <w:i/>
          <w:iCs/>
        </w:rPr>
        <w:t>Reumatologia</w:t>
      </w:r>
      <w:proofErr w:type="spellEnd"/>
      <w:r w:rsidRPr="00A73EFF">
        <w:rPr>
          <w:rFonts w:ascii="Arial" w:hAnsi="Arial" w:cs="Arial"/>
        </w:rPr>
        <w:t xml:space="preserve">, </w:t>
      </w:r>
      <w:r w:rsidRPr="00A73EFF">
        <w:rPr>
          <w:rFonts w:ascii="Arial" w:hAnsi="Arial" w:cs="Arial"/>
          <w:i/>
          <w:iCs/>
        </w:rPr>
        <w:t>56</w:t>
      </w:r>
      <w:r w:rsidRPr="00A73EFF">
        <w:rPr>
          <w:rFonts w:ascii="Arial" w:hAnsi="Arial" w:cs="Arial"/>
        </w:rPr>
        <w:t xml:space="preserve">(2), 111-120. </w:t>
      </w:r>
      <w:hyperlink r:id="rId18" w:history="1">
        <w:r w:rsidRPr="00A73EFF">
          <w:rPr>
            <w:rStyle w:val="Hyperlink"/>
            <w:rFonts w:ascii="Arial" w:hAnsi="Arial" w:cs="Arial"/>
          </w:rPr>
          <w:t>https://doi.org/10.5114/reum.2018.75523</w:t>
        </w:r>
      </w:hyperlink>
      <w:r w:rsidRPr="00A73EFF">
        <w:rPr>
          <w:rFonts w:ascii="Arial" w:hAnsi="Arial" w:cs="Arial"/>
        </w:rPr>
        <w:t xml:space="preserve"> </w:t>
      </w:r>
    </w:p>
    <w:p w:rsidR="00A73EFF" w:rsidRPr="00A73EFF" w:rsidRDefault="00A73EFF" w:rsidP="00A73EFF">
      <w:pPr>
        <w:spacing w:before="0"/>
        <w:ind w:left="720" w:hanging="720"/>
        <w:rPr>
          <w:rFonts w:ascii="Arial" w:hAnsi="Arial" w:cs="Arial"/>
        </w:rPr>
      </w:pPr>
      <w:proofErr w:type="spellStart"/>
      <w:r w:rsidRPr="00A73EFF">
        <w:rPr>
          <w:rFonts w:ascii="Arial" w:hAnsi="Arial" w:cs="Arial"/>
        </w:rPr>
        <w:lastRenderedPageBreak/>
        <w:t>Queiro</w:t>
      </w:r>
      <w:proofErr w:type="spellEnd"/>
      <w:r w:rsidRPr="00A73EFF">
        <w:rPr>
          <w:rFonts w:ascii="Arial" w:hAnsi="Arial" w:cs="Arial"/>
        </w:rPr>
        <w:t xml:space="preserve">, R., Lorenzo, A., </w:t>
      </w:r>
      <w:proofErr w:type="spellStart"/>
      <w:r w:rsidRPr="00A73EFF">
        <w:rPr>
          <w:rFonts w:ascii="Arial" w:hAnsi="Arial" w:cs="Arial"/>
        </w:rPr>
        <w:t>Tejón</w:t>
      </w:r>
      <w:proofErr w:type="spellEnd"/>
      <w:r w:rsidRPr="00A73EFF">
        <w:rPr>
          <w:rFonts w:ascii="Arial" w:hAnsi="Arial" w:cs="Arial"/>
        </w:rPr>
        <w:t xml:space="preserve">, P., </w:t>
      </w:r>
      <w:proofErr w:type="spellStart"/>
      <w:r w:rsidRPr="00A73EFF">
        <w:rPr>
          <w:rFonts w:ascii="Arial" w:hAnsi="Arial" w:cs="Arial"/>
        </w:rPr>
        <w:t>Coto</w:t>
      </w:r>
      <w:proofErr w:type="spellEnd"/>
      <w:r w:rsidRPr="00A73EFF">
        <w:rPr>
          <w:rFonts w:ascii="Arial" w:hAnsi="Arial" w:cs="Arial"/>
        </w:rPr>
        <w:t xml:space="preserve">, P., &amp; Pardo, E. (2019). Obesity in psoriatic arthritis: Comparative prevalence and associated factors. </w:t>
      </w:r>
      <w:r w:rsidRPr="00A73EFF">
        <w:rPr>
          <w:rFonts w:ascii="Arial" w:hAnsi="Arial" w:cs="Arial"/>
          <w:i/>
          <w:iCs/>
        </w:rPr>
        <w:t>Medicine</w:t>
      </w:r>
      <w:r w:rsidRPr="00A73EFF">
        <w:rPr>
          <w:rFonts w:ascii="Arial" w:hAnsi="Arial" w:cs="Arial"/>
        </w:rPr>
        <w:t xml:space="preserve">, </w:t>
      </w:r>
      <w:r w:rsidRPr="00A73EFF">
        <w:rPr>
          <w:rFonts w:ascii="Arial" w:hAnsi="Arial" w:cs="Arial"/>
          <w:i/>
          <w:iCs/>
        </w:rPr>
        <w:t>98</w:t>
      </w:r>
      <w:r w:rsidRPr="00A73EFF">
        <w:rPr>
          <w:rFonts w:ascii="Arial" w:hAnsi="Arial" w:cs="Arial"/>
        </w:rPr>
        <w:t xml:space="preserve">(28). </w:t>
      </w:r>
      <w:hyperlink r:id="rId19" w:history="1">
        <w:r w:rsidRPr="00A73EFF">
          <w:rPr>
            <w:rStyle w:val="Hyperlink"/>
            <w:rFonts w:ascii="Arial" w:hAnsi="Arial" w:cs="Arial"/>
          </w:rPr>
          <w:t>https://doi.org/10.1097/MD.0000000000016400</w:t>
        </w:r>
      </w:hyperlink>
      <w:r w:rsidRPr="00A73EFF">
        <w:rPr>
          <w:rFonts w:ascii="Arial" w:hAnsi="Arial" w:cs="Arial"/>
        </w:rPr>
        <w:t xml:space="preserve">  </w:t>
      </w:r>
    </w:p>
    <w:p w:rsidR="00A73EFF" w:rsidRPr="00A73EFF" w:rsidRDefault="00A73EFF" w:rsidP="00A73EFF">
      <w:pPr>
        <w:spacing w:before="0"/>
        <w:ind w:left="720" w:hanging="720"/>
        <w:rPr>
          <w:rFonts w:ascii="Arial" w:hAnsi="Arial" w:cs="Arial"/>
        </w:rPr>
      </w:pPr>
      <w:proofErr w:type="spellStart"/>
      <w:r w:rsidRPr="00A73EFF">
        <w:rPr>
          <w:rFonts w:ascii="Arial" w:hAnsi="Arial" w:cs="Arial"/>
        </w:rPr>
        <w:t>Sankowski</w:t>
      </w:r>
      <w:proofErr w:type="spellEnd"/>
      <w:r w:rsidRPr="00A73EFF">
        <w:rPr>
          <w:rFonts w:ascii="Arial" w:hAnsi="Arial" w:cs="Arial"/>
        </w:rPr>
        <w:t xml:space="preserve">, A. J., </w:t>
      </w:r>
      <w:proofErr w:type="spellStart"/>
      <w:r w:rsidRPr="00A73EFF">
        <w:rPr>
          <w:rFonts w:ascii="Arial" w:hAnsi="Arial" w:cs="Arial"/>
        </w:rPr>
        <w:t>Łebkowska</w:t>
      </w:r>
      <w:proofErr w:type="spellEnd"/>
      <w:r w:rsidRPr="00A73EFF">
        <w:rPr>
          <w:rFonts w:ascii="Arial" w:hAnsi="Arial" w:cs="Arial"/>
        </w:rPr>
        <w:t xml:space="preserve">, U. M., </w:t>
      </w:r>
      <w:proofErr w:type="spellStart"/>
      <w:r w:rsidRPr="00A73EFF">
        <w:rPr>
          <w:rFonts w:ascii="Arial" w:hAnsi="Arial" w:cs="Arial"/>
        </w:rPr>
        <w:t>Ćwikła</w:t>
      </w:r>
      <w:proofErr w:type="spellEnd"/>
      <w:r w:rsidRPr="00A73EFF">
        <w:rPr>
          <w:rFonts w:ascii="Arial" w:hAnsi="Arial" w:cs="Arial"/>
        </w:rPr>
        <w:t xml:space="preserve">, J., </w:t>
      </w:r>
      <w:proofErr w:type="spellStart"/>
      <w:r w:rsidRPr="00A73EFF">
        <w:rPr>
          <w:rFonts w:ascii="Arial" w:hAnsi="Arial" w:cs="Arial"/>
        </w:rPr>
        <w:t>Walecka</w:t>
      </w:r>
      <w:proofErr w:type="spellEnd"/>
      <w:r w:rsidRPr="00A73EFF">
        <w:rPr>
          <w:rFonts w:ascii="Arial" w:hAnsi="Arial" w:cs="Arial"/>
        </w:rPr>
        <w:t xml:space="preserve">, I., &amp; </w:t>
      </w:r>
      <w:proofErr w:type="spellStart"/>
      <w:r w:rsidRPr="00A73EFF">
        <w:rPr>
          <w:rFonts w:ascii="Arial" w:hAnsi="Arial" w:cs="Arial"/>
        </w:rPr>
        <w:t>Walecki</w:t>
      </w:r>
      <w:proofErr w:type="spellEnd"/>
      <w:r w:rsidRPr="00A73EFF">
        <w:rPr>
          <w:rFonts w:ascii="Arial" w:hAnsi="Arial" w:cs="Arial"/>
        </w:rPr>
        <w:t xml:space="preserve">, J. (2018). Psoriatic arthritis. </w:t>
      </w:r>
      <w:r w:rsidRPr="00A73EFF">
        <w:rPr>
          <w:rFonts w:ascii="Arial" w:hAnsi="Arial" w:cs="Arial"/>
          <w:i/>
          <w:iCs/>
        </w:rPr>
        <w:t>Polish Journal of Radiology</w:t>
      </w:r>
      <w:r w:rsidRPr="00A73EFF">
        <w:rPr>
          <w:rFonts w:ascii="Arial" w:hAnsi="Arial" w:cs="Arial"/>
        </w:rPr>
        <w:t xml:space="preserve">, </w:t>
      </w:r>
      <w:r w:rsidRPr="00A73EFF">
        <w:rPr>
          <w:rFonts w:ascii="Arial" w:hAnsi="Arial" w:cs="Arial"/>
          <w:i/>
          <w:iCs/>
        </w:rPr>
        <w:t>78</w:t>
      </w:r>
      <w:r w:rsidRPr="00A73EFF">
        <w:rPr>
          <w:rFonts w:ascii="Arial" w:hAnsi="Arial" w:cs="Arial"/>
        </w:rPr>
        <w:t xml:space="preserve">(1), 7-17. </w:t>
      </w:r>
      <w:hyperlink r:id="rId20" w:history="1">
        <w:r w:rsidRPr="00A73EFF">
          <w:rPr>
            <w:rStyle w:val="Hyperlink"/>
            <w:rFonts w:ascii="Arial" w:hAnsi="Arial" w:cs="Arial"/>
          </w:rPr>
          <w:t>https://doi.org/10.12659/PJR.883763</w:t>
        </w:r>
      </w:hyperlink>
    </w:p>
    <w:p w:rsidR="00A73EFF" w:rsidRPr="00A73EFF" w:rsidRDefault="00A73EFF" w:rsidP="00A73EFF">
      <w:pPr>
        <w:spacing w:before="0"/>
        <w:ind w:left="720" w:hanging="720"/>
        <w:rPr>
          <w:rFonts w:ascii="Arial" w:eastAsia="Times New Roman" w:hAnsi="Arial" w:cs="Arial"/>
        </w:rPr>
      </w:pPr>
      <w:proofErr w:type="spellStart"/>
      <w:r w:rsidRPr="00CC43C4">
        <w:rPr>
          <w:rFonts w:ascii="Arial" w:eastAsia="Times New Roman" w:hAnsi="Arial" w:cs="Arial"/>
        </w:rPr>
        <w:t>Siddhanamatha</w:t>
      </w:r>
      <w:proofErr w:type="spellEnd"/>
      <w:r w:rsidRPr="00CC43C4">
        <w:rPr>
          <w:rFonts w:ascii="Arial" w:eastAsia="Times New Roman" w:hAnsi="Arial" w:cs="Arial"/>
        </w:rPr>
        <w:t xml:space="preserve">, H. R., </w:t>
      </w:r>
      <w:proofErr w:type="spellStart"/>
      <w:r w:rsidRPr="00CC43C4">
        <w:rPr>
          <w:rFonts w:ascii="Arial" w:eastAsia="Times New Roman" w:hAnsi="Arial" w:cs="Arial"/>
        </w:rPr>
        <w:t>Shea</w:t>
      </w:r>
      <w:proofErr w:type="spellEnd"/>
      <w:r w:rsidRPr="00CC43C4">
        <w:rPr>
          <w:rFonts w:ascii="Arial" w:eastAsia="Times New Roman" w:hAnsi="Arial" w:cs="Arial"/>
        </w:rPr>
        <w:t xml:space="preserve">, B., </w:t>
      </w:r>
      <w:proofErr w:type="spellStart"/>
      <w:r w:rsidRPr="00CC43C4">
        <w:rPr>
          <w:rFonts w:ascii="Arial" w:eastAsia="Times New Roman" w:hAnsi="Arial" w:cs="Arial"/>
        </w:rPr>
        <w:t>T</w:t>
      </w:r>
      <w:r w:rsidRPr="00A73EFF">
        <w:rPr>
          <w:rFonts w:ascii="Arial" w:eastAsia="Times New Roman" w:hAnsi="Arial" w:cs="Arial"/>
        </w:rPr>
        <w:t>ugwell</w:t>
      </w:r>
      <w:proofErr w:type="spellEnd"/>
      <w:r w:rsidRPr="00A73EFF">
        <w:rPr>
          <w:rFonts w:ascii="Arial" w:eastAsia="Times New Roman" w:hAnsi="Arial" w:cs="Arial"/>
        </w:rPr>
        <w:t>, P., &amp; Wells, G. A. (2019</w:t>
      </w:r>
      <w:r w:rsidRPr="00CC43C4">
        <w:rPr>
          <w:rFonts w:ascii="Arial" w:eastAsia="Times New Roman" w:hAnsi="Arial" w:cs="Arial"/>
        </w:rPr>
        <w:t xml:space="preserve">). Methotrexate for treating rheumatoid arthritis. </w:t>
      </w:r>
      <w:r w:rsidRPr="00CC43C4">
        <w:rPr>
          <w:rFonts w:ascii="Arial" w:eastAsia="Times New Roman" w:hAnsi="Arial" w:cs="Arial"/>
          <w:i/>
          <w:iCs/>
        </w:rPr>
        <w:t>The Cochrane Database of Systematic Reviews</w:t>
      </w:r>
      <w:r w:rsidRPr="00CC43C4">
        <w:rPr>
          <w:rFonts w:ascii="Arial" w:eastAsia="Times New Roman" w:hAnsi="Arial" w:cs="Arial"/>
        </w:rPr>
        <w:t xml:space="preserve">, </w:t>
      </w:r>
      <w:r w:rsidRPr="00CC43C4">
        <w:rPr>
          <w:rFonts w:ascii="Arial" w:eastAsia="Times New Roman" w:hAnsi="Arial" w:cs="Arial"/>
          <w:i/>
          <w:iCs/>
        </w:rPr>
        <w:t>2014</w:t>
      </w:r>
      <w:r w:rsidRPr="00CC43C4">
        <w:rPr>
          <w:rFonts w:ascii="Arial" w:eastAsia="Times New Roman" w:hAnsi="Arial" w:cs="Arial"/>
        </w:rPr>
        <w:t xml:space="preserve">(6). </w:t>
      </w:r>
      <w:hyperlink r:id="rId21" w:history="1">
        <w:r w:rsidRPr="00A73EFF">
          <w:rPr>
            <w:rStyle w:val="Hyperlink"/>
            <w:rFonts w:ascii="Arial" w:eastAsia="Times New Roman" w:hAnsi="Arial" w:cs="Arial"/>
          </w:rPr>
          <w:t>https://</w:t>
        </w:r>
        <w:bookmarkStart w:id="0" w:name="_GoBack"/>
        <w:bookmarkEnd w:id="0"/>
        <w:r w:rsidRPr="00A73EFF">
          <w:rPr>
            <w:rStyle w:val="Hyperlink"/>
            <w:rFonts w:ascii="Arial" w:eastAsia="Times New Roman" w:hAnsi="Arial" w:cs="Arial"/>
          </w:rPr>
          <w:t>doi.org/10.1002/14651858.CD000957.pub2</w:t>
        </w:r>
      </w:hyperlink>
      <w:r w:rsidRPr="00A73EFF">
        <w:rPr>
          <w:rFonts w:ascii="Arial" w:eastAsia="Times New Roman" w:hAnsi="Arial" w:cs="Arial"/>
        </w:rPr>
        <w:t xml:space="preserve"> </w:t>
      </w:r>
    </w:p>
    <w:sectPr w:rsidR="00A73EFF" w:rsidRPr="00A73E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0BB"/>
    <w:multiLevelType w:val="hybridMultilevel"/>
    <w:tmpl w:val="6D92137C"/>
    <w:lvl w:ilvl="0" w:tplc="EDE87BBC">
      <w:start w:val="1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9B5D45"/>
    <w:multiLevelType w:val="hybridMultilevel"/>
    <w:tmpl w:val="10C828DC"/>
    <w:lvl w:ilvl="0" w:tplc="77C066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31BBB"/>
    <w:multiLevelType w:val="hybridMultilevel"/>
    <w:tmpl w:val="363C1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B0D73"/>
    <w:multiLevelType w:val="hybridMultilevel"/>
    <w:tmpl w:val="9AF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45"/>
    <w:rsid w:val="00034970"/>
    <w:rsid w:val="00051603"/>
    <w:rsid w:val="0005539D"/>
    <w:rsid w:val="000702E7"/>
    <w:rsid w:val="00081210"/>
    <w:rsid w:val="00087418"/>
    <w:rsid w:val="00096A17"/>
    <w:rsid w:val="000B37D5"/>
    <w:rsid w:val="000E3C29"/>
    <w:rsid w:val="000F1569"/>
    <w:rsid w:val="00137EAD"/>
    <w:rsid w:val="00151BE5"/>
    <w:rsid w:val="00167771"/>
    <w:rsid w:val="00170D60"/>
    <w:rsid w:val="00174B68"/>
    <w:rsid w:val="001F791F"/>
    <w:rsid w:val="00223C65"/>
    <w:rsid w:val="00242F14"/>
    <w:rsid w:val="002A7A42"/>
    <w:rsid w:val="002B3ABC"/>
    <w:rsid w:val="002C6FFE"/>
    <w:rsid w:val="00301318"/>
    <w:rsid w:val="0037210F"/>
    <w:rsid w:val="003905C0"/>
    <w:rsid w:val="00400387"/>
    <w:rsid w:val="00475487"/>
    <w:rsid w:val="00485D73"/>
    <w:rsid w:val="004D2945"/>
    <w:rsid w:val="004D603F"/>
    <w:rsid w:val="004E0135"/>
    <w:rsid w:val="0050214F"/>
    <w:rsid w:val="00512F5C"/>
    <w:rsid w:val="00531840"/>
    <w:rsid w:val="0055056F"/>
    <w:rsid w:val="005B189C"/>
    <w:rsid w:val="005E3F5D"/>
    <w:rsid w:val="00620EC8"/>
    <w:rsid w:val="00623086"/>
    <w:rsid w:val="00643E34"/>
    <w:rsid w:val="00681601"/>
    <w:rsid w:val="006D2830"/>
    <w:rsid w:val="00712B09"/>
    <w:rsid w:val="007249B3"/>
    <w:rsid w:val="00764C18"/>
    <w:rsid w:val="00773F05"/>
    <w:rsid w:val="00796688"/>
    <w:rsid w:val="008052D9"/>
    <w:rsid w:val="008102ED"/>
    <w:rsid w:val="00813F4F"/>
    <w:rsid w:val="00821963"/>
    <w:rsid w:val="0082729E"/>
    <w:rsid w:val="00831C32"/>
    <w:rsid w:val="008C7210"/>
    <w:rsid w:val="008E0253"/>
    <w:rsid w:val="008F0E7D"/>
    <w:rsid w:val="008F5463"/>
    <w:rsid w:val="00904DE7"/>
    <w:rsid w:val="00984119"/>
    <w:rsid w:val="009931E6"/>
    <w:rsid w:val="00995ECB"/>
    <w:rsid w:val="00A068B6"/>
    <w:rsid w:val="00A11969"/>
    <w:rsid w:val="00A138A6"/>
    <w:rsid w:val="00A30D21"/>
    <w:rsid w:val="00A41281"/>
    <w:rsid w:val="00A43B88"/>
    <w:rsid w:val="00A650A0"/>
    <w:rsid w:val="00A67188"/>
    <w:rsid w:val="00A73EFF"/>
    <w:rsid w:val="00AF1CB3"/>
    <w:rsid w:val="00B01D0E"/>
    <w:rsid w:val="00B51CE2"/>
    <w:rsid w:val="00B573D6"/>
    <w:rsid w:val="00B80060"/>
    <w:rsid w:val="00B8330C"/>
    <w:rsid w:val="00BB6820"/>
    <w:rsid w:val="00BE5FD7"/>
    <w:rsid w:val="00C24739"/>
    <w:rsid w:val="00C31CAB"/>
    <w:rsid w:val="00C44E86"/>
    <w:rsid w:val="00C4738B"/>
    <w:rsid w:val="00C837BD"/>
    <w:rsid w:val="00C8748E"/>
    <w:rsid w:val="00CC43C4"/>
    <w:rsid w:val="00CE0464"/>
    <w:rsid w:val="00CE28BF"/>
    <w:rsid w:val="00D10910"/>
    <w:rsid w:val="00D21540"/>
    <w:rsid w:val="00D43668"/>
    <w:rsid w:val="00D527F4"/>
    <w:rsid w:val="00DA1430"/>
    <w:rsid w:val="00DA2CBE"/>
    <w:rsid w:val="00DC7994"/>
    <w:rsid w:val="00DD1CC6"/>
    <w:rsid w:val="00DE4014"/>
    <w:rsid w:val="00E05761"/>
    <w:rsid w:val="00E109EF"/>
    <w:rsid w:val="00E776B5"/>
    <w:rsid w:val="00EE505D"/>
    <w:rsid w:val="00EF4D23"/>
    <w:rsid w:val="00F113EA"/>
    <w:rsid w:val="00F1503D"/>
    <w:rsid w:val="00F56175"/>
    <w:rsid w:val="00F64449"/>
    <w:rsid w:val="00F75956"/>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5065"/>
  <w15:chartTrackingRefBased/>
  <w15:docId w15:val="{68F30124-42C0-4975-80DF-9B391174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45"/>
    <w:pPr>
      <w:spacing w:before="120"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945"/>
    <w:pPr>
      <w:spacing w:before="0" w:after="200" w:line="276" w:lineRule="auto"/>
      <w:ind w:left="720"/>
      <w:contextualSpacing/>
    </w:pPr>
    <w:rPr>
      <w:sz w:val="22"/>
      <w:szCs w:val="22"/>
    </w:rPr>
  </w:style>
  <w:style w:type="character" w:styleId="Hyperlink">
    <w:name w:val="Hyperlink"/>
    <w:basedOn w:val="DefaultParagraphFont"/>
    <w:uiPriority w:val="99"/>
    <w:unhideWhenUsed/>
    <w:rsid w:val="004D2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0210">
      <w:bodyDiv w:val="1"/>
      <w:marLeft w:val="0"/>
      <w:marRight w:val="0"/>
      <w:marTop w:val="0"/>
      <w:marBottom w:val="0"/>
      <w:divBdr>
        <w:top w:val="none" w:sz="0" w:space="0" w:color="auto"/>
        <w:left w:val="none" w:sz="0" w:space="0" w:color="auto"/>
        <w:bottom w:val="none" w:sz="0" w:space="0" w:color="auto"/>
        <w:right w:val="none" w:sz="0" w:space="0" w:color="auto"/>
      </w:divBdr>
      <w:divsChild>
        <w:div w:id="1094865262">
          <w:marLeft w:val="0"/>
          <w:marRight w:val="0"/>
          <w:marTop w:val="0"/>
          <w:marBottom w:val="0"/>
          <w:divBdr>
            <w:top w:val="none" w:sz="0" w:space="0" w:color="auto"/>
            <w:left w:val="none" w:sz="0" w:space="0" w:color="auto"/>
            <w:bottom w:val="none" w:sz="0" w:space="0" w:color="auto"/>
            <w:right w:val="none" w:sz="0" w:space="0" w:color="auto"/>
          </w:divBdr>
        </w:div>
      </w:divsChild>
    </w:div>
    <w:div w:id="672419605">
      <w:bodyDiv w:val="1"/>
      <w:marLeft w:val="0"/>
      <w:marRight w:val="0"/>
      <w:marTop w:val="0"/>
      <w:marBottom w:val="0"/>
      <w:divBdr>
        <w:top w:val="none" w:sz="0" w:space="0" w:color="auto"/>
        <w:left w:val="none" w:sz="0" w:space="0" w:color="auto"/>
        <w:bottom w:val="none" w:sz="0" w:space="0" w:color="auto"/>
        <w:right w:val="none" w:sz="0" w:space="0" w:color="auto"/>
      </w:divBdr>
      <w:divsChild>
        <w:div w:id="1673601157">
          <w:marLeft w:val="0"/>
          <w:marRight w:val="0"/>
          <w:marTop w:val="0"/>
          <w:marBottom w:val="0"/>
          <w:divBdr>
            <w:top w:val="none" w:sz="0" w:space="0" w:color="auto"/>
            <w:left w:val="none" w:sz="0" w:space="0" w:color="auto"/>
            <w:bottom w:val="none" w:sz="0" w:space="0" w:color="auto"/>
            <w:right w:val="none" w:sz="0" w:space="0" w:color="auto"/>
          </w:divBdr>
        </w:div>
      </w:divsChild>
    </w:div>
    <w:div w:id="1192911490">
      <w:bodyDiv w:val="1"/>
      <w:marLeft w:val="0"/>
      <w:marRight w:val="0"/>
      <w:marTop w:val="0"/>
      <w:marBottom w:val="0"/>
      <w:divBdr>
        <w:top w:val="none" w:sz="0" w:space="0" w:color="auto"/>
        <w:left w:val="none" w:sz="0" w:space="0" w:color="auto"/>
        <w:bottom w:val="none" w:sz="0" w:space="0" w:color="auto"/>
        <w:right w:val="none" w:sz="0" w:space="0" w:color="auto"/>
      </w:divBdr>
      <w:divsChild>
        <w:div w:id="480274564">
          <w:marLeft w:val="0"/>
          <w:marRight w:val="0"/>
          <w:marTop w:val="0"/>
          <w:marBottom w:val="0"/>
          <w:divBdr>
            <w:top w:val="none" w:sz="0" w:space="0" w:color="auto"/>
            <w:left w:val="none" w:sz="0" w:space="0" w:color="auto"/>
            <w:bottom w:val="none" w:sz="0" w:space="0" w:color="auto"/>
            <w:right w:val="none" w:sz="0" w:space="0" w:color="auto"/>
          </w:divBdr>
        </w:div>
      </w:divsChild>
    </w:div>
    <w:div w:id="1228223499">
      <w:bodyDiv w:val="1"/>
      <w:marLeft w:val="0"/>
      <w:marRight w:val="0"/>
      <w:marTop w:val="0"/>
      <w:marBottom w:val="0"/>
      <w:divBdr>
        <w:top w:val="none" w:sz="0" w:space="0" w:color="auto"/>
        <w:left w:val="none" w:sz="0" w:space="0" w:color="auto"/>
        <w:bottom w:val="none" w:sz="0" w:space="0" w:color="auto"/>
        <w:right w:val="none" w:sz="0" w:space="0" w:color="auto"/>
      </w:divBdr>
      <w:divsChild>
        <w:div w:id="237711575">
          <w:marLeft w:val="0"/>
          <w:marRight w:val="0"/>
          <w:marTop w:val="0"/>
          <w:marBottom w:val="0"/>
          <w:divBdr>
            <w:top w:val="none" w:sz="0" w:space="0" w:color="auto"/>
            <w:left w:val="none" w:sz="0" w:space="0" w:color="auto"/>
            <w:bottom w:val="none" w:sz="0" w:space="0" w:color="auto"/>
            <w:right w:val="none" w:sz="0" w:space="0" w:color="auto"/>
          </w:divBdr>
        </w:div>
      </w:divsChild>
    </w:div>
    <w:div w:id="1689481330">
      <w:bodyDiv w:val="1"/>
      <w:marLeft w:val="0"/>
      <w:marRight w:val="0"/>
      <w:marTop w:val="0"/>
      <w:marBottom w:val="0"/>
      <w:divBdr>
        <w:top w:val="none" w:sz="0" w:space="0" w:color="auto"/>
        <w:left w:val="none" w:sz="0" w:space="0" w:color="auto"/>
        <w:bottom w:val="none" w:sz="0" w:space="0" w:color="auto"/>
        <w:right w:val="none" w:sz="0" w:space="0" w:color="auto"/>
      </w:divBdr>
      <w:divsChild>
        <w:div w:id="1154182107">
          <w:marLeft w:val="0"/>
          <w:marRight w:val="0"/>
          <w:marTop w:val="0"/>
          <w:marBottom w:val="0"/>
          <w:divBdr>
            <w:top w:val="none" w:sz="0" w:space="0" w:color="auto"/>
            <w:left w:val="none" w:sz="0" w:space="0" w:color="auto"/>
            <w:bottom w:val="none" w:sz="0" w:space="0" w:color="auto"/>
            <w:right w:val="none" w:sz="0" w:space="0" w:color="auto"/>
          </w:divBdr>
        </w:div>
      </w:divsChild>
    </w:div>
    <w:div w:id="1907033830">
      <w:bodyDiv w:val="1"/>
      <w:marLeft w:val="0"/>
      <w:marRight w:val="0"/>
      <w:marTop w:val="0"/>
      <w:marBottom w:val="0"/>
      <w:divBdr>
        <w:top w:val="none" w:sz="0" w:space="0" w:color="auto"/>
        <w:left w:val="none" w:sz="0" w:space="0" w:color="auto"/>
        <w:bottom w:val="none" w:sz="0" w:space="0" w:color="auto"/>
        <w:right w:val="none" w:sz="0" w:space="0" w:color="auto"/>
      </w:divBdr>
      <w:divsChild>
        <w:div w:id="69130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30330" TargetMode="External"/><Relationship Id="rId13" Type="http://schemas.openxmlformats.org/officeDocument/2006/relationships/hyperlink" Target="https://doi.org/10.1016/j.jbspin.2018.07.004" TargetMode="External"/><Relationship Id="rId18" Type="http://schemas.openxmlformats.org/officeDocument/2006/relationships/hyperlink" Target="https://doi.org/10.5114/reum.2018.75523" TargetMode="External"/><Relationship Id="rId3" Type="http://schemas.openxmlformats.org/officeDocument/2006/relationships/settings" Target="settings.xml"/><Relationship Id="rId21" Type="http://schemas.openxmlformats.org/officeDocument/2006/relationships/hyperlink" Target="https://doi.org/10.1002/14651858.CD000957.pub2" TargetMode="External"/><Relationship Id="rId7" Type="http://schemas.openxmlformats.org/officeDocument/2006/relationships/hyperlink" Target="https://doi.org/10.3390/ijerph17020416" TargetMode="External"/><Relationship Id="rId12" Type="http://schemas.openxmlformats.org/officeDocument/2006/relationships/hyperlink" Target="https://doi.org/10.1016/j.jaut.2018.11.001" TargetMode="External"/><Relationship Id="rId17" Type="http://schemas.openxmlformats.org/officeDocument/2006/relationships/hyperlink" Target="https://doi.org/10.3389/fphar.2020.580289" TargetMode="External"/><Relationship Id="rId2" Type="http://schemas.openxmlformats.org/officeDocument/2006/relationships/styles" Target="styles.xml"/><Relationship Id="rId16" Type="http://schemas.openxmlformats.org/officeDocument/2006/relationships/hyperlink" Target="https://doi.org/10.12688/f1000research.19144.1" TargetMode="External"/><Relationship Id="rId20" Type="http://schemas.openxmlformats.org/officeDocument/2006/relationships/hyperlink" Target="https://doi.org/10.12659/PJR.883763" TargetMode="External"/><Relationship Id="rId1" Type="http://schemas.openxmlformats.org/officeDocument/2006/relationships/numbering" Target="numbering.xml"/><Relationship Id="rId6" Type="http://schemas.openxmlformats.org/officeDocument/2006/relationships/hyperlink" Target="https://doi.org/10.3390/cells11030506" TargetMode="External"/><Relationship Id="rId11" Type="http://schemas.openxmlformats.org/officeDocument/2006/relationships/hyperlink" Target="https://doi.org/10.5001/omj.2020.49" TargetMode="External"/><Relationship Id="rId5" Type="http://schemas.openxmlformats.org/officeDocument/2006/relationships/hyperlink" Target="http://WWW.NCBI070" TargetMode="External"/><Relationship Id="rId15" Type="http://schemas.openxmlformats.org/officeDocument/2006/relationships/hyperlink" Target="https://doi.org/10.3390/medicina56110614" TargetMode="External"/><Relationship Id="rId23" Type="http://schemas.openxmlformats.org/officeDocument/2006/relationships/theme" Target="theme/theme1.xml"/><Relationship Id="rId10" Type="http://schemas.openxmlformats.org/officeDocument/2006/relationships/hyperlink" Target="https://doi.org/10.1159/000493390" TargetMode="External"/><Relationship Id="rId19" Type="http://schemas.openxmlformats.org/officeDocument/2006/relationships/hyperlink" Target="https://doi.org/10.1097/MD.0000000000016400" TargetMode="External"/><Relationship Id="rId4" Type="http://schemas.openxmlformats.org/officeDocument/2006/relationships/webSettings" Target="webSettings.xml"/><Relationship Id="rId9" Type="http://schemas.openxmlformats.org/officeDocument/2006/relationships/hyperlink" Target="https://doi.org/10.1186/s12891-019-2662-5" TargetMode="External"/><Relationship Id="rId14" Type="http://schemas.openxmlformats.org/officeDocument/2006/relationships/hyperlink" Target="https://doi.org/10.1038/s41413-018-001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2023-11-04T18:48:00Z</dcterms:created>
  <dcterms:modified xsi:type="dcterms:W3CDTF">2023-11-04T21:27:00Z</dcterms:modified>
</cp:coreProperties>
</file>