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Default="00F56F15" w:rsidP="00F56F15">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Response to Beth</w:t>
      </w:r>
    </w:p>
    <w:p w:rsidR="00F56F15" w:rsidRDefault="00F56F15" w:rsidP="00F56F1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your insightful contribution to this topic. In today’s healthcare system, </w:t>
      </w:r>
      <w:r w:rsidR="009127CE">
        <w:rPr>
          <w:rFonts w:ascii="Times New Roman" w:hAnsi="Times New Roman" w:cs="Times New Roman"/>
          <w:sz w:val="24"/>
          <w:szCs w:val="24"/>
          <w:lang w:val="en-US"/>
        </w:rPr>
        <w:t>understanding issues of gender identity, sexual orientation, and sexual expression cannot be underestimated. As noted by</w:t>
      </w:r>
      <w:r w:rsidR="003E68DB">
        <w:rPr>
          <w:rFonts w:ascii="Times New Roman" w:hAnsi="Times New Roman" w:cs="Times New Roman"/>
          <w:sz w:val="24"/>
          <w:szCs w:val="24"/>
          <w:lang w:val="en-US"/>
        </w:rPr>
        <w:t xml:space="preserve"> </w:t>
      </w:r>
      <w:proofErr w:type="spellStart"/>
      <w:r w:rsidR="003E68DB">
        <w:rPr>
          <w:rFonts w:ascii="Times New Roman" w:hAnsi="Times New Roman" w:cs="Times New Roman"/>
          <w:sz w:val="24"/>
          <w:szCs w:val="24"/>
          <w:lang w:val="en-US"/>
        </w:rPr>
        <w:t>Streed</w:t>
      </w:r>
      <w:proofErr w:type="spellEnd"/>
      <w:r w:rsidR="003E68DB">
        <w:rPr>
          <w:rFonts w:ascii="Times New Roman" w:hAnsi="Times New Roman" w:cs="Times New Roman"/>
          <w:sz w:val="24"/>
          <w:szCs w:val="24"/>
          <w:lang w:val="en-US"/>
        </w:rPr>
        <w:t xml:space="preserve"> (2022)</w:t>
      </w:r>
      <w:r w:rsidR="009127CE">
        <w:rPr>
          <w:rFonts w:ascii="Times New Roman" w:hAnsi="Times New Roman" w:cs="Times New Roman"/>
          <w:sz w:val="24"/>
          <w:szCs w:val="24"/>
          <w:lang w:val="en-US"/>
        </w:rPr>
        <w:t xml:space="preserve">, clinicians have a frontline role in eliminating disparities in </w:t>
      </w:r>
      <w:r w:rsidR="00892555">
        <w:rPr>
          <w:rFonts w:ascii="Times New Roman" w:hAnsi="Times New Roman" w:cs="Times New Roman"/>
          <w:sz w:val="24"/>
          <w:szCs w:val="24"/>
          <w:lang w:val="en-US"/>
        </w:rPr>
        <w:t xml:space="preserve">access to care for LGBTQ+ community. </w:t>
      </w:r>
      <w:r w:rsidR="0015538E">
        <w:rPr>
          <w:rFonts w:ascii="Times New Roman" w:hAnsi="Times New Roman" w:cs="Times New Roman"/>
          <w:sz w:val="24"/>
          <w:szCs w:val="24"/>
          <w:lang w:val="en-US"/>
        </w:rPr>
        <w:t xml:space="preserve">Notably, healthcare professionals to avoid assumptions about gender and sexuality to ensure the alignment off care with individual needs and preferences. </w:t>
      </w:r>
      <w:r w:rsidR="00743E44">
        <w:rPr>
          <w:rFonts w:ascii="Times New Roman" w:hAnsi="Times New Roman" w:cs="Times New Roman"/>
          <w:sz w:val="24"/>
          <w:szCs w:val="24"/>
          <w:lang w:val="en-US"/>
        </w:rPr>
        <w:t xml:space="preserve">While the society as gained significant acceptance in society, I concur that individuals identifying as transgender continue facing a range of barriers and challenges when accessing care. </w:t>
      </w:r>
      <w:r w:rsidR="00305EE2">
        <w:rPr>
          <w:rFonts w:ascii="Times New Roman" w:hAnsi="Times New Roman" w:cs="Times New Roman"/>
          <w:sz w:val="24"/>
          <w:szCs w:val="24"/>
          <w:lang w:val="en-US"/>
        </w:rPr>
        <w:t xml:space="preserve">A common barrier entails implicit discrimination </w:t>
      </w:r>
      <w:r w:rsidR="001B747E">
        <w:rPr>
          <w:rFonts w:ascii="Times New Roman" w:hAnsi="Times New Roman" w:cs="Times New Roman"/>
          <w:sz w:val="24"/>
          <w:szCs w:val="24"/>
          <w:lang w:val="en-US"/>
        </w:rPr>
        <w:t xml:space="preserve">and overt bias towards </w:t>
      </w:r>
      <w:r w:rsidR="00305EE2">
        <w:rPr>
          <w:rFonts w:ascii="Times New Roman" w:hAnsi="Times New Roman" w:cs="Times New Roman"/>
          <w:sz w:val="24"/>
          <w:szCs w:val="24"/>
          <w:lang w:val="en-US"/>
        </w:rPr>
        <w:t xml:space="preserve">the members of the community. </w:t>
      </w:r>
      <w:r w:rsidR="00294882">
        <w:rPr>
          <w:rFonts w:ascii="Times New Roman" w:hAnsi="Times New Roman" w:cs="Times New Roman"/>
          <w:sz w:val="24"/>
          <w:szCs w:val="24"/>
          <w:lang w:val="en-US"/>
        </w:rPr>
        <w:t xml:space="preserve">Indeed, Wilson and </w:t>
      </w:r>
      <w:proofErr w:type="spellStart"/>
      <w:r w:rsidR="00294882">
        <w:rPr>
          <w:rFonts w:ascii="Times New Roman" w:hAnsi="Times New Roman" w:cs="Times New Roman"/>
          <w:sz w:val="24"/>
          <w:szCs w:val="24"/>
          <w:lang w:val="en-US"/>
        </w:rPr>
        <w:t>Cariola</w:t>
      </w:r>
      <w:proofErr w:type="spellEnd"/>
      <w:r w:rsidR="00294882">
        <w:rPr>
          <w:rFonts w:ascii="Times New Roman" w:hAnsi="Times New Roman" w:cs="Times New Roman"/>
          <w:sz w:val="24"/>
          <w:szCs w:val="24"/>
          <w:lang w:val="en-US"/>
        </w:rPr>
        <w:t xml:space="preserve"> (2020) noted that transgender individuals are vulnerable to marginalization and isolation even in healthcare settings. My experience in the healthcare system has offered insights into some of the causes of such implicit biases and discrimination. </w:t>
      </w:r>
      <w:r w:rsidR="00346A97">
        <w:rPr>
          <w:rFonts w:ascii="Times New Roman" w:hAnsi="Times New Roman" w:cs="Times New Roman"/>
          <w:sz w:val="24"/>
          <w:szCs w:val="24"/>
          <w:lang w:val="en-US"/>
        </w:rPr>
        <w:t xml:space="preserve">Many healthcare professionals have inadequate knowledge and awareness about this group. For example, I have seen cases where professionals forget to use gender-neutral terminologies or remain insensitive to the different identification. </w:t>
      </w:r>
      <w:r w:rsidR="00EA71F9">
        <w:rPr>
          <w:rFonts w:ascii="Times New Roman" w:hAnsi="Times New Roman" w:cs="Times New Roman"/>
          <w:sz w:val="24"/>
          <w:szCs w:val="24"/>
          <w:lang w:val="en-US"/>
        </w:rPr>
        <w:t xml:space="preserve">As supported by </w:t>
      </w:r>
      <w:proofErr w:type="spellStart"/>
      <w:r w:rsidR="00EA71F9">
        <w:rPr>
          <w:rFonts w:ascii="Times New Roman" w:hAnsi="Times New Roman" w:cs="Times New Roman"/>
          <w:sz w:val="24"/>
          <w:szCs w:val="24"/>
          <w:lang w:val="en-US"/>
        </w:rPr>
        <w:t>Skuban-Eisler</w:t>
      </w:r>
      <w:proofErr w:type="spellEnd"/>
      <w:r w:rsidR="00EA71F9">
        <w:rPr>
          <w:rFonts w:ascii="Times New Roman" w:hAnsi="Times New Roman" w:cs="Times New Roman"/>
          <w:sz w:val="24"/>
          <w:szCs w:val="24"/>
          <w:lang w:val="en-US"/>
        </w:rPr>
        <w:t xml:space="preserve"> et al. (2023), transgender individuals may feel misunderstood in such situations and avoid seeking care in the future. </w:t>
      </w:r>
      <w:r w:rsidR="00E271F9">
        <w:rPr>
          <w:rFonts w:ascii="Times New Roman" w:hAnsi="Times New Roman" w:cs="Times New Roman"/>
          <w:sz w:val="24"/>
          <w:szCs w:val="24"/>
          <w:lang w:val="en-US"/>
        </w:rPr>
        <w:t xml:space="preserve">I concur that the challenges extend beyond the healthcare system. As you observe, many transgender individuals </w:t>
      </w:r>
      <w:r w:rsidR="00CF7107">
        <w:rPr>
          <w:rFonts w:ascii="Times New Roman" w:hAnsi="Times New Roman" w:cs="Times New Roman"/>
          <w:sz w:val="24"/>
          <w:szCs w:val="24"/>
          <w:lang w:val="en-US"/>
        </w:rPr>
        <w:t xml:space="preserve">face discrimination in housing and employment. The challenges highlight the institutionalized discrimination against members of the LGBTQ+ community, despite the increasing acceptance in society. I believe that </w:t>
      </w:r>
      <w:r w:rsidR="007A5150">
        <w:rPr>
          <w:rFonts w:ascii="Times New Roman" w:hAnsi="Times New Roman" w:cs="Times New Roman"/>
          <w:sz w:val="24"/>
          <w:szCs w:val="24"/>
          <w:lang w:val="en-US"/>
        </w:rPr>
        <w:t>society-wide changes and training for healthcare professionals could help in reducing stigma and discrimination against transgender patients. Ultimately, this would ensure optimal care delivery and overall wellbeing of the patients.</w:t>
      </w:r>
    </w:p>
    <w:p w:rsidR="007A5150" w:rsidRDefault="007A5150" w:rsidP="007A5150">
      <w:pPr>
        <w:spacing w:after="0" w:line="480" w:lineRule="auto"/>
        <w:jc w:val="center"/>
        <w:rPr>
          <w:rFonts w:ascii="Times New Roman" w:hAnsi="Times New Roman" w:cs="Times New Roman"/>
          <w:sz w:val="24"/>
          <w:szCs w:val="24"/>
          <w:lang w:val="en-US"/>
        </w:rPr>
      </w:pPr>
      <w:r w:rsidRPr="007A5150">
        <w:rPr>
          <w:rFonts w:ascii="Times New Roman" w:hAnsi="Times New Roman" w:cs="Times New Roman"/>
          <w:b/>
          <w:sz w:val="24"/>
          <w:szCs w:val="24"/>
          <w:lang w:val="en-US"/>
        </w:rPr>
        <w:lastRenderedPageBreak/>
        <w:t>References</w:t>
      </w:r>
      <w:r>
        <w:rPr>
          <w:rFonts w:ascii="Times New Roman" w:hAnsi="Times New Roman" w:cs="Times New Roman"/>
          <w:sz w:val="24"/>
          <w:szCs w:val="24"/>
          <w:lang w:val="en-US"/>
        </w:rPr>
        <w:t xml:space="preserve"> </w:t>
      </w:r>
    </w:p>
    <w:p w:rsidR="00911F40" w:rsidRDefault="003E68DB" w:rsidP="00911F40">
      <w:pPr>
        <w:spacing w:after="0" w:line="48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Streed</w:t>
      </w:r>
      <w:proofErr w:type="spellEnd"/>
      <w:r>
        <w:rPr>
          <w:rFonts w:ascii="Times New Roman" w:eastAsia="Times New Roman" w:hAnsi="Times New Roman" w:cs="Times New Roman"/>
          <w:sz w:val="24"/>
          <w:szCs w:val="24"/>
          <w:lang w:val="en-US"/>
        </w:rPr>
        <w:t>, C. (2022). Health communication and sexual orientation, Gender identity, and e</w:t>
      </w:r>
      <w:r w:rsidRPr="003E68DB">
        <w:rPr>
          <w:rFonts w:ascii="Times New Roman" w:eastAsia="Times New Roman" w:hAnsi="Times New Roman" w:cs="Times New Roman"/>
          <w:sz w:val="24"/>
          <w:szCs w:val="24"/>
          <w:lang w:val="en-US"/>
        </w:rPr>
        <w:t xml:space="preserve">xpression. </w:t>
      </w:r>
      <w:r w:rsidRPr="003E68DB">
        <w:rPr>
          <w:rFonts w:ascii="Times New Roman" w:eastAsia="Times New Roman" w:hAnsi="Times New Roman" w:cs="Times New Roman"/>
          <w:i/>
          <w:iCs/>
          <w:sz w:val="24"/>
          <w:szCs w:val="24"/>
          <w:lang w:val="en-US"/>
        </w:rPr>
        <w:t>The Medical Clinics of North America</w:t>
      </w:r>
      <w:r w:rsidRPr="003E68DB">
        <w:rPr>
          <w:rFonts w:ascii="Times New Roman" w:eastAsia="Times New Roman" w:hAnsi="Times New Roman" w:cs="Times New Roman"/>
          <w:sz w:val="24"/>
          <w:szCs w:val="24"/>
          <w:lang w:val="en-US"/>
        </w:rPr>
        <w:t xml:space="preserve">, </w:t>
      </w:r>
      <w:r w:rsidRPr="003E68DB">
        <w:rPr>
          <w:rFonts w:ascii="Times New Roman" w:eastAsia="Times New Roman" w:hAnsi="Times New Roman" w:cs="Times New Roman"/>
          <w:i/>
          <w:iCs/>
          <w:sz w:val="24"/>
          <w:szCs w:val="24"/>
          <w:lang w:val="en-US"/>
        </w:rPr>
        <w:t>106</w:t>
      </w:r>
      <w:r w:rsidRPr="003E68DB">
        <w:rPr>
          <w:rFonts w:ascii="Times New Roman" w:eastAsia="Times New Roman" w:hAnsi="Times New Roman" w:cs="Times New Roman"/>
          <w:sz w:val="24"/>
          <w:szCs w:val="24"/>
          <w:lang w:val="en-US"/>
        </w:rPr>
        <w:t xml:space="preserve">(4), 589. </w:t>
      </w:r>
      <w:hyperlink r:id="rId5" w:history="1">
        <w:r w:rsidR="00911F40" w:rsidRPr="00B35B73">
          <w:rPr>
            <w:rStyle w:val="Hyperlink"/>
            <w:rFonts w:ascii="Times New Roman" w:eastAsia="Times New Roman" w:hAnsi="Times New Roman" w:cs="Times New Roman"/>
            <w:sz w:val="24"/>
            <w:szCs w:val="24"/>
            <w:lang w:val="en-US"/>
          </w:rPr>
          <w:t>https://doi.org/10.1016/j.mcna.2021.12.005</w:t>
        </w:r>
      </w:hyperlink>
      <w:r>
        <w:rPr>
          <w:rFonts w:ascii="Times New Roman" w:eastAsia="Times New Roman" w:hAnsi="Times New Roman" w:cs="Times New Roman"/>
          <w:sz w:val="24"/>
          <w:szCs w:val="24"/>
          <w:lang w:val="en-US"/>
        </w:rPr>
        <w:t xml:space="preserve">  </w:t>
      </w:r>
    </w:p>
    <w:p w:rsidR="00911F40" w:rsidRPr="00911F40" w:rsidRDefault="00911F40" w:rsidP="00911F40">
      <w:pPr>
        <w:spacing w:after="0" w:line="480" w:lineRule="auto"/>
        <w:ind w:left="720" w:hanging="720"/>
        <w:rPr>
          <w:rFonts w:ascii="Times New Roman" w:hAnsi="Times New Roman" w:cs="Times New Roman"/>
          <w:sz w:val="24"/>
          <w:szCs w:val="24"/>
        </w:rPr>
      </w:pPr>
      <w:proofErr w:type="spellStart"/>
      <w:r w:rsidRPr="00657187">
        <w:rPr>
          <w:rFonts w:ascii="Times New Roman" w:hAnsi="Times New Roman" w:cs="Times New Roman"/>
          <w:color w:val="222222"/>
          <w:sz w:val="24"/>
          <w:szCs w:val="24"/>
          <w:shd w:val="clear" w:color="auto" w:fill="FFFFFF"/>
        </w:rPr>
        <w:t>Skuban-Eiseler</w:t>
      </w:r>
      <w:proofErr w:type="spellEnd"/>
      <w:r w:rsidRPr="00657187">
        <w:rPr>
          <w:rFonts w:ascii="Times New Roman" w:hAnsi="Times New Roman" w:cs="Times New Roman"/>
          <w:color w:val="222222"/>
          <w:sz w:val="24"/>
          <w:szCs w:val="24"/>
          <w:shd w:val="clear" w:color="auto" w:fill="FFFFFF"/>
        </w:rPr>
        <w:t xml:space="preserve">, T., </w:t>
      </w:r>
      <w:proofErr w:type="spellStart"/>
      <w:r w:rsidRPr="00657187">
        <w:rPr>
          <w:rFonts w:ascii="Times New Roman" w:hAnsi="Times New Roman" w:cs="Times New Roman"/>
          <w:color w:val="222222"/>
          <w:sz w:val="24"/>
          <w:szCs w:val="24"/>
          <w:shd w:val="clear" w:color="auto" w:fill="FFFFFF"/>
        </w:rPr>
        <w:t>Orzechowski</w:t>
      </w:r>
      <w:proofErr w:type="spellEnd"/>
      <w:r w:rsidRPr="00657187">
        <w:rPr>
          <w:rFonts w:ascii="Times New Roman" w:hAnsi="Times New Roman" w:cs="Times New Roman"/>
          <w:color w:val="222222"/>
          <w:sz w:val="24"/>
          <w:szCs w:val="24"/>
          <w:shd w:val="clear" w:color="auto" w:fill="FFFFFF"/>
        </w:rPr>
        <w:t>, M., &amp; Steger, F. (2023). Why do transgender individuals experience discrimination in healthcare and thereby limited access to healthcare? An interview study exploring the perspective of German transgender individuals. </w:t>
      </w:r>
      <w:r w:rsidRPr="00657187">
        <w:rPr>
          <w:rFonts w:ascii="Times New Roman" w:hAnsi="Times New Roman" w:cs="Times New Roman"/>
          <w:i/>
          <w:iCs/>
          <w:color w:val="222222"/>
          <w:sz w:val="24"/>
          <w:szCs w:val="24"/>
          <w:shd w:val="clear" w:color="auto" w:fill="FFFFFF"/>
        </w:rPr>
        <w:t>International Journal for Equity in Health</w:t>
      </w:r>
      <w:r w:rsidRPr="00657187">
        <w:rPr>
          <w:rFonts w:ascii="Times New Roman" w:hAnsi="Times New Roman" w:cs="Times New Roman"/>
          <w:color w:val="222222"/>
          <w:sz w:val="24"/>
          <w:szCs w:val="24"/>
          <w:shd w:val="clear" w:color="auto" w:fill="FFFFFF"/>
        </w:rPr>
        <w:t>, </w:t>
      </w:r>
      <w:r w:rsidRPr="00657187">
        <w:rPr>
          <w:rFonts w:ascii="Times New Roman" w:hAnsi="Times New Roman" w:cs="Times New Roman"/>
          <w:i/>
          <w:iCs/>
          <w:color w:val="222222"/>
          <w:sz w:val="24"/>
          <w:szCs w:val="24"/>
          <w:shd w:val="clear" w:color="auto" w:fill="FFFFFF"/>
        </w:rPr>
        <w:t>22</w:t>
      </w:r>
      <w:r w:rsidRPr="00657187">
        <w:rPr>
          <w:rFonts w:ascii="Times New Roman" w:hAnsi="Times New Roman" w:cs="Times New Roman"/>
          <w:color w:val="222222"/>
          <w:sz w:val="24"/>
          <w:szCs w:val="24"/>
          <w:shd w:val="clear" w:color="auto" w:fill="FFFFFF"/>
        </w:rPr>
        <w:t xml:space="preserve">(1), 211. </w:t>
      </w:r>
      <w:hyperlink r:id="rId6" w:history="1">
        <w:r w:rsidRPr="00657187">
          <w:rPr>
            <w:rStyle w:val="Hyperlink"/>
            <w:rFonts w:ascii="Times New Roman" w:hAnsi="Times New Roman" w:cs="Times New Roman"/>
            <w:sz w:val="24"/>
            <w:szCs w:val="24"/>
            <w:shd w:val="clear" w:color="auto" w:fill="FFFFFF"/>
          </w:rPr>
          <w:t>https://doi.org/10.1186/s12939-023-02023-0</w:t>
        </w:r>
      </w:hyperlink>
      <w:r w:rsidRPr="00657187">
        <w:rPr>
          <w:rFonts w:ascii="Times New Roman" w:hAnsi="Times New Roman" w:cs="Times New Roman"/>
          <w:sz w:val="24"/>
          <w:szCs w:val="24"/>
        </w:rPr>
        <w:t xml:space="preserve"> </w:t>
      </w:r>
    </w:p>
    <w:p w:rsidR="00000000" w:rsidRPr="00911F40" w:rsidRDefault="00A305DA" w:rsidP="00911F40">
      <w:pPr>
        <w:spacing w:after="0" w:line="480" w:lineRule="auto"/>
        <w:ind w:left="720" w:hanging="720"/>
        <w:rPr>
          <w:rFonts w:ascii="Times New Roman" w:eastAsia="Times New Roman" w:hAnsi="Times New Roman" w:cs="Times New Roman"/>
          <w:sz w:val="24"/>
          <w:szCs w:val="24"/>
          <w:lang w:val="en-US"/>
        </w:rPr>
      </w:pPr>
      <w:r w:rsidRPr="00911F40">
        <w:rPr>
          <w:rFonts w:ascii="Times New Roman" w:eastAsia="Times New Roman" w:hAnsi="Times New Roman" w:cs="Times New Roman"/>
          <w:sz w:val="24"/>
          <w:szCs w:val="24"/>
          <w:lang w:val="en-US"/>
        </w:rPr>
        <w:t xml:space="preserve">Wilson, C., &amp; </w:t>
      </w:r>
      <w:proofErr w:type="spellStart"/>
      <w:r w:rsidRPr="00911F40">
        <w:rPr>
          <w:rFonts w:ascii="Times New Roman" w:eastAsia="Times New Roman" w:hAnsi="Times New Roman" w:cs="Times New Roman"/>
          <w:sz w:val="24"/>
          <w:szCs w:val="24"/>
          <w:lang w:val="en-US"/>
        </w:rPr>
        <w:t>Cariola</w:t>
      </w:r>
      <w:proofErr w:type="spellEnd"/>
      <w:r w:rsidRPr="00911F40">
        <w:rPr>
          <w:rFonts w:ascii="Times New Roman" w:eastAsia="Times New Roman" w:hAnsi="Times New Roman" w:cs="Times New Roman"/>
          <w:sz w:val="24"/>
          <w:szCs w:val="24"/>
          <w:lang w:val="en-US"/>
        </w:rPr>
        <w:t>, L. A. (2020). LGB</w:t>
      </w:r>
      <w:r w:rsidRPr="00911F40">
        <w:rPr>
          <w:rFonts w:ascii="Times New Roman" w:eastAsia="Times New Roman" w:hAnsi="Times New Roman" w:cs="Times New Roman"/>
          <w:sz w:val="24"/>
          <w:szCs w:val="24"/>
          <w:lang w:val="en-US"/>
        </w:rPr>
        <w:t xml:space="preserve">TQI+ youth and mental health: A systematic review of qualitative research. </w:t>
      </w:r>
      <w:r w:rsidRPr="00911F40">
        <w:rPr>
          <w:rFonts w:ascii="Times New Roman" w:eastAsia="Times New Roman" w:hAnsi="Times New Roman" w:cs="Times New Roman"/>
          <w:i/>
          <w:iCs/>
          <w:sz w:val="24"/>
          <w:szCs w:val="24"/>
          <w:lang w:val="en-US"/>
        </w:rPr>
        <w:t>Adolescent Research Review</w:t>
      </w:r>
      <w:r w:rsidRPr="00911F40">
        <w:rPr>
          <w:rFonts w:ascii="Times New Roman" w:eastAsia="Times New Roman" w:hAnsi="Times New Roman" w:cs="Times New Roman"/>
          <w:sz w:val="24"/>
          <w:szCs w:val="24"/>
          <w:lang w:val="en-US"/>
        </w:rPr>
        <w:t xml:space="preserve">, </w:t>
      </w:r>
      <w:r w:rsidRPr="00911F40">
        <w:rPr>
          <w:rFonts w:ascii="Times New Roman" w:eastAsia="Times New Roman" w:hAnsi="Times New Roman" w:cs="Times New Roman"/>
          <w:i/>
          <w:iCs/>
          <w:sz w:val="24"/>
          <w:szCs w:val="24"/>
          <w:lang w:val="en-US"/>
        </w:rPr>
        <w:t>5</w:t>
      </w:r>
      <w:r w:rsidRPr="00911F40">
        <w:rPr>
          <w:rFonts w:ascii="Times New Roman" w:eastAsia="Times New Roman" w:hAnsi="Times New Roman" w:cs="Times New Roman"/>
          <w:sz w:val="24"/>
          <w:szCs w:val="24"/>
          <w:lang w:val="en-US"/>
        </w:rPr>
        <w:t xml:space="preserve">, 187-211. </w:t>
      </w:r>
      <w:hyperlink r:id="rId7" w:history="1">
        <w:r w:rsidRPr="00911F40">
          <w:rPr>
            <w:rStyle w:val="Hyperlink"/>
            <w:rFonts w:ascii="Times New Roman" w:eastAsia="Times New Roman" w:hAnsi="Times New Roman" w:cs="Times New Roman"/>
            <w:sz w:val="24"/>
            <w:szCs w:val="24"/>
          </w:rPr>
          <w:t>https://doi.org/10.1007/s40894-019-00118-w</w:t>
        </w:r>
      </w:hyperlink>
      <w:r w:rsidRPr="00911F40">
        <w:rPr>
          <w:rFonts w:ascii="Times New Roman" w:eastAsia="Times New Roman" w:hAnsi="Times New Roman" w:cs="Times New Roman"/>
          <w:sz w:val="24"/>
          <w:szCs w:val="24"/>
        </w:rPr>
        <w:t xml:space="preserve"> </w:t>
      </w:r>
    </w:p>
    <w:p w:rsidR="00911F40" w:rsidRPr="003E68DB" w:rsidRDefault="00911F40" w:rsidP="003E68DB">
      <w:pPr>
        <w:spacing w:after="0" w:line="480" w:lineRule="auto"/>
        <w:ind w:left="720" w:hanging="720"/>
        <w:rPr>
          <w:rFonts w:ascii="Times New Roman" w:eastAsia="Times New Roman" w:hAnsi="Times New Roman" w:cs="Times New Roman"/>
          <w:sz w:val="24"/>
          <w:szCs w:val="24"/>
          <w:lang w:val="en-US"/>
        </w:rPr>
      </w:pPr>
    </w:p>
    <w:p w:rsidR="007A5150" w:rsidRDefault="007A515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A5150" w:rsidRDefault="007A5150" w:rsidP="007A5150">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Response to </w:t>
      </w:r>
      <w:proofErr w:type="spellStart"/>
      <w:r>
        <w:rPr>
          <w:rFonts w:ascii="Times New Roman" w:hAnsi="Times New Roman" w:cs="Times New Roman"/>
          <w:b/>
          <w:sz w:val="24"/>
          <w:szCs w:val="24"/>
          <w:lang w:val="en-US"/>
        </w:rPr>
        <w:t>Jesenia</w:t>
      </w:r>
      <w:proofErr w:type="spellEnd"/>
    </w:p>
    <w:p w:rsidR="007A5150" w:rsidRDefault="00562415" w:rsidP="007A515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enjoyed reading your informative contribution to this topic. </w:t>
      </w:r>
      <w:r w:rsidR="004B7D94">
        <w:rPr>
          <w:rFonts w:ascii="Times New Roman" w:hAnsi="Times New Roman" w:cs="Times New Roman"/>
          <w:sz w:val="24"/>
          <w:szCs w:val="24"/>
          <w:lang w:val="en-US"/>
        </w:rPr>
        <w:t xml:space="preserve">Gender and sexuality remain crucial topics in healthcare and society today. As the world emphasizes equitable access to care, it is essential to address the plight that members of the LGBTQ+ community face. </w:t>
      </w:r>
      <w:r w:rsidR="00FF589A">
        <w:rPr>
          <w:rFonts w:ascii="Times New Roman" w:hAnsi="Times New Roman" w:cs="Times New Roman"/>
          <w:sz w:val="24"/>
          <w:szCs w:val="24"/>
          <w:lang w:val="en-US"/>
        </w:rPr>
        <w:t xml:space="preserve">Reading your thoughts and evidence about LGBTQ+ older adults brought significant insights into the challenges they face. </w:t>
      </w:r>
      <w:r w:rsidR="00EC38FD">
        <w:rPr>
          <w:rFonts w:ascii="Times New Roman" w:hAnsi="Times New Roman" w:cs="Times New Roman"/>
          <w:sz w:val="24"/>
          <w:szCs w:val="24"/>
          <w:lang w:val="en-US"/>
        </w:rPr>
        <w:t>I concur that older LGBTQ+ adults face even a harder task in the healthcare system. As noted by</w:t>
      </w:r>
      <w:r w:rsidR="00911F40">
        <w:rPr>
          <w:rFonts w:ascii="Times New Roman" w:hAnsi="Times New Roman" w:cs="Times New Roman"/>
          <w:sz w:val="24"/>
          <w:szCs w:val="24"/>
          <w:lang w:val="en-US"/>
        </w:rPr>
        <w:t xml:space="preserve"> </w:t>
      </w:r>
      <w:proofErr w:type="spellStart"/>
      <w:r w:rsidR="00911F40">
        <w:rPr>
          <w:rFonts w:ascii="Times New Roman" w:hAnsi="Times New Roman" w:cs="Times New Roman"/>
          <w:sz w:val="24"/>
          <w:szCs w:val="24"/>
          <w:lang w:val="en-US"/>
        </w:rPr>
        <w:t>Foglia</w:t>
      </w:r>
      <w:proofErr w:type="spellEnd"/>
      <w:r w:rsidR="00911F40">
        <w:rPr>
          <w:rFonts w:ascii="Times New Roman" w:hAnsi="Times New Roman" w:cs="Times New Roman"/>
          <w:sz w:val="24"/>
          <w:szCs w:val="24"/>
          <w:lang w:val="en-US"/>
        </w:rPr>
        <w:t xml:space="preserve"> and </w:t>
      </w:r>
      <w:proofErr w:type="spellStart"/>
      <w:r w:rsidR="00911F40">
        <w:rPr>
          <w:rFonts w:ascii="Times New Roman" w:hAnsi="Times New Roman" w:cs="Times New Roman"/>
          <w:sz w:val="24"/>
          <w:szCs w:val="24"/>
          <w:lang w:val="en-US"/>
        </w:rPr>
        <w:t>Frediksen</w:t>
      </w:r>
      <w:proofErr w:type="spellEnd"/>
      <w:r w:rsidR="00911F40">
        <w:rPr>
          <w:rFonts w:ascii="Times New Roman" w:hAnsi="Times New Roman" w:cs="Times New Roman"/>
          <w:sz w:val="24"/>
          <w:szCs w:val="24"/>
          <w:lang w:val="en-US"/>
        </w:rPr>
        <w:t>-Golden (2019)</w:t>
      </w:r>
      <w:r w:rsidR="00EC38FD">
        <w:rPr>
          <w:rFonts w:ascii="Times New Roman" w:hAnsi="Times New Roman" w:cs="Times New Roman"/>
          <w:sz w:val="24"/>
          <w:szCs w:val="24"/>
          <w:lang w:val="en-US"/>
        </w:rPr>
        <w:t xml:space="preserve">, the challenge starts with the fact that many LGBTQ+ older patients spend most of their lives concealing their gender identity and sexual orientation. </w:t>
      </w:r>
      <w:r w:rsidR="009610B8">
        <w:rPr>
          <w:rFonts w:ascii="Times New Roman" w:hAnsi="Times New Roman" w:cs="Times New Roman"/>
          <w:sz w:val="24"/>
          <w:szCs w:val="24"/>
          <w:lang w:val="en-US"/>
        </w:rPr>
        <w:t xml:space="preserve">While this indicates the resilience of the group, it also implies a lower likelihood of receiving care aligned to their needs and preferences. </w:t>
      </w:r>
      <w:r w:rsidR="00DB2AE7">
        <w:rPr>
          <w:rFonts w:ascii="Times New Roman" w:hAnsi="Times New Roman" w:cs="Times New Roman"/>
          <w:sz w:val="24"/>
          <w:szCs w:val="24"/>
          <w:lang w:val="en-US"/>
        </w:rPr>
        <w:t xml:space="preserve">In addition, the group faces higher levels of discrimination and stigma, with many </w:t>
      </w:r>
      <w:proofErr w:type="gramStart"/>
      <w:r w:rsidR="00DB2AE7">
        <w:rPr>
          <w:rFonts w:ascii="Times New Roman" w:hAnsi="Times New Roman" w:cs="Times New Roman"/>
          <w:sz w:val="24"/>
          <w:szCs w:val="24"/>
          <w:lang w:val="en-US"/>
        </w:rPr>
        <w:t>being denied</w:t>
      </w:r>
      <w:proofErr w:type="gramEnd"/>
      <w:r w:rsidR="00DB2AE7">
        <w:rPr>
          <w:rFonts w:ascii="Times New Roman" w:hAnsi="Times New Roman" w:cs="Times New Roman"/>
          <w:sz w:val="24"/>
          <w:szCs w:val="24"/>
          <w:lang w:val="en-US"/>
        </w:rPr>
        <w:t xml:space="preserve"> healthcare services or receiving inferi</w:t>
      </w:r>
      <w:r w:rsidR="00DD5FE3">
        <w:rPr>
          <w:rFonts w:ascii="Times New Roman" w:hAnsi="Times New Roman" w:cs="Times New Roman"/>
          <w:sz w:val="24"/>
          <w:szCs w:val="24"/>
          <w:lang w:val="en-US"/>
        </w:rPr>
        <w:t>or services. I agree that the problems extend beyond the healthcare system, with many older members remaining prone to trauma, physical and sexual abuse, and secondary trauma. As supported by</w:t>
      </w:r>
      <w:r w:rsidR="00911F40">
        <w:rPr>
          <w:rFonts w:ascii="Times New Roman" w:hAnsi="Times New Roman" w:cs="Times New Roman"/>
          <w:sz w:val="24"/>
          <w:szCs w:val="24"/>
          <w:lang w:val="en-US"/>
        </w:rPr>
        <w:t xml:space="preserve"> </w:t>
      </w:r>
      <w:proofErr w:type="spellStart"/>
      <w:r w:rsidR="00911F40">
        <w:rPr>
          <w:rFonts w:ascii="Times New Roman" w:hAnsi="Times New Roman" w:cs="Times New Roman"/>
          <w:sz w:val="24"/>
          <w:szCs w:val="24"/>
          <w:lang w:val="en-US"/>
        </w:rPr>
        <w:t>Kneale</w:t>
      </w:r>
      <w:proofErr w:type="spellEnd"/>
      <w:r w:rsidR="00911F40">
        <w:rPr>
          <w:rFonts w:ascii="Times New Roman" w:hAnsi="Times New Roman" w:cs="Times New Roman"/>
          <w:sz w:val="24"/>
          <w:szCs w:val="24"/>
          <w:lang w:val="en-US"/>
        </w:rPr>
        <w:t xml:space="preserve"> et al. (2021)</w:t>
      </w:r>
      <w:r w:rsidR="009D4C45">
        <w:rPr>
          <w:rFonts w:ascii="Times New Roman" w:hAnsi="Times New Roman" w:cs="Times New Roman"/>
          <w:sz w:val="24"/>
          <w:szCs w:val="24"/>
          <w:lang w:val="en-US"/>
        </w:rPr>
        <w:t>, the discrimination and stigma across multiple domains of life expose the members to a higher risk of mental health problems. For example,</w:t>
      </w:r>
      <w:r w:rsidR="00E969A9">
        <w:rPr>
          <w:rFonts w:ascii="Times New Roman" w:hAnsi="Times New Roman" w:cs="Times New Roman"/>
          <w:sz w:val="24"/>
          <w:szCs w:val="24"/>
          <w:lang w:val="en-US"/>
        </w:rPr>
        <w:t xml:space="preserve"> the challenges </w:t>
      </w:r>
      <w:proofErr w:type="gramStart"/>
      <w:r w:rsidR="00E969A9">
        <w:rPr>
          <w:rFonts w:ascii="Times New Roman" w:hAnsi="Times New Roman" w:cs="Times New Roman"/>
          <w:sz w:val="24"/>
          <w:szCs w:val="24"/>
          <w:lang w:val="en-US"/>
        </w:rPr>
        <w:t>have been linked</w:t>
      </w:r>
      <w:proofErr w:type="gramEnd"/>
      <w:r w:rsidR="00E969A9">
        <w:rPr>
          <w:rFonts w:ascii="Times New Roman" w:hAnsi="Times New Roman" w:cs="Times New Roman"/>
          <w:sz w:val="24"/>
          <w:szCs w:val="24"/>
          <w:lang w:val="en-US"/>
        </w:rPr>
        <w:t xml:space="preserve"> to higher levels of isolation, rejection, self-harm, depression, and suicidality (Wilson &amp; </w:t>
      </w:r>
      <w:proofErr w:type="spellStart"/>
      <w:r w:rsidR="00E969A9">
        <w:rPr>
          <w:rFonts w:ascii="Times New Roman" w:hAnsi="Times New Roman" w:cs="Times New Roman"/>
          <w:sz w:val="24"/>
          <w:szCs w:val="24"/>
          <w:lang w:val="en-US"/>
        </w:rPr>
        <w:t>Cariola</w:t>
      </w:r>
      <w:proofErr w:type="spellEnd"/>
      <w:r w:rsidR="00E969A9">
        <w:rPr>
          <w:rFonts w:ascii="Times New Roman" w:hAnsi="Times New Roman" w:cs="Times New Roman"/>
          <w:sz w:val="24"/>
          <w:szCs w:val="24"/>
          <w:lang w:val="en-US"/>
        </w:rPr>
        <w:t xml:space="preserve">, 2020). Although some patients may not reveal their sexual identity, it is essential for healthcare professionals to observe sensitivity during their interactions with all patients. For example, using gender-neutral terminologies or requesting patients the terminologies with which they feel comfortable </w:t>
      </w:r>
      <w:proofErr w:type="gramStart"/>
      <w:r w:rsidR="00E969A9">
        <w:rPr>
          <w:rFonts w:ascii="Times New Roman" w:hAnsi="Times New Roman" w:cs="Times New Roman"/>
          <w:sz w:val="24"/>
          <w:szCs w:val="24"/>
          <w:lang w:val="en-US"/>
        </w:rPr>
        <w:t>being addressed</w:t>
      </w:r>
      <w:proofErr w:type="gramEnd"/>
      <w:r w:rsidR="00E969A9">
        <w:rPr>
          <w:rFonts w:ascii="Times New Roman" w:hAnsi="Times New Roman" w:cs="Times New Roman"/>
          <w:sz w:val="24"/>
          <w:szCs w:val="24"/>
          <w:lang w:val="en-US"/>
        </w:rPr>
        <w:t xml:space="preserve"> can be essential. I believe nurses have a duty to e</w:t>
      </w:r>
      <w:r w:rsidR="003E68DB">
        <w:rPr>
          <w:rFonts w:ascii="Times New Roman" w:hAnsi="Times New Roman" w:cs="Times New Roman"/>
          <w:sz w:val="24"/>
          <w:szCs w:val="24"/>
          <w:lang w:val="en-US"/>
        </w:rPr>
        <w:t>nsure equitable care for all, regardless of their sexuality.</w:t>
      </w:r>
    </w:p>
    <w:p w:rsidR="003E68DB" w:rsidRDefault="003E68DB" w:rsidP="003E68DB">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rsidR="003E68DB" w:rsidRPr="003E68DB" w:rsidRDefault="003E68DB" w:rsidP="003E68DB">
      <w:pPr>
        <w:spacing w:after="0" w:line="480" w:lineRule="auto"/>
        <w:rPr>
          <w:rFonts w:ascii="Times New Roman" w:hAnsi="Times New Roman" w:cs="Times New Roman"/>
          <w:b/>
          <w:sz w:val="24"/>
          <w:szCs w:val="24"/>
          <w:lang w:val="en-US"/>
        </w:rPr>
      </w:pPr>
    </w:p>
    <w:p w:rsidR="007A5150" w:rsidRDefault="00911F40" w:rsidP="00911F40">
      <w:pPr>
        <w:spacing w:after="0" w:line="480" w:lineRule="auto"/>
        <w:ind w:left="720" w:hanging="720"/>
        <w:rPr>
          <w:rFonts w:ascii="Times New Roman" w:eastAsia="Times New Roman" w:hAnsi="Times New Roman" w:cs="Times New Roman"/>
          <w:sz w:val="24"/>
          <w:szCs w:val="24"/>
          <w:lang w:val="en-US"/>
        </w:rPr>
      </w:pPr>
      <w:proofErr w:type="spellStart"/>
      <w:r w:rsidRPr="00911F40">
        <w:rPr>
          <w:rFonts w:ascii="Times New Roman" w:eastAsia="Times New Roman" w:hAnsi="Times New Roman" w:cs="Times New Roman"/>
          <w:sz w:val="24"/>
          <w:szCs w:val="24"/>
          <w:lang w:val="en-US"/>
        </w:rPr>
        <w:lastRenderedPageBreak/>
        <w:t>Foglia</w:t>
      </w:r>
      <w:proofErr w:type="spellEnd"/>
      <w:r w:rsidRPr="00911F40">
        <w:rPr>
          <w:rFonts w:ascii="Times New Roman" w:eastAsia="Times New Roman" w:hAnsi="Times New Roman" w:cs="Times New Roman"/>
          <w:sz w:val="24"/>
          <w:szCs w:val="24"/>
          <w:lang w:val="en-US"/>
        </w:rPr>
        <w:t>, M. B., &amp;</w:t>
      </w:r>
      <w:r>
        <w:rPr>
          <w:rFonts w:ascii="Times New Roman" w:eastAsia="Times New Roman" w:hAnsi="Times New Roman" w:cs="Times New Roman"/>
          <w:sz w:val="24"/>
          <w:szCs w:val="24"/>
          <w:lang w:val="en-US"/>
        </w:rPr>
        <w:t xml:space="preserve"> Fredriksen-Goldsen, K. I. (2019</w:t>
      </w:r>
      <w:r w:rsidRPr="00911F40">
        <w:rPr>
          <w:rFonts w:ascii="Times New Roman" w:eastAsia="Times New Roman" w:hAnsi="Times New Roman" w:cs="Times New Roman"/>
          <w:sz w:val="24"/>
          <w:szCs w:val="24"/>
          <w:lang w:val="en-US"/>
        </w:rPr>
        <w:t xml:space="preserve">). Health disparities among LGBT older adults and the role of </w:t>
      </w:r>
      <w:proofErr w:type="spellStart"/>
      <w:r w:rsidRPr="00911F40">
        <w:rPr>
          <w:rFonts w:ascii="Times New Roman" w:eastAsia="Times New Roman" w:hAnsi="Times New Roman" w:cs="Times New Roman"/>
          <w:sz w:val="24"/>
          <w:szCs w:val="24"/>
          <w:lang w:val="en-US"/>
        </w:rPr>
        <w:t>nonconscious</w:t>
      </w:r>
      <w:proofErr w:type="spellEnd"/>
      <w:r w:rsidRPr="00911F40">
        <w:rPr>
          <w:rFonts w:ascii="Times New Roman" w:eastAsia="Times New Roman" w:hAnsi="Times New Roman" w:cs="Times New Roman"/>
          <w:sz w:val="24"/>
          <w:szCs w:val="24"/>
          <w:lang w:val="en-US"/>
        </w:rPr>
        <w:t xml:space="preserve"> bias. </w:t>
      </w:r>
      <w:r w:rsidRPr="00911F40">
        <w:rPr>
          <w:rFonts w:ascii="Times New Roman" w:eastAsia="Times New Roman" w:hAnsi="Times New Roman" w:cs="Times New Roman"/>
          <w:i/>
          <w:iCs/>
          <w:sz w:val="24"/>
          <w:szCs w:val="24"/>
          <w:lang w:val="en-US"/>
        </w:rPr>
        <w:t>The Hastings Center Report</w:t>
      </w:r>
      <w:r w:rsidRPr="00911F40">
        <w:rPr>
          <w:rFonts w:ascii="Times New Roman" w:eastAsia="Times New Roman" w:hAnsi="Times New Roman" w:cs="Times New Roman"/>
          <w:sz w:val="24"/>
          <w:szCs w:val="24"/>
          <w:lang w:val="en-US"/>
        </w:rPr>
        <w:t xml:space="preserve">, </w:t>
      </w:r>
      <w:r w:rsidRPr="00911F40">
        <w:rPr>
          <w:rFonts w:ascii="Times New Roman" w:eastAsia="Times New Roman" w:hAnsi="Times New Roman" w:cs="Times New Roman"/>
          <w:i/>
          <w:iCs/>
          <w:sz w:val="24"/>
          <w:szCs w:val="24"/>
          <w:lang w:val="en-US"/>
        </w:rPr>
        <w:t>44</w:t>
      </w:r>
      <w:r w:rsidRPr="00911F40">
        <w:rPr>
          <w:rFonts w:ascii="Times New Roman" w:eastAsia="Times New Roman" w:hAnsi="Times New Roman" w:cs="Times New Roman"/>
          <w:sz w:val="24"/>
          <w:szCs w:val="24"/>
          <w:lang w:val="en-US"/>
        </w:rPr>
        <w:t xml:space="preserve">(0 4), S40. </w:t>
      </w:r>
      <w:hyperlink r:id="rId8" w:history="1">
        <w:r w:rsidRPr="00B35B73">
          <w:rPr>
            <w:rStyle w:val="Hyperlink"/>
            <w:rFonts w:ascii="Times New Roman" w:eastAsia="Times New Roman" w:hAnsi="Times New Roman" w:cs="Times New Roman"/>
            <w:sz w:val="24"/>
            <w:szCs w:val="24"/>
            <w:lang w:val="en-US"/>
          </w:rPr>
          <w:t>https://doi.org/10.1002/hast.369</w:t>
        </w:r>
      </w:hyperlink>
      <w:r>
        <w:rPr>
          <w:rFonts w:ascii="Times New Roman" w:eastAsia="Times New Roman" w:hAnsi="Times New Roman" w:cs="Times New Roman"/>
          <w:sz w:val="24"/>
          <w:szCs w:val="24"/>
          <w:lang w:val="en-US"/>
        </w:rPr>
        <w:t xml:space="preserve"> </w:t>
      </w:r>
    </w:p>
    <w:p w:rsidR="00911F40" w:rsidRDefault="00911F40" w:rsidP="00911F40">
      <w:pPr>
        <w:spacing w:after="0" w:line="480" w:lineRule="auto"/>
        <w:ind w:left="720" w:hanging="720"/>
        <w:rPr>
          <w:rFonts w:ascii="Times New Roman" w:eastAsia="Times New Roman" w:hAnsi="Times New Roman" w:cs="Times New Roman"/>
          <w:sz w:val="24"/>
          <w:szCs w:val="24"/>
          <w:lang w:val="en-US"/>
        </w:rPr>
      </w:pPr>
      <w:proofErr w:type="spellStart"/>
      <w:r w:rsidRPr="00911F40">
        <w:rPr>
          <w:rFonts w:ascii="Times New Roman" w:eastAsia="Times New Roman" w:hAnsi="Times New Roman" w:cs="Times New Roman"/>
          <w:sz w:val="24"/>
          <w:szCs w:val="24"/>
          <w:lang w:val="en-US"/>
        </w:rPr>
        <w:t>Kneale</w:t>
      </w:r>
      <w:proofErr w:type="spellEnd"/>
      <w:r w:rsidRPr="00911F40">
        <w:rPr>
          <w:rFonts w:ascii="Times New Roman" w:eastAsia="Times New Roman" w:hAnsi="Times New Roman" w:cs="Times New Roman"/>
          <w:sz w:val="24"/>
          <w:szCs w:val="24"/>
          <w:lang w:val="en-US"/>
        </w:rPr>
        <w:t xml:space="preserve">, D., Henley, J., Thomas, J., &amp; French, R. (2021). Inequalities in older LGBT people's health and care needs in the United Kingdom: A systematic scoping review. </w:t>
      </w:r>
      <w:r w:rsidRPr="00911F40">
        <w:rPr>
          <w:rFonts w:ascii="Times New Roman" w:eastAsia="Times New Roman" w:hAnsi="Times New Roman" w:cs="Times New Roman"/>
          <w:i/>
          <w:iCs/>
          <w:sz w:val="24"/>
          <w:szCs w:val="24"/>
          <w:lang w:val="en-US"/>
        </w:rPr>
        <w:t>Ageing and Society</w:t>
      </w:r>
      <w:r w:rsidRPr="00911F40">
        <w:rPr>
          <w:rFonts w:ascii="Times New Roman" w:eastAsia="Times New Roman" w:hAnsi="Times New Roman" w:cs="Times New Roman"/>
          <w:sz w:val="24"/>
          <w:szCs w:val="24"/>
          <w:lang w:val="en-US"/>
        </w:rPr>
        <w:t xml:space="preserve">, </w:t>
      </w:r>
      <w:r w:rsidRPr="00911F40">
        <w:rPr>
          <w:rFonts w:ascii="Times New Roman" w:eastAsia="Times New Roman" w:hAnsi="Times New Roman" w:cs="Times New Roman"/>
          <w:i/>
          <w:iCs/>
          <w:sz w:val="24"/>
          <w:szCs w:val="24"/>
          <w:lang w:val="en-US"/>
        </w:rPr>
        <w:t>41</w:t>
      </w:r>
      <w:r w:rsidRPr="00911F40">
        <w:rPr>
          <w:rFonts w:ascii="Times New Roman" w:eastAsia="Times New Roman" w:hAnsi="Times New Roman" w:cs="Times New Roman"/>
          <w:sz w:val="24"/>
          <w:szCs w:val="24"/>
          <w:lang w:val="en-US"/>
        </w:rPr>
        <w:t xml:space="preserve">(3), 493-515. </w:t>
      </w:r>
      <w:hyperlink r:id="rId9" w:history="1">
        <w:r w:rsidRPr="00B35B73">
          <w:rPr>
            <w:rStyle w:val="Hyperlink"/>
            <w:rFonts w:ascii="Times New Roman" w:eastAsia="Times New Roman" w:hAnsi="Times New Roman" w:cs="Times New Roman"/>
            <w:sz w:val="24"/>
            <w:szCs w:val="24"/>
            <w:lang w:val="en-US"/>
          </w:rPr>
          <w:t>https://doi.org/10.1017/S0144686X19001326</w:t>
        </w:r>
      </w:hyperlink>
      <w:r>
        <w:rPr>
          <w:rFonts w:ascii="Times New Roman" w:eastAsia="Times New Roman" w:hAnsi="Times New Roman" w:cs="Times New Roman"/>
          <w:sz w:val="24"/>
          <w:szCs w:val="24"/>
          <w:lang w:val="en-US"/>
        </w:rPr>
        <w:t xml:space="preserve"> </w:t>
      </w:r>
    </w:p>
    <w:p w:rsidR="00911F40" w:rsidRPr="00911F40" w:rsidRDefault="00911F40" w:rsidP="00911F40">
      <w:pPr>
        <w:spacing w:after="0" w:line="480" w:lineRule="auto"/>
        <w:ind w:left="720" w:hanging="720"/>
        <w:rPr>
          <w:rFonts w:ascii="Times New Roman" w:eastAsia="Times New Roman" w:hAnsi="Times New Roman" w:cs="Times New Roman"/>
          <w:sz w:val="24"/>
          <w:szCs w:val="24"/>
          <w:lang w:val="en-US"/>
        </w:rPr>
      </w:pPr>
      <w:r w:rsidRPr="00911F40">
        <w:rPr>
          <w:rFonts w:ascii="Times New Roman" w:eastAsia="Times New Roman" w:hAnsi="Times New Roman" w:cs="Times New Roman"/>
          <w:sz w:val="24"/>
          <w:szCs w:val="24"/>
          <w:lang w:val="en-US"/>
        </w:rPr>
        <w:t xml:space="preserve">Wilson, C., &amp; </w:t>
      </w:r>
      <w:proofErr w:type="spellStart"/>
      <w:r w:rsidRPr="00911F40">
        <w:rPr>
          <w:rFonts w:ascii="Times New Roman" w:eastAsia="Times New Roman" w:hAnsi="Times New Roman" w:cs="Times New Roman"/>
          <w:sz w:val="24"/>
          <w:szCs w:val="24"/>
          <w:lang w:val="en-US"/>
        </w:rPr>
        <w:t>Cariola</w:t>
      </w:r>
      <w:proofErr w:type="spellEnd"/>
      <w:r w:rsidRPr="00911F40">
        <w:rPr>
          <w:rFonts w:ascii="Times New Roman" w:eastAsia="Times New Roman" w:hAnsi="Times New Roman" w:cs="Times New Roman"/>
          <w:sz w:val="24"/>
          <w:szCs w:val="24"/>
          <w:lang w:val="en-US"/>
        </w:rPr>
        <w:t>, L. A. (2020). LGBTQI+ y</w:t>
      </w:r>
      <w:bookmarkStart w:id="0" w:name="_GoBack"/>
      <w:bookmarkEnd w:id="0"/>
      <w:r w:rsidRPr="00911F40">
        <w:rPr>
          <w:rFonts w:ascii="Times New Roman" w:eastAsia="Times New Roman" w:hAnsi="Times New Roman" w:cs="Times New Roman"/>
          <w:sz w:val="24"/>
          <w:szCs w:val="24"/>
          <w:lang w:val="en-US"/>
        </w:rPr>
        <w:t xml:space="preserve">outh and mental health: A systematic review of qualitative research. </w:t>
      </w:r>
      <w:r w:rsidRPr="00911F40">
        <w:rPr>
          <w:rFonts w:ascii="Times New Roman" w:eastAsia="Times New Roman" w:hAnsi="Times New Roman" w:cs="Times New Roman"/>
          <w:i/>
          <w:iCs/>
          <w:sz w:val="24"/>
          <w:szCs w:val="24"/>
          <w:lang w:val="en-US"/>
        </w:rPr>
        <w:t>Adolescent Research Review</w:t>
      </w:r>
      <w:r w:rsidRPr="00911F40">
        <w:rPr>
          <w:rFonts w:ascii="Times New Roman" w:eastAsia="Times New Roman" w:hAnsi="Times New Roman" w:cs="Times New Roman"/>
          <w:sz w:val="24"/>
          <w:szCs w:val="24"/>
          <w:lang w:val="en-US"/>
        </w:rPr>
        <w:t xml:space="preserve">, </w:t>
      </w:r>
      <w:r w:rsidRPr="00911F40">
        <w:rPr>
          <w:rFonts w:ascii="Times New Roman" w:eastAsia="Times New Roman" w:hAnsi="Times New Roman" w:cs="Times New Roman"/>
          <w:i/>
          <w:iCs/>
          <w:sz w:val="24"/>
          <w:szCs w:val="24"/>
          <w:lang w:val="en-US"/>
        </w:rPr>
        <w:t>5</w:t>
      </w:r>
      <w:r w:rsidRPr="00911F40">
        <w:rPr>
          <w:rFonts w:ascii="Times New Roman" w:eastAsia="Times New Roman" w:hAnsi="Times New Roman" w:cs="Times New Roman"/>
          <w:sz w:val="24"/>
          <w:szCs w:val="24"/>
          <w:lang w:val="en-US"/>
        </w:rPr>
        <w:t xml:space="preserve">, 187-211. </w:t>
      </w:r>
      <w:hyperlink r:id="rId10" w:history="1">
        <w:r w:rsidRPr="00911F40">
          <w:rPr>
            <w:rStyle w:val="Hyperlink"/>
            <w:rFonts w:ascii="Times New Roman" w:eastAsia="Times New Roman" w:hAnsi="Times New Roman" w:cs="Times New Roman"/>
            <w:sz w:val="24"/>
            <w:szCs w:val="24"/>
          </w:rPr>
          <w:t>https://doi.org/10.1007/s40894-019-00118-w</w:t>
        </w:r>
      </w:hyperlink>
      <w:r w:rsidRPr="00911F40">
        <w:rPr>
          <w:rFonts w:ascii="Times New Roman" w:eastAsia="Times New Roman" w:hAnsi="Times New Roman" w:cs="Times New Roman"/>
          <w:sz w:val="24"/>
          <w:szCs w:val="24"/>
        </w:rPr>
        <w:t xml:space="preserve"> </w:t>
      </w:r>
    </w:p>
    <w:p w:rsidR="00911F40" w:rsidRPr="00911F40" w:rsidRDefault="00911F40" w:rsidP="00911F40">
      <w:pPr>
        <w:spacing w:after="0" w:line="480" w:lineRule="auto"/>
        <w:ind w:left="720" w:hanging="720"/>
        <w:rPr>
          <w:rFonts w:ascii="Times New Roman" w:eastAsia="Times New Roman" w:hAnsi="Times New Roman" w:cs="Times New Roman"/>
          <w:sz w:val="24"/>
          <w:szCs w:val="24"/>
          <w:lang w:val="en-US"/>
        </w:rPr>
      </w:pPr>
    </w:p>
    <w:sectPr w:rsidR="00911F40" w:rsidRPr="00911F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F1632"/>
    <w:multiLevelType w:val="hybridMultilevel"/>
    <w:tmpl w:val="6BF29072"/>
    <w:lvl w:ilvl="0" w:tplc="D556E3D8">
      <w:start w:val="1"/>
      <w:numFmt w:val="bullet"/>
      <w:lvlText w:val="•"/>
      <w:lvlJc w:val="left"/>
      <w:pPr>
        <w:tabs>
          <w:tab w:val="num" w:pos="720"/>
        </w:tabs>
        <w:ind w:left="720" w:hanging="360"/>
      </w:pPr>
      <w:rPr>
        <w:rFonts w:ascii="Times New Roman" w:hAnsi="Times New Roman" w:hint="default"/>
      </w:rPr>
    </w:lvl>
    <w:lvl w:ilvl="1" w:tplc="9398D47C" w:tentative="1">
      <w:start w:val="1"/>
      <w:numFmt w:val="bullet"/>
      <w:lvlText w:val="•"/>
      <w:lvlJc w:val="left"/>
      <w:pPr>
        <w:tabs>
          <w:tab w:val="num" w:pos="1440"/>
        </w:tabs>
        <w:ind w:left="1440" w:hanging="360"/>
      </w:pPr>
      <w:rPr>
        <w:rFonts w:ascii="Times New Roman" w:hAnsi="Times New Roman" w:hint="default"/>
      </w:rPr>
    </w:lvl>
    <w:lvl w:ilvl="2" w:tplc="2826BC4E" w:tentative="1">
      <w:start w:val="1"/>
      <w:numFmt w:val="bullet"/>
      <w:lvlText w:val="•"/>
      <w:lvlJc w:val="left"/>
      <w:pPr>
        <w:tabs>
          <w:tab w:val="num" w:pos="2160"/>
        </w:tabs>
        <w:ind w:left="2160" w:hanging="360"/>
      </w:pPr>
      <w:rPr>
        <w:rFonts w:ascii="Times New Roman" w:hAnsi="Times New Roman" w:hint="default"/>
      </w:rPr>
    </w:lvl>
    <w:lvl w:ilvl="3" w:tplc="A404A0E4" w:tentative="1">
      <w:start w:val="1"/>
      <w:numFmt w:val="bullet"/>
      <w:lvlText w:val="•"/>
      <w:lvlJc w:val="left"/>
      <w:pPr>
        <w:tabs>
          <w:tab w:val="num" w:pos="2880"/>
        </w:tabs>
        <w:ind w:left="2880" w:hanging="360"/>
      </w:pPr>
      <w:rPr>
        <w:rFonts w:ascii="Times New Roman" w:hAnsi="Times New Roman" w:hint="default"/>
      </w:rPr>
    </w:lvl>
    <w:lvl w:ilvl="4" w:tplc="FAC26DA8" w:tentative="1">
      <w:start w:val="1"/>
      <w:numFmt w:val="bullet"/>
      <w:lvlText w:val="•"/>
      <w:lvlJc w:val="left"/>
      <w:pPr>
        <w:tabs>
          <w:tab w:val="num" w:pos="3600"/>
        </w:tabs>
        <w:ind w:left="3600" w:hanging="360"/>
      </w:pPr>
      <w:rPr>
        <w:rFonts w:ascii="Times New Roman" w:hAnsi="Times New Roman" w:hint="default"/>
      </w:rPr>
    </w:lvl>
    <w:lvl w:ilvl="5" w:tplc="5808B272" w:tentative="1">
      <w:start w:val="1"/>
      <w:numFmt w:val="bullet"/>
      <w:lvlText w:val="•"/>
      <w:lvlJc w:val="left"/>
      <w:pPr>
        <w:tabs>
          <w:tab w:val="num" w:pos="4320"/>
        </w:tabs>
        <w:ind w:left="4320" w:hanging="360"/>
      </w:pPr>
      <w:rPr>
        <w:rFonts w:ascii="Times New Roman" w:hAnsi="Times New Roman" w:hint="default"/>
      </w:rPr>
    </w:lvl>
    <w:lvl w:ilvl="6" w:tplc="4D9494FE" w:tentative="1">
      <w:start w:val="1"/>
      <w:numFmt w:val="bullet"/>
      <w:lvlText w:val="•"/>
      <w:lvlJc w:val="left"/>
      <w:pPr>
        <w:tabs>
          <w:tab w:val="num" w:pos="5040"/>
        </w:tabs>
        <w:ind w:left="5040" w:hanging="360"/>
      </w:pPr>
      <w:rPr>
        <w:rFonts w:ascii="Times New Roman" w:hAnsi="Times New Roman" w:hint="default"/>
      </w:rPr>
    </w:lvl>
    <w:lvl w:ilvl="7" w:tplc="51CC881E" w:tentative="1">
      <w:start w:val="1"/>
      <w:numFmt w:val="bullet"/>
      <w:lvlText w:val="•"/>
      <w:lvlJc w:val="left"/>
      <w:pPr>
        <w:tabs>
          <w:tab w:val="num" w:pos="5760"/>
        </w:tabs>
        <w:ind w:left="5760" w:hanging="360"/>
      </w:pPr>
      <w:rPr>
        <w:rFonts w:ascii="Times New Roman" w:hAnsi="Times New Roman" w:hint="default"/>
      </w:rPr>
    </w:lvl>
    <w:lvl w:ilvl="8" w:tplc="8C203BC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15"/>
    <w:rsid w:val="00151BE5"/>
    <w:rsid w:val="0015538E"/>
    <w:rsid w:val="001B747E"/>
    <w:rsid w:val="00294882"/>
    <w:rsid w:val="00305EE2"/>
    <w:rsid w:val="00346A97"/>
    <w:rsid w:val="003E68DB"/>
    <w:rsid w:val="004B7D94"/>
    <w:rsid w:val="00562415"/>
    <w:rsid w:val="00743E44"/>
    <w:rsid w:val="007A5150"/>
    <w:rsid w:val="00892555"/>
    <w:rsid w:val="00911F40"/>
    <w:rsid w:val="009127CE"/>
    <w:rsid w:val="009610B8"/>
    <w:rsid w:val="009D4C45"/>
    <w:rsid w:val="00A305DA"/>
    <w:rsid w:val="00A67188"/>
    <w:rsid w:val="00B01D0E"/>
    <w:rsid w:val="00C44E86"/>
    <w:rsid w:val="00CF7107"/>
    <w:rsid w:val="00DB2AE7"/>
    <w:rsid w:val="00DC7994"/>
    <w:rsid w:val="00DD5FE3"/>
    <w:rsid w:val="00E271F9"/>
    <w:rsid w:val="00E969A9"/>
    <w:rsid w:val="00EA71F9"/>
    <w:rsid w:val="00EC38FD"/>
    <w:rsid w:val="00F56F15"/>
    <w:rsid w:val="00F95D16"/>
    <w:rsid w:val="00FB6ABF"/>
    <w:rsid w:val="00FF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DFE3"/>
  <w15:chartTrackingRefBased/>
  <w15:docId w15:val="{3EAB3542-A94C-46CE-A308-2473074C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7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54291">
      <w:bodyDiv w:val="1"/>
      <w:marLeft w:val="0"/>
      <w:marRight w:val="0"/>
      <w:marTop w:val="0"/>
      <w:marBottom w:val="0"/>
      <w:divBdr>
        <w:top w:val="none" w:sz="0" w:space="0" w:color="auto"/>
        <w:left w:val="none" w:sz="0" w:space="0" w:color="auto"/>
        <w:bottom w:val="none" w:sz="0" w:space="0" w:color="auto"/>
        <w:right w:val="none" w:sz="0" w:space="0" w:color="auto"/>
      </w:divBdr>
      <w:divsChild>
        <w:div w:id="330765011">
          <w:marLeft w:val="0"/>
          <w:marRight w:val="0"/>
          <w:marTop w:val="0"/>
          <w:marBottom w:val="0"/>
          <w:divBdr>
            <w:top w:val="none" w:sz="0" w:space="0" w:color="auto"/>
            <w:left w:val="none" w:sz="0" w:space="0" w:color="auto"/>
            <w:bottom w:val="none" w:sz="0" w:space="0" w:color="auto"/>
            <w:right w:val="none" w:sz="0" w:space="0" w:color="auto"/>
          </w:divBdr>
        </w:div>
      </w:divsChild>
    </w:div>
    <w:div w:id="1157380532">
      <w:bodyDiv w:val="1"/>
      <w:marLeft w:val="0"/>
      <w:marRight w:val="0"/>
      <w:marTop w:val="0"/>
      <w:marBottom w:val="0"/>
      <w:divBdr>
        <w:top w:val="none" w:sz="0" w:space="0" w:color="auto"/>
        <w:left w:val="none" w:sz="0" w:space="0" w:color="auto"/>
        <w:bottom w:val="none" w:sz="0" w:space="0" w:color="auto"/>
        <w:right w:val="none" w:sz="0" w:space="0" w:color="auto"/>
      </w:divBdr>
      <w:divsChild>
        <w:div w:id="1686322535">
          <w:marLeft w:val="533"/>
          <w:marRight w:val="0"/>
          <w:marTop w:val="62"/>
          <w:marBottom w:val="0"/>
          <w:divBdr>
            <w:top w:val="none" w:sz="0" w:space="0" w:color="auto"/>
            <w:left w:val="none" w:sz="0" w:space="0" w:color="auto"/>
            <w:bottom w:val="none" w:sz="0" w:space="0" w:color="auto"/>
            <w:right w:val="none" w:sz="0" w:space="0" w:color="auto"/>
          </w:divBdr>
        </w:div>
      </w:divsChild>
    </w:div>
    <w:div w:id="1511602789">
      <w:bodyDiv w:val="1"/>
      <w:marLeft w:val="0"/>
      <w:marRight w:val="0"/>
      <w:marTop w:val="0"/>
      <w:marBottom w:val="0"/>
      <w:divBdr>
        <w:top w:val="none" w:sz="0" w:space="0" w:color="auto"/>
        <w:left w:val="none" w:sz="0" w:space="0" w:color="auto"/>
        <w:bottom w:val="none" w:sz="0" w:space="0" w:color="auto"/>
        <w:right w:val="none" w:sz="0" w:space="0" w:color="auto"/>
      </w:divBdr>
      <w:divsChild>
        <w:div w:id="529952675">
          <w:marLeft w:val="0"/>
          <w:marRight w:val="0"/>
          <w:marTop w:val="0"/>
          <w:marBottom w:val="0"/>
          <w:divBdr>
            <w:top w:val="none" w:sz="0" w:space="0" w:color="auto"/>
            <w:left w:val="none" w:sz="0" w:space="0" w:color="auto"/>
            <w:bottom w:val="none" w:sz="0" w:space="0" w:color="auto"/>
            <w:right w:val="none" w:sz="0" w:space="0" w:color="auto"/>
          </w:divBdr>
        </w:div>
      </w:divsChild>
    </w:div>
    <w:div w:id="1567371502">
      <w:bodyDiv w:val="1"/>
      <w:marLeft w:val="0"/>
      <w:marRight w:val="0"/>
      <w:marTop w:val="0"/>
      <w:marBottom w:val="0"/>
      <w:divBdr>
        <w:top w:val="none" w:sz="0" w:space="0" w:color="auto"/>
        <w:left w:val="none" w:sz="0" w:space="0" w:color="auto"/>
        <w:bottom w:val="none" w:sz="0" w:space="0" w:color="auto"/>
        <w:right w:val="none" w:sz="0" w:space="0" w:color="auto"/>
      </w:divBdr>
      <w:divsChild>
        <w:div w:id="795491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hast.369" TargetMode="External"/><Relationship Id="rId3" Type="http://schemas.openxmlformats.org/officeDocument/2006/relationships/settings" Target="settings.xml"/><Relationship Id="rId7" Type="http://schemas.openxmlformats.org/officeDocument/2006/relationships/hyperlink" Target="https://doi.org/10.1007/s40894-019-00118-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39-023-02023-0" TargetMode="External"/><Relationship Id="rId11" Type="http://schemas.openxmlformats.org/officeDocument/2006/relationships/fontTable" Target="fontTable.xml"/><Relationship Id="rId5" Type="http://schemas.openxmlformats.org/officeDocument/2006/relationships/hyperlink" Target="https://doi.org/10.1016/j.mcna.2021.12.005" TargetMode="External"/><Relationship Id="rId10" Type="http://schemas.openxmlformats.org/officeDocument/2006/relationships/hyperlink" Target="https://doi.org/10.1007/s40894-019-00118-w" TargetMode="External"/><Relationship Id="rId4" Type="http://schemas.openxmlformats.org/officeDocument/2006/relationships/webSettings" Target="webSettings.xml"/><Relationship Id="rId9" Type="http://schemas.openxmlformats.org/officeDocument/2006/relationships/hyperlink" Target="https://doi.org/10.1017/S0144686X19001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2023-11-17T05:34:00Z</dcterms:created>
  <dcterms:modified xsi:type="dcterms:W3CDTF">2023-11-17T06:20:00Z</dcterms:modified>
</cp:coreProperties>
</file>