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C5C" w14:textId="77777777" w:rsidR="00224D63" w:rsidRPr="00224D63" w:rsidRDefault="00224D63" w:rsidP="00224D63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b/>
          <w:bCs/>
          <w:sz w:val="36"/>
          <w:szCs w:val="36"/>
        </w:rPr>
        <w:t>Literature Evaluation Table</w:t>
      </w:r>
      <w:r w:rsidRPr="00224D63">
        <w:rPr>
          <w:rFonts w:eastAsia="Times New Roman"/>
          <w:sz w:val="36"/>
          <w:szCs w:val="36"/>
        </w:rPr>
        <w:t> </w:t>
      </w:r>
    </w:p>
    <w:p w14:paraId="0CB149A4" w14:textId="77777777" w:rsidR="00A17C47" w:rsidRDefault="00224D63" w:rsidP="00A17C47">
      <w:pPr>
        <w:shd w:val="clear" w:color="auto" w:fill="FFFFFF"/>
        <w:spacing w:after="0" w:line="480" w:lineRule="auto"/>
        <w:textAlignment w:val="baseline"/>
        <w:rPr>
          <w:szCs w:val="24"/>
        </w:rPr>
      </w:pPr>
      <w:r w:rsidRPr="00224D63">
        <w:rPr>
          <w:rFonts w:eastAsia="Times New Roman"/>
          <w:b/>
          <w:bCs/>
          <w:szCs w:val="24"/>
        </w:rPr>
        <w:t>Student Name: </w:t>
      </w:r>
      <w:proofErr w:type="spellStart"/>
      <w:r w:rsidR="007B5BFA" w:rsidRPr="006A11C0">
        <w:rPr>
          <w:szCs w:val="24"/>
        </w:rPr>
        <w:t>Yeruknesh</w:t>
      </w:r>
      <w:proofErr w:type="spellEnd"/>
      <w:r w:rsidR="007B5BFA" w:rsidRPr="006A11C0">
        <w:rPr>
          <w:szCs w:val="24"/>
        </w:rPr>
        <w:t xml:space="preserve"> </w:t>
      </w:r>
      <w:proofErr w:type="spellStart"/>
      <w:r w:rsidR="007B5BFA" w:rsidRPr="006A11C0">
        <w:rPr>
          <w:szCs w:val="24"/>
        </w:rPr>
        <w:t>Endalamaw</w:t>
      </w:r>
      <w:proofErr w:type="spellEnd"/>
    </w:p>
    <w:p w14:paraId="7F63D438" w14:textId="2EE14EA8" w:rsidR="00224D63" w:rsidRPr="00A17C47" w:rsidRDefault="00A17C47" w:rsidP="00A17C47">
      <w:pPr>
        <w:shd w:val="clear" w:color="auto" w:fill="FFFFFF"/>
        <w:spacing w:after="0" w:line="480" w:lineRule="auto"/>
        <w:textAlignment w:val="baseline"/>
        <w:rPr>
          <w:szCs w:val="24"/>
        </w:rPr>
      </w:pPr>
      <w:r>
        <w:rPr>
          <w:rFonts w:ascii="Segoe UI" w:eastAsia="Times New Roman" w:hAnsi="Segoe UI" w:cs="Segoe UI"/>
          <w:sz w:val="18"/>
          <w:szCs w:val="18"/>
        </w:rPr>
        <w:t xml:space="preserve"> </w:t>
      </w:r>
      <w:r w:rsidR="00224D63" w:rsidRPr="00224D63">
        <w:rPr>
          <w:rFonts w:eastAsia="Times New Roman"/>
          <w:b/>
          <w:bCs/>
          <w:szCs w:val="24"/>
        </w:rPr>
        <w:t>Change Topic (2-3 sentences):</w:t>
      </w:r>
      <w:r w:rsidR="00224D63" w:rsidRPr="00224D63">
        <w:rPr>
          <w:rFonts w:eastAsia="Times New Roman"/>
          <w:szCs w:val="24"/>
        </w:rPr>
        <w:t> </w:t>
      </w:r>
      <w:r w:rsidR="00E57E73">
        <w:rPr>
          <w:rFonts w:eastAsia="Times New Roman"/>
          <w:szCs w:val="24"/>
        </w:rPr>
        <w:t>The change topic for the capstone project is reducing CAUTIs in adult oncology patients with indwelling catheters through the implementation of a CAUTI bundle.</w:t>
      </w:r>
      <w:r w:rsidR="0096353F">
        <w:rPr>
          <w:rFonts w:eastAsia="Times New Roman"/>
          <w:szCs w:val="24"/>
        </w:rPr>
        <w:t xml:space="preserve"> </w:t>
      </w:r>
      <w:r w:rsidR="0096353F" w:rsidRPr="0096353F">
        <w:rPr>
          <w:rFonts w:eastAsia="Times New Roman"/>
          <w:bCs/>
          <w:szCs w:val="24"/>
          <w:lang w:val="en-KE"/>
        </w:rPr>
        <w:t xml:space="preserve">The bundle typically includes </w:t>
      </w:r>
      <w:r w:rsidR="0096353F">
        <w:rPr>
          <w:rFonts w:eastAsia="Times New Roman"/>
          <w:bCs/>
          <w:szCs w:val="24"/>
        </w:rPr>
        <w:t>techni</w:t>
      </w:r>
      <w:bookmarkStart w:id="0" w:name="_GoBack"/>
      <w:bookmarkEnd w:id="0"/>
      <w:r w:rsidR="0096353F">
        <w:rPr>
          <w:rFonts w:eastAsia="Times New Roman"/>
          <w:bCs/>
          <w:szCs w:val="24"/>
        </w:rPr>
        <w:t xml:space="preserve">ques such as </w:t>
      </w:r>
      <w:r w:rsidR="0096353F" w:rsidRPr="0096353F">
        <w:rPr>
          <w:rFonts w:eastAsia="Times New Roman"/>
          <w:bCs/>
          <w:szCs w:val="24"/>
          <w:lang w:val="en-KE"/>
        </w:rPr>
        <w:t>proper hand hygiene, aseptic catheter insertion and maintenance practices, regular assessment and documentation of catheter necessity, and prompt removal of unnecessary catheters.</w:t>
      </w:r>
    </w:p>
    <w:p w14:paraId="33D16E2B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36"/>
          <w:szCs w:val="36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049"/>
        <w:gridCol w:w="1822"/>
        <w:gridCol w:w="1520"/>
        <w:gridCol w:w="2585"/>
      </w:tblGrid>
      <w:tr w:rsidR="00A162FF" w:rsidRPr="00224D63" w14:paraId="60D4E651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47C2AFC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Criteria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2A89C457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1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23DF954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2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1E92B614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3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7D5FD75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4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</w:tr>
      <w:tr w:rsidR="009748B8" w:rsidRPr="00224D63" w14:paraId="60851154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496CD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Author, Journal (Peer-Reviewed), and 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96A2D75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Permalink or Working Link to Access Article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95ECC6C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F437D" w14:textId="77777777" w:rsidR="00A162FF" w:rsidRDefault="004E3F36" w:rsidP="004E3F36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4E3F36">
              <w:rPr>
                <w:rFonts w:eastAsia="Times New Roman"/>
                <w:sz w:val="22"/>
              </w:rPr>
              <w:t>Davies</w:t>
            </w:r>
            <w:r w:rsidR="002D5F53">
              <w:rPr>
                <w:rFonts w:eastAsia="Times New Roman"/>
                <w:sz w:val="22"/>
              </w:rPr>
              <w:t xml:space="preserve"> et al.</w:t>
            </w:r>
            <w:r w:rsidRPr="004E3F36">
              <w:rPr>
                <w:rFonts w:eastAsia="Times New Roman"/>
                <w:sz w:val="22"/>
              </w:rPr>
              <w:t xml:space="preserve"> &amp; </w:t>
            </w:r>
            <w:r w:rsidRPr="00A162FF">
              <w:rPr>
                <w:rFonts w:eastAsia="Times New Roman"/>
                <w:iCs/>
                <w:sz w:val="22"/>
              </w:rPr>
              <w:t>American journal of infection control</w:t>
            </w:r>
            <w:r w:rsidR="00A162FF">
              <w:rPr>
                <w:rFonts w:eastAsia="Times New Roman"/>
                <w:sz w:val="22"/>
              </w:rPr>
              <w:t>.</w:t>
            </w:r>
          </w:p>
          <w:p w14:paraId="2E48E605" w14:textId="2B680E09" w:rsidR="004E3F36" w:rsidRDefault="004E3F36" w:rsidP="004E3F36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hyperlink r:id="rId10" w:history="1">
              <w:r w:rsidRPr="006D6895">
                <w:rPr>
                  <w:rStyle w:val="Hyperlink"/>
                  <w:rFonts w:eastAsia="Times New Roman"/>
                  <w:sz w:val="22"/>
                </w:rPr>
                <w:t>https://doi.org/10.1016/j.ajic.2017.11.032</w:t>
              </w:r>
            </w:hyperlink>
          </w:p>
          <w:p w14:paraId="46E6CBFC" w14:textId="1079F862" w:rsidR="00224D63" w:rsidRPr="00224D63" w:rsidRDefault="00224D63" w:rsidP="004E3F36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280FF7" w14:textId="77777777" w:rsidR="009748B8" w:rsidRDefault="009748B8" w:rsidP="00A03D53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Gad &amp; </w:t>
            </w:r>
            <w:proofErr w:type="spellStart"/>
            <w:r w:rsidR="00A03D53" w:rsidRPr="00A03D53">
              <w:rPr>
                <w:rFonts w:eastAsia="Times New Roman"/>
                <w:sz w:val="22"/>
              </w:rPr>
              <w:t>AbdelAziz</w:t>
            </w:r>
            <w:proofErr w:type="spellEnd"/>
            <w:r w:rsidR="00A03D53" w:rsidRPr="00A03D53">
              <w:rPr>
                <w:rFonts w:eastAsia="Times New Roman"/>
                <w:sz w:val="22"/>
              </w:rPr>
              <w:t xml:space="preserve">, </w:t>
            </w:r>
            <w:r w:rsidR="00A03D53" w:rsidRPr="00A03D53">
              <w:rPr>
                <w:rFonts w:eastAsia="Times New Roman"/>
                <w:i/>
                <w:iCs/>
                <w:sz w:val="22"/>
              </w:rPr>
              <w:t>Cureus</w:t>
            </w:r>
          </w:p>
          <w:p w14:paraId="169126A5" w14:textId="2A7D335C" w:rsidR="00A03D53" w:rsidRDefault="00A03D53" w:rsidP="00A03D53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hyperlink r:id="rId11" w:history="1">
              <w:r w:rsidRPr="006D6895">
                <w:rPr>
                  <w:rStyle w:val="Hyperlink"/>
                  <w:rFonts w:eastAsia="Times New Roman"/>
                  <w:sz w:val="22"/>
                </w:rPr>
                <w:t>https://doi.org/10.7759/cureus.16284</w:t>
              </w:r>
            </w:hyperlink>
          </w:p>
          <w:p w14:paraId="1F2C5C50" w14:textId="765784DE" w:rsidR="00224D63" w:rsidRPr="00224D63" w:rsidRDefault="00224D63" w:rsidP="00A03D5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384C5" w14:textId="77777777" w:rsidR="00095078" w:rsidRDefault="00224D63" w:rsidP="0009507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 w:rsidR="00095078">
              <w:rPr>
                <w:rFonts w:eastAsia="Times New Roman"/>
                <w:sz w:val="22"/>
              </w:rPr>
              <w:t xml:space="preserve">Van Decker, Bosch &amp; Murphy. </w:t>
            </w:r>
          </w:p>
          <w:p w14:paraId="4E1C3117" w14:textId="5857FBCB" w:rsidR="00173985" w:rsidRDefault="00095078" w:rsidP="0009507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095078">
              <w:rPr>
                <w:rFonts w:eastAsia="Times New Roman"/>
                <w:sz w:val="22"/>
              </w:rPr>
              <w:t>BMJ open quality</w:t>
            </w:r>
          </w:p>
          <w:p w14:paraId="6D39288D" w14:textId="58512D08" w:rsidR="00095078" w:rsidRDefault="00095078" w:rsidP="0009507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hyperlink r:id="rId12" w:history="1">
              <w:r w:rsidRPr="006D6895">
                <w:rPr>
                  <w:rStyle w:val="Hyperlink"/>
                  <w:rFonts w:eastAsia="Times New Roman"/>
                  <w:sz w:val="22"/>
                </w:rPr>
                <w:t>https://doi.org/10.1136/bmjoq-2021-001534</w:t>
              </w:r>
            </w:hyperlink>
          </w:p>
          <w:p w14:paraId="338B534B" w14:textId="77777777" w:rsidR="00095078" w:rsidRDefault="00095078" w:rsidP="0009507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  <w:p w14:paraId="35ACD0F4" w14:textId="77777777" w:rsidR="00095078" w:rsidRDefault="00095078" w:rsidP="0009507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  <w:p w14:paraId="5762ADB4" w14:textId="77777777" w:rsidR="00173985" w:rsidRPr="00173985" w:rsidRDefault="00173985" w:rsidP="00173985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  <w:p w14:paraId="03DE33C5" w14:textId="77777777" w:rsidR="00224D63" w:rsidRPr="00224D63" w:rsidRDefault="00224D63" w:rsidP="00173985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4C3B6" w14:textId="3FDB5290" w:rsidR="0098439D" w:rsidRDefault="0098439D" w:rsidP="0098439D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proofErr w:type="spellStart"/>
            <w:r w:rsidRPr="0098439D">
              <w:rPr>
                <w:rFonts w:eastAsia="Times New Roman"/>
                <w:szCs w:val="24"/>
              </w:rPr>
              <w:t>Menegueti</w:t>
            </w:r>
            <w:proofErr w:type="spellEnd"/>
            <w:r w:rsidR="009748B8">
              <w:rPr>
                <w:rFonts w:eastAsia="Times New Roman"/>
                <w:szCs w:val="24"/>
              </w:rPr>
              <w:t xml:space="preserve"> et al.</w:t>
            </w:r>
            <w:r w:rsidRPr="0098439D">
              <w:rPr>
                <w:rFonts w:eastAsia="Times New Roman"/>
                <w:szCs w:val="24"/>
              </w:rPr>
              <w:t xml:space="preserve"> </w:t>
            </w:r>
            <w:r w:rsidRPr="009748B8">
              <w:rPr>
                <w:rFonts w:eastAsia="Times New Roman"/>
                <w:iCs/>
                <w:szCs w:val="24"/>
              </w:rPr>
              <w:t>Medicine</w:t>
            </w:r>
            <w:r w:rsidR="009748B8" w:rsidRPr="009748B8">
              <w:rPr>
                <w:rFonts w:eastAsia="Times New Roman"/>
                <w:szCs w:val="24"/>
              </w:rPr>
              <w:t>.</w:t>
            </w:r>
            <w:r w:rsidRPr="009748B8">
              <w:rPr>
                <w:rFonts w:eastAsia="Times New Roman"/>
                <w:szCs w:val="24"/>
              </w:rPr>
              <w:t xml:space="preserve"> </w:t>
            </w:r>
            <w:hyperlink r:id="rId13" w:history="1">
              <w:r w:rsidRPr="006D6895">
                <w:rPr>
                  <w:rStyle w:val="Hyperlink"/>
                  <w:rFonts w:eastAsia="Times New Roman"/>
                  <w:szCs w:val="24"/>
                </w:rPr>
                <w:t>https://doi.org/10.1097/MD.0000000000014417</w:t>
              </w:r>
            </w:hyperlink>
          </w:p>
          <w:p w14:paraId="33DAC5FC" w14:textId="77777777" w:rsidR="0098439D" w:rsidRDefault="0098439D" w:rsidP="0098439D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  <w:p w14:paraId="12584FE0" w14:textId="77777777" w:rsidR="00224D63" w:rsidRPr="0098439D" w:rsidRDefault="00224D63" w:rsidP="0098439D">
            <w:pPr>
              <w:rPr>
                <w:rFonts w:eastAsia="Times New Roman"/>
                <w:szCs w:val="24"/>
              </w:rPr>
            </w:pPr>
          </w:p>
        </w:tc>
      </w:tr>
      <w:tr w:rsidR="009748B8" w:rsidRPr="00224D63" w14:paraId="45BE8E88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B93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Article Title and Year Published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32CCD9E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599F2" w14:textId="77777777" w:rsidR="00A162FF" w:rsidRDefault="00A162FF" w:rsidP="00A162FF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4E3F36">
              <w:rPr>
                <w:rFonts w:eastAsia="Times New Roman"/>
                <w:sz w:val="22"/>
              </w:rPr>
              <w:t>Effectiveness of a bundled approach to reduce urinary catheters and infection rates in trauma patients. </w:t>
            </w:r>
          </w:p>
          <w:p w14:paraId="18D927CD" w14:textId="7E966485" w:rsidR="00224D63" w:rsidRPr="00224D63" w:rsidRDefault="009748B8" w:rsidP="00A162F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(</w:t>
            </w:r>
            <w:r w:rsidR="00A162FF">
              <w:rPr>
                <w:rFonts w:eastAsia="Times New Roman"/>
                <w:sz w:val="22"/>
              </w:rPr>
              <w:t>2018</w:t>
            </w:r>
            <w:r>
              <w:rPr>
                <w:rFonts w:eastAsia="Times New Roman"/>
                <w:sz w:val="22"/>
              </w:rPr>
              <w:t>)</w:t>
            </w:r>
            <w:r w:rsidR="00A162FF">
              <w:rPr>
                <w:rFonts w:eastAsia="Times New Roman"/>
                <w:sz w:val="22"/>
              </w:rPr>
              <w:t>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712294" w14:textId="508D2B6A" w:rsidR="00224D63" w:rsidRDefault="009748B8" w:rsidP="009748B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A03D53">
              <w:rPr>
                <w:rFonts w:eastAsia="Times New Roman"/>
                <w:sz w:val="22"/>
              </w:rPr>
              <w:t>Catheter-</w:t>
            </w:r>
            <w:r w:rsidR="00343404" w:rsidRPr="00A03D53">
              <w:rPr>
                <w:rFonts w:eastAsia="Times New Roman"/>
                <w:sz w:val="22"/>
              </w:rPr>
              <w:t>associated urinary tract infectio</w:t>
            </w:r>
            <w:r w:rsidR="0008302A">
              <w:rPr>
                <w:rFonts w:eastAsia="Times New Roman"/>
                <w:sz w:val="22"/>
              </w:rPr>
              <w:t>ns in the adult patient group: A</w:t>
            </w:r>
            <w:r w:rsidR="00343404" w:rsidRPr="00A03D53">
              <w:rPr>
                <w:rFonts w:eastAsia="Times New Roman"/>
                <w:sz w:val="22"/>
              </w:rPr>
              <w:t xml:space="preserve"> qualitative systematic review on the adopted preventative and interventional protocols from the literature.</w:t>
            </w:r>
            <w:r w:rsidR="00343404" w:rsidRPr="00224D63">
              <w:rPr>
                <w:rFonts w:eastAsia="Times New Roman"/>
                <w:sz w:val="22"/>
              </w:rPr>
              <w:t> </w:t>
            </w:r>
          </w:p>
          <w:p w14:paraId="5DD8B19F" w14:textId="544839E4" w:rsidR="009748B8" w:rsidRPr="00224D63" w:rsidRDefault="009748B8" w:rsidP="009748B8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A03D53">
              <w:rPr>
                <w:rFonts w:eastAsia="Times New Roman"/>
                <w:sz w:val="22"/>
              </w:rPr>
              <w:t>(2021).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0E729" w14:textId="6AFD56C8" w:rsidR="007B68EA" w:rsidRPr="007B68EA" w:rsidRDefault="007B68EA" w:rsidP="007B68EA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7B68EA">
              <w:rPr>
                <w:rFonts w:eastAsia="Times New Roman"/>
                <w:sz w:val="22"/>
              </w:rPr>
              <w:t>Catheter-associated urinary tract infection red</w:t>
            </w:r>
            <w:r>
              <w:rPr>
                <w:rFonts w:eastAsia="Times New Roman"/>
                <w:sz w:val="22"/>
              </w:rPr>
              <w:t>uction in critical care units: A</w:t>
            </w:r>
            <w:r w:rsidRPr="007B68EA">
              <w:rPr>
                <w:rFonts w:eastAsia="Times New Roman"/>
                <w:sz w:val="22"/>
              </w:rPr>
              <w:t xml:space="preserve"> bundled care model</w:t>
            </w:r>
          </w:p>
          <w:p w14:paraId="5D230BE8" w14:textId="7A867EEA" w:rsidR="009748B8" w:rsidRPr="00224D63" w:rsidRDefault="007B68EA" w:rsidP="009748B8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173985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(2021</w:t>
            </w:r>
            <w:r w:rsidR="009748B8" w:rsidRPr="00173985">
              <w:rPr>
                <w:rFonts w:eastAsia="Times New Roman"/>
                <w:sz w:val="22"/>
              </w:rPr>
              <w:t>).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5242A" w14:textId="77777777" w:rsidR="00224D63" w:rsidRDefault="009748B8" w:rsidP="009748B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98439D">
              <w:rPr>
                <w:rFonts w:eastAsia="Times New Roman"/>
                <w:szCs w:val="24"/>
              </w:rPr>
              <w:t>Long-term prevention of catheter-associated urinary tract infections among critically ill patients through the implementation of an educational program and a daily checklist for maintenance of indwelling urinary catheters: A quasi-experimental study. 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  <w:p w14:paraId="248CB9BF" w14:textId="3A99563F" w:rsidR="009748B8" w:rsidRPr="00224D63" w:rsidRDefault="009748B8" w:rsidP="009748B8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98439D">
              <w:rPr>
                <w:rFonts w:eastAsia="Times New Roman"/>
                <w:szCs w:val="24"/>
              </w:rPr>
              <w:t>(2019).</w:t>
            </w:r>
          </w:p>
        </w:tc>
      </w:tr>
      <w:tr w:rsidR="009748B8" w:rsidRPr="00224D63" w14:paraId="4A71A3D7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CF7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Research Questions (Qualitative)/</w:t>
            </w:r>
            <w:r w:rsidRPr="00224D63">
              <w:rPr>
                <w:rFonts w:eastAsia="Times New Roman"/>
                <w:b/>
                <w:bCs/>
                <w:sz w:val="22"/>
              </w:rPr>
              <w:lastRenderedPageBreak/>
              <w:t>Hypothesis (Quantitative) 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481932A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96CF7" w14:textId="6264C74E" w:rsidR="00224D63" w:rsidRPr="00224D63" w:rsidRDefault="00F871ED" w:rsidP="00BB111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lastRenderedPageBreak/>
              <w:t xml:space="preserve">The hypothesis was that a CAUTI prevention bundle </w:t>
            </w:r>
            <w:r>
              <w:rPr>
                <w:rFonts w:eastAsia="Times New Roman"/>
                <w:sz w:val="22"/>
              </w:rPr>
              <w:lastRenderedPageBreak/>
              <w:t>improves patient safety and hospital performance.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604F7" w14:textId="7656C2D4" w:rsidR="00224D63" w:rsidRPr="00224D63" w:rsidRDefault="00B9583E" w:rsidP="00B9583E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B9583E">
              <w:rPr>
                <w:rFonts w:eastAsia="Times New Roman"/>
                <w:sz w:val="22"/>
              </w:rPr>
              <w:lastRenderedPageBreak/>
              <w:t xml:space="preserve">What are the effective strategies and interventions to </w:t>
            </w:r>
            <w:r w:rsidRPr="00B9583E">
              <w:rPr>
                <w:rFonts w:eastAsia="Times New Roman"/>
                <w:sz w:val="22"/>
              </w:rPr>
              <w:lastRenderedPageBreak/>
              <w:t>reduce catheter-associated urinary tract infections (CA-UTIs)</w:t>
            </w:r>
            <w:r>
              <w:rPr>
                <w:rFonts w:eastAsia="Times New Roman"/>
                <w:sz w:val="22"/>
              </w:rPr>
              <w:t xml:space="preserve"> in adult patients?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94B46" w14:textId="7579E836" w:rsidR="00224D63" w:rsidRPr="00224D63" w:rsidRDefault="00776358" w:rsidP="00776358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lastRenderedPageBreak/>
              <w:t xml:space="preserve">Does implementing bundled </w:t>
            </w:r>
            <w:r>
              <w:rPr>
                <w:rFonts w:eastAsia="Times New Roman"/>
                <w:sz w:val="22"/>
              </w:rPr>
              <w:lastRenderedPageBreak/>
              <w:t>CAUTI-prevention tools reduce CAUTI rates in the ICU?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9AA93" w14:textId="38228FC6" w:rsidR="00224D63" w:rsidRPr="00224D63" w:rsidRDefault="00BD38BA" w:rsidP="00BD38BA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lastRenderedPageBreak/>
              <w:t xml:space="preserve">What is the effect of implementing a healthcare workers educational </w:t>
            </w:r>
            <w:r>
              <w:rPr>
                <w:rFonts w:eastAsia="Times New Roman"/>
                <w:sz w:val="22"/>
              </w:rPr>
              <w:lastRenderedPageBreak/>
              <w:t>program and daily checklist for indwelling urinary catheter indications among critical patients on the incidences of CAUTIs?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9748B8" w:rsidRPr="00224D63" w14:paraId="556A5A89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7522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lastRenderedPageBreak/>
              <w:t>Purposes/Aim of Study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7CDAE" w14:textId="52326D04" w:rsidR="00224D63" w:rsidRPr="00224D63" w:rsidRDefault="00F871ED" w:rsidP="001B7925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The purpose was to </w:t>
            </w:r>
            <w:r w:rsidR="001B7925" w:rsidRPr="001B7925">
              <w:rPr>
                <w:rFonts w:eastAsia="Times New Roman"/>
                <w:szCs w:val="24"/>
              </w:rPr>
              <w:t xml:space="preserve">assess the frequency of urinary catheterization and occurrences of CAUTI before and after introducing a comprehensive </w:t>
            </w:r>
            <w:r w:rsidR="001B7925">
              <w:rPr>
                <w:rFonts w:eastAsia="Times New Roman"/>
                <w:szCs w:val="24"/>
              </w:rPr>
              <w:t xml:space="preserve">bundled </w:t>
            </w:r>
            <w:r w:rsidR="001B7925" w:rsidRPr="001B7925">
              <w:rPr>
                <w:rFonts w:eastAsia="Times New Roman"/>
                <w:szCs w:val="24"/>
              </w:rPr>
              <w:t>intervention.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A5D6F" w14:textId="0A573881" w:rsidR="009A620E" w:rsidRPr="009A620E" w:rsidRDefault="00224D63" w:rsidP="009A620E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 w:rsidR="009A620E">
              <w:rPr>
                <w:rFonts w:eastAsia="Times New Roman"/>
                <w:sz w:val="22"/>
              </w:rPr>
              <w:t>To provide</w:t>
            </w:r>
            <w:r w:rsidR="009A620E" w:rsidRPr="009A620E">
              <w:rPr>
                <w:rFonts w:eastAsia="Times New Roman"/>
                <w:sz w:val="22"/>
              </w:rPr>
              <w:t xml:space="preserve"> a broad perspective on urinary catheterization, its link to urinary tract infections (UTIs), and preventive measures</w:t>
            </w:r>
            <w:r w:rsidR="009A620E">
              <w:rPr>
                <w:rFonts w:eastAsia="Times New Roman"/>
                <w:sz w:val="22"/>
              </w:rPr>
              <w:t>.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F4145" w14:textId="6ED1DF3F" w:rsidR="00224D63" w:rsidRPr="00224D63" w:rsidRDefault="00621D32" w:rsidP="00621D32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The aim was to decrease CAUTIs by 10% to 20%.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7B4A8" w14:textId="489EDF1D" w:rsidR="00224D63" w:rsidRPr="00224D63" w:rsidRDefault="00F871ED" w:rsidP="00F871ED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The purpose of the study was to reduce the incidences of CAUTIs.</w:t>
            </w:r>
            <w:r w:rsidRPr="00224D63">
              <w:rPr>
                <w:rFonts w:eastAsia="Times New Roman"/>
                <w:sz w:val="22"/>
              </w:rPr>
              <w:t> 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9748B8" w:rsidRPr="00224D63" w14:paraId="746D58D4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01AE0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Design (Type of Quantitative, or Type of Qualitative)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6B3ECCD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03DD3" w14:textId="38612748" w:rsidR="00224D63" w:rsidRPr="00224D63" w:rsidRDefault="007921DE" w:rsidP="007921DE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Retrospective review design of q</w:t>
            </w:r>
            <w:r w:rsidR="00AF1CB3">
              <w:rPr>
                <w:rFonts w:eastAsia="Times New Roman"/>
                <w:sz w:val="22"/>
              </w:rPr>
              <w:t>uantitative.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0C130" w14:textId="0F1A67D1" w:rsidR="00224D63" w:rsidRPr="00224D63" w:rsidRDefault="00467DB3" w:rsidP="00467DB3">
            <w:pPr>
              <w:tabs>
                <w:tab w:val="left" w:pos="240"/>
                <w:tab w:val="center" w:pos="826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Qualitative design.</w:t>
            </w:r>
            <w:r>
              <w:rPr>
                <w:rFonts w:eastAsia="Times New Roman"/>
                <w:sz w:val="22"/>
              </w:rPr>
              <w:tab/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019BE" w14:textId="73F48B61" w:rsidR="00224D63" w:rsidRPr="00224D63" w:rsidRDefault="00467DB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Qualitative design.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8568D" w14:textId="0B3397AF" w:rsidR="00224D63" w:rsidRPr="00224D63" w:rsidRDefault="007921DE" w:rsidP="007921DE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Quasi-experimental design of quantitative</w:t>
            </w:r>
            <w:r w:rsidR="00467DB3">
              <w:rPr>
                <w:rFonts w:eastAsia="Times New Roman"/>
                <w:sz w:val="22"/>
              </w:rPr>
              <w:t>.</w:t>
            </w:r>
          </w:p>
        </w:tc>
      </w:tr>
      <w:tr w:rsidR="009748B8" w:rsidRPr="00224D63" w14:paraId="1644B8EE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5B5A7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Setting/Sample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6A468C3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6CB04" w14:textId="77777777" w:rsidR="00224D63" w:rsidRDefault="00964227" w:rsidP="00AF1CB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</w:t>
            </w:r>
            <w:r w:rsidRPr="00964227">
              <w:rPr>
                <w:rFonts w:eastAsia="Times New Roman"/>
                <w:szCs w:val="24"/>
              </w:rPr>
              <w:t>n urban, level I trauma center</w:t>
            </w:r>
            <w:r>
              <w:rPr>
                <w:rFonts w:eastAsia="Times New Roman"/>
                <w:szCs w:val="24"/>
              </w:rPr>
              <w:t>.</w:t>
            </w:r>
          </w:p>
          <w:p w14:paraId="379CEB4C" w14:textId="77777777" w:rsidR="00964227" w:rsidRPr="00964227" w:rsidRDefault="00964227" w:rsidP="0096422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964227">
              <w:rPr>
                <w:rFonts w:eastAsia="Times New Roman"/>
                <w:szCs w:val="24"/>
              </w:rPr>
              <w:t>A combined total of 6,236 patients were involved, with 5,003 patients included in the pre-intervention period and 1,233 patients in the post-intervention period.</w:t>
            </w:r>
          </w:p>
          <w:p w14:paraId="19FB9808" w14:textId="77777777" w:rsidR="00964227" w:rsidRPr="00964227" w:rsidRDefault="00964227" w:rsidP="0096422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  <w:p w14:paraId="64042114" w14:textId="77777777" w:rsidR="00964227" w:rsidRPr="00964227" w:rsidRDefault="00964227" w:rsidP="0096422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  <w:p w14:paraId="0D75E29F" w14:textId="77777777" w:rsidR="00964227" w:rsidRPr="00964227" w:rsidRDefault="00964227" w:rsidP="0096422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  <w:p w14:paraId="7E83A5E1" w14:textId="77777777" w:rsidR="00964227" w:rsidRPr="00964227" w:rsidRDefault="00964227" w:rsidP="0096422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  <w:p w14:paraId="2F7E6EA1" w14:textId="7CAD5DDC" w:rsidR="00964227" w:rsidRPr="00224D63" w:rsidRDefault="00964227" w:rsidP="00AF1CB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7AFE7" w14:textId="7D938035" w:rsidR="00573B6A" w:rsidRDefault="00573B6A" w:rsidP="00573B6A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573B6A">
              <w:rPr>
                <w:rFonts w:eastAsia="Times New Roman"/>
                <w:sz w:val="22"/>
              </w:rPr>
              <w:t xml:space="preserve">A rapid evidence analysis was </w:t>
            </w:r>
            <w:r w:rsidR="00477301">
              <w:rPr>
                <w:rFonts w:eastAsia="Times New Roman"/>
                <w:sz w:val="22"/>
              </w:rPr>
              <w:t>conducted</w:t>
            </w:r>
            <w:r w:rsidRPr="00573B6A">
              <w:rPr>
                <w:rFonts w:eastAsia="Times New Roman"/>
                <w:sz w:val="22"/>
              </w:rPr>
              <w:t xml:space="preserve"> in the Medline (via Ovid) and the Cochrane Library</w:t>
            </w:r>
            <w:r>
              <w:rPr>
                <w:rFonts w:eastAsia="Times New Roman"/>
                <w:sz w:val="22"/>
              </w:rPr>
              <w:t>.</w:t>
            </w:r>
          </w:p>
          <w:p w14:paraId="5C1267F6" w14:textId="77777777" w:rsidR="00224D63" w:rsidRDefault="00573B6A" w:rsidP="0047730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59 studies </w:t>
            </w:r>
            <w:r w:rsidR="00477301">
              <w:rPr>
                <w:rFonts w:eastAsia="Times New Roman"/>
                <w:sz w:val="22"/>
              </w:rPr>
              <w:t>relevant to CAUTIs.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  <w:p w14:paraId="2066DD00" w14:textId="1C113B08" w:rsidR="00450B83" w:rsidRPr="00224D63" w:rsidRDefault="00450B83" w:rsidP="0047730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1B33C" w14:textId="77777777" w:rsidR="00224D63" w:rsidRDefault="00621D32" w:rsidP="00621D32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The setting was a 487-bed safety-net hospital</w:t>
            </w:r>
            <w:r w:rsidR="00900F6F">
              <w:rPr>
                <w:rFonts w:eastAsia="Times New Roman"/>
                <w:sz w:val="22"/>
              </w:rPr>
              <w:t>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  <w:p w14:paraId="2538F98E" w14:textId="3D38D7BC" w:rsidR="00900F6F" w:rsidRPr="00224D63" w:rsidRDefault="00900F6F" w:rsidP="00621D32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Sample used was the CAUTI taskforce comprising of </w:t>
            </w:r>
            <w:r w:rsidR="00F354FF" w:rsidRPr="00F354FF">
              <w:rPr>
                <w:rFonts w:eastAsia="Times New Roman"/>
                <w:sz w:val="22"/>
              </w:rPr>
              <w:t>ICU nurse managers, ICU nurse educators, urologists and intensivists.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585F" w14:textId="77777777" w:rsidR="00964227" w:rsidRDefault="00964227" w:rsidP="00964227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The setting was a nine-bed general intensive care unit of a tertiary-care hospital.</w:t>
            </w:r>
          </w:p>
          <w:p w14:paraId="15CA8B0A" w14:textId="056630E6" w:rsidR="00224D63" w:rsidRPr="00224D63" w:rsidRDefault="00964227" w:rsidP="0096422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The sample entailed critical patients admitted in the general intensive care unit. </w:t>
            </w:r>
            <w:r w:rsidRPr="00224D63">
              <w:rPr>
                <w:rFonts w:eastAsia="Times New Roman"/>
                <w:sz w:val="22"/>
              </w:rPr>
              <w:t> 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9748B8" w:rsidRPr="00224D63" w14:paraId="191BE5B5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7421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Methods: Intervention/Instruments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B2EB4E9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E99C8" w14:textId="77777777" w:rsidR="00224D63" w:rsidRDefault="00C773D7" w:rsidP="00C773D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C773D7">
              <w:rPr>
                <w:rFonts w:eastAsia="Times New Roman"/>
                <w:szCs w:val="24"/>
              </w:rPr>
              <w:t xml:space="preserve">The study employed a retrospective cohort </w:t>
            </w:r>
            <w:r>
              <w:rPr>
                <w:rFonts w:eastAsia="Times New Roman"/>
                <w:szCs w:val="24"/>
              </w:rPr>
              <w:t>method.</w:t>
            </w:r>
          </w:p>
          <w:p w14:paraId="03751AC7" w14:textId="77777777" w:rsidR="00C773D7" w:rsidRPr="00C773D7" w:rsidRDefault="00C773D7" w:rsidP="00C773D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C773D7">
              <w:rPr>
                <w:rFonts w:eastAsia="Times New Roman"/>
                <w:szCs w:val="24"/>
              </w:rPr>
              <w:t>A multidisciplinary team developed a bundled approach to target factors contributing to CAUTIs.</w:t>
            </w:r>
          </w:p>
          <w:p w14:paraId="3E90E6C3" w14:textId="77777777" w:rsidR="00C773D7" w:rsidRPr="00C773D7" w:rsidRDefault="00C773D7" w:rsidP="00C773D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C773D7">
              <w:rPr>
                <w:rFonts w:eastAsia="Times New Roman"/>
                <w:szCs w:val="24"/>
              </w:rPr>
              <w:t>Nurse-led rounds were conducted in the intensive care unit (ICU) to reinforce appropriate catheter use, maintenance, and early discontinuation.</w:t>
            </w:r>
          </w:p>
          <w:p w14:paraId="57F18F98" w14:textId="77777777" w:rsidR="00C773D7" w:rsidRPr="00C773D7" w:rsidRDefault="00C773D7" w:rsidP="00C773D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C773D7">
              <w:rPr>
                <w:rFonts w:eastAsia="Times New Roman"/>
                <w:szCs w:val="24"/>
              </w:rPr>
              <w:t>A diagnosis algorithm was created for broad education and supplementing bedside rounds.</w:t>
            </w:r>
          </w:p>
          <w:p w14:paraId="39DF1899" w14:textId="691EA25E" w:rsidR="00C773D7" w:rsidRPr="00224D63" w:rsidRDefault="00C773D7" w:rsidP="00C773D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C773D7">
              <w:rPr>
                <w:rFonts w:eastAsia="Times New Roman"/>
                <w:szCs w:val="24"/>
              </w:rPr>
              <w:t>Practices included caregiver engagement, optimization of insertion and maintenance techniques, prospective audits, and emphasis on early discontinuation.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08E54" w14:textId="492B4233" w:rsidR="00224D63" w:rsidRDefault="00477301" w:rsidP="0047730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A qualitative systematic review. 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  <w:p w14:paraId="13D775F6" w14:textId="0690A0AB" w:rsidR="00450B83" w:rsidRDefault="00450B83" w:rsidP="0047730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450B83">
              <w:rPr>
                <w:rFonts w:eastAsia="Times New Roman"/>
                <w:sz w:val="22"/>
              </w:rPr>
              <w:t>Only randomized trials and systematic reviews were included in the analysis.</w:t>
            </w:r>
          </w:p>
          <w:p w14:paraId="757065F5" w14:textId="37F3CC6A" w:rsidR="00450B83" w:rsidRDefault="008A6A97" w:rsidP="0047730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Interventions were </w:t>
            </w:r>
            <w:r w:rsidRPr="008A6A97">
              <w:rPr>
                <w:rFonts w:eastAsia="Times New Roman"/>
                <w:sz w:val="22"/>
              </w:rPr>
              <w:t>implementing either daily scheduled assessments or stop orders as safe measures to reduce the duration of unjustified urinary catheterization in hospitalized individuals.</w:t>
            </w:r>
          </w:p>
          <w:p w14:paraId="3EBF8A23" w14:textId="5820DAA3" w:rsidR="00450B83" w:rsidRPr="00224D63" w:rsidRDefault="00450B83" w:rsidP="0047730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1A7D2" w14:textId="77777777" w:rsidR="00224D63" w:rsidRDefault="00F354FF" w:rsidP="00F354FF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The study used the PDSA cycle method to introduce strategies that can mitigate CAUTIs.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  <w:p w14:paraId="55233169" w14:textId="2FDCDC56" w:rsidR="00F354FF" w:rsidRPr="00224D63" w:rsidRDefault="00F354FF" w:rsidP="00F354F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Instruments us</w:t>
            </w:r>
            <w:r w:rsidR="00164B25">
              <w:rPr>
                <w:rFonts w:eastAsia="Times New Roman"/>
                <w:sz w:val="22"/>
              </w:rPr>
              <w:t xml:space="preserve">ed included standard run chart and </w:t>
            </w:r>
            <w:r w:rsidR="00164B25" w:rsidRPr="00164B25">
              <w:rPr>
                <w:rFonts w:eastAsia="Times New Roman"/>
                <w:sz w:val="22"/>
              </w:rPr>
              <w:t>statistical process control chart</w:t>
            </w:r>
            <w:r w:rsidR="00164B25">
              <w:rPr>
                <w:rFonts w:eastAsia="Times New Roman"/>
                <w:sz w:val="22"/>
              </w:rPr>
              <w:t>.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EA560" w14:textId="77777777" w:rsidR="00964227" w:rsidRDefault="00964227" w:rsidP="00964227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A quasi-experimental study.</w:t>
            </w:r>
          </w:p>
          <w:p w14:paraId="422B7B09" w14:textId="44DB3AAD" w:rsidR="00224D63" w:rsidRPr="00224D63" w:rsidRDefault="00964227" w:rsidP="0096422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Interventions were </w:t>
            </w:r>
            <w:r w:rsidRPr="00F43749">
              <w:rPr>
                <w:rFonts w:eastAsia="Times New Roman"/>
                <w:sz w:val="22"/>
              </w:rPr>
              <w:t xml:space="preserve">a daily checklist to evaluate </w:t>
            </w:r>
            <w:r w:rsidRPr="00763CA4">
              <w:rPr>
                <w:rFonts w:eastAsia="Times New Roman"/>
                <w:sz w:val="22"/>
              </w:rPr>
              <w:t>insertion and maintenance of indwelling urinary catheters</w:t>
            </w:r>
            <w:r w:rsidRPr="00224D63">
              <w:rPr>
                <w:rFonts w:eastAsia="Times New Roman"/>
                <w:sz w:val="22"/>
              </w:rPr>
              <w:t> </w:t>
            </w:r>
            <w:r>
              <w:rPr>
                <w:rFonts w:eastAsia="Times New Roman"/>
                <w:sz w:val="22"/>
              </w:rPr>
              <w:t>and an educational program for the healthcare providers.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9748B8" w:rsidRPr="00224D63" w14:paraId="20F0CA17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817A2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Analysis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0EBF9B9D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E0A77" w14:textId="77777777" w:rsidR="00224D63" w:rsidRDefault="00455C11" w:rsidP="005A21DA">
            <w:pPr>
              <w:tabs>
                <w:tab w:val="left" w:pos="405"/>
                <w:tab w:val="center" w:pos="930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</w:t>
            </w:r>
            <w:r w:rsidRPr="00455C11">
              <w:rPr>
                <w:rFonts w:eastAsia="Times New Roman"/>
                <w:szCs w:val="24"/>
              </w:rPr>
              <w:t>he analysis involved a combination of descriptive statistics, inferential statistics, and subgroup analyses to evaluate the impact of the bundled intervention on catheter use, CAUTI rates, and other relevant outcomes.</w:t>
            </w:r>
          </w:p>
          <w:p w14:paraId="2DE384E4" w14:textId="77777777" w:rsidR="00455C11" w:rsidRPr="00455C11" w:rsidRDefault="00455C11" w:rsidP="00455C11">
            <w:pPr>
              <w:tabs>
                <w:tab w:val="left" w:pos="405"/>
                <w:tab w:val="center" w:pos="930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455C11">
              <w:rPr>
                <w:rFonts w:eastAsia="Times New Roman"/>
                <w:szCs w:val="24"/>
              </w:rPr>
              <w:t>Continuous data were assessed for parametric assumptions using the Shapiro-Wilk test.</w:t>
            </w:r>
          </w:p>
          <w:p w14:paraId="0C6DDF7F" w14:textId="77777777" w:rsidR="00455C11" w:rsidRPr="00455C11" w:rsidRDefault="00455C11" w:rsidP="00455C11">
            <w:pPr>
              <w:tabs>
                <w:tab w:val="left" w:pos="405"/>
                <w:tab w:val="center" w:pos="930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455C11">
              <w:rPr>
                <w:rFonts w:eastAsia="Times New Roman"/>
                <w:szCs w:val="24"/>
              </w:rPr>
              <w:t>Parametric means and nonparametric means and medians were compared using the Student t test or Wilcoxon rank-sum test, respectively.</w:t>
            </w:r>
          </w:p>
          <w:p w14:paraId="67C18FE1" w14:textId="6E23B53E" w:rsidR="00455C11" w:rsidRPr="00224D63" w:rsidRDefault="00455C11" w:rsidP="00455C11">
            <w:pPr>
              <w:tabs>
                <w:tab w:val="left" w:pos="405"/>
                <w:tab w:val="center" w:pos="930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455C11">
              <w:rPr>
                <w:rFonts w:eastAsia="Times New Roman"/>
                <w:szCs w:val="24"/>
              </w:rPr>
              <w:t>The incidence rate ratio was calculated for the CAUTI rate to track changes over the intervention period.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92FD0" w14:textId="3514A359" w:rsidR="00D1439E" w:rsidRDefault="00D1439E" w:rsidP="00D1439E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The review involved a rapid evidence analysis of 59 systematic and randomized control trial studies.</w:t>
            </w:r>
          </w:p>
          <w:p w14:paraId="07B98D46" w14:textId="77777777" w:rsidR="00224D63" w:rsidRPr="00224D63" w:rsidRDefault="00224D63" w:rsidP="00D1439E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D646F" w14:textId="2F426766" w:rsidR="00224D63" w:rsidRPr="00224D63" w:rsidRDefault="008B6E20" w:rsidP="008B6E20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Notably,</w:t>
            </w:r>
            <w:r w:rsidR="00224D63" w:rsidRPr="00224D63">
              <w:rPr>
                <w:rFonts w:eastAsia="Times New Roman"/>
                <w:sz w:val="22"/>
              </w:rPr>
              <w:t> </w:t>
            </w:r>
            <w:r w:rsidRPr="008B6E20">
              <w:rPr>
                <w:rFonts w:eastAsia="Times New Roman"/>
                <w:sz w:val="22"/>
              </w:rPr>
              <w:t>the analysis was conducted in a phased manner, starting with run charts for initial evaluation and transitioning to more advanced SPC charts, specifically a U-chart, as the dataset grew. The use of statistical control limits in SPC charts allowed for a more robust assessment of the impact of interventions and the identification of factors contributing to variations in CAUTI rates.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B2E465" w14:textId="79BEAE9E" w:rsidR="00224D63" w:rsidRPr="00224D63" w:rsidRDefault="00C773D7" w:rsidP="00C773D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5A21DA">
              <w:rPr>
                <w:rFonts w:eastAsia="Times New Roman"/>
                <w:sz w:val="22"/>
              </w:rPr>
              <w:t>The study employed statistical analyses, including descriptive analysis</w:t>
            </w:r>
            <w:r>
              <w:t xml:space="preserve"> </w:t>
            </w:r>
            <w:r w:rsidRPr="003F22DF">
              <w:rPr>
                <w:rFonts w:eastAsia="Times New Roman"/>
                <w:sz w:val="22"/>
              </w:rPr>
              <w:t>of data on catheter utilization and CAUTI.</w:t>
            </w:r>
            <w:r>
              <w:rPr>
                <w:rFonts w:eastAsia="Times New Roman"/>
                <w:sz w:val="22"/>
              </w:rPr>
              <w:t xml:space="preserve">  C</w:t>
            </w:r>
            <w:r w:rsidRPr="005A21DA">
              <w:rPr>
                <w:rFonts w:eastAsia="Times New Roman"/>
                <w:sz w:val="22"/>
              </w:rPr>
              <w:t>alculation of means, percent</w:t>
            </w:r>
            <w:r>
              <w:rPr>
                <w:rFonts w:eastAsia="Times New Roman"/>
                <w:sz w:val="22"/>
              </w:rPr>
              <w:t>ages, and incidence rates, T</w:t>
            </w:r>
            <w:r w:rsidRPr="005A21DA">
              <w:rPr>
                <w:rFonts w:eastAsia="Times New Roman"/>
                <w:sz w:val="22"/>
              </w:rPr>
              <w:t>ime-series data analysis using smoothing curves.</w:t>
            </w:r>
            <w:r w:rsidRPr="00224D63">
              <w:rPr>
                <w:rFonts w:eastAsia="Times New Roman"/>
                <w:sz w:val="22"/>
              </w:rPr>
              <w:t> 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455C11" w:rsidRPr="00224D63" w14:paraId="32C7292D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858E33" w14:textId="7777777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Key Findings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EAD1D0F" w14:textId="7777777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F1C3C" w14:textId="77777777" w:rsidR="00F26F51" w:rsidRPr="00F26F51" w:rsidRDefault="00F26F51" w:rsidP="00F26F51">
            <w:pPr>
              <w:rPr>
                <w:rFonts w:eastAsia="Times New Roman"/>
                <w:szCs w:val="24"/>
              </w:rPr>
            </w:pPr>
            <w:r w:rsidRPr="00F26F51">
              <w:rPr>
                <w:rFonts w:eastAsia="Times New Roman"/>
                <w:szCs w:val="24"/>
              </w:rPr>
              <w:t>The study observed a notable decrease in the CAUTI rate after the implementation of the bundled intervention.</w:t>
            </w:r>
          </w:p>
          <w:p w14:paraId="42409CD2" w14:textId="24BB1A7E" w:rsidR="00F26F51" w:rsidRDefault="00F26F51" w:rsidP="00F26F51">
            <w:pPr>
              <w:rPr>
                <w:rFonts w:eastAsia="Times New Roman"/>
                <w:szCs w:val="24"/>
              </w:rPr>
            </w:pPr>
            <w:r w:rsidRPr="00F26F51">
              <w:rPr>
                <w:rFonts w:eastAsia="Times New Roman"/>
                <w:szCs w:val="24"/>
              </w:rPr>
              <w:t>The CAUTI rate declined by over one-third, with the incidence rate ratio indicating a reduction from 4.07 in the pre-intervention period to 2.56 in the post-intervention period.</w:t>
            </w:r>
          </w:p>
          <w:p w14:paraId="2E3F194E" w14:textId="77777777" w:rsidR="00455C11" w:rsidRPr="00F26F51" w:rsidRDefault="00455C11" w:rsidP="00F26F51">
            <w:pPr>
              <w:rPr>
                <w:rFonts w:eastAsia="Times New Roman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00C341" w14:textId="126C8359" w:rsidR="00455C11" w:rsidRPr="00D77F3A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I</w:t>
            </w:r>
            <w:r w:rsidRPr="00D77F3A">
              <w:rPr>
                <w:rFonts w:eastAsia="Times New Roman"/>
                <w:szCs w:val="24"/>
              </w:rPr>
              <w:t>mplementing various interventions and measures can effectively lower the incidence of CA-UTIs, including:</w:t>
            </w:r>
          </w:p>
          <w:p w14:paraId="324F7280" w14:textId="77777777" w:rsidR="00455C11" w:rsidRPr="00D77F3A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D77F3A">
              <w:rPr>
                <w:rFonts w:eastAsia="Times New Roman"/>
                <w:szCs w:val="24"/>
              </w:rPr>
              <w:t>Reducing the number of catheters in place.</w:t>
            </w:r>
          </w:p>
          <w:p w14:paraId="2CE862D5" w14:textId="77777777" w:rsidR="00455C11" w:rsidRPr="00D77F3A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D77F3A">
              <w:rPr>
                <w:rFonts w:eastAsia="Times New Roman"/>
                <w:szCs w:val="24"/>
              </w:rPr>
              <w:t>Removing catheters at their earliest clinically appropriate time.</w:t>
            </w:r>
          </w:p>
          <w:p w14:paraId="6A24400C" w14:textId="77777777" w:rsidR="00455C11" w:rsidRPr="00D77F3A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D77F3A">
              <w:rPr>
                <w:rFonts w:eastAsia="Times New Roman"/>
                <w:szCs w:val="24"/>
              </w:rPr>
              <w:t>Reducing the number of unnecessary catheters inserted.</w:t>
            </w:r>
          </w:p>
          <w:p w14:paraId="0BB9EED2" w14:textId="77777777" w:rsidR="00455C11" w:rsidRPr="00D77F3A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D77F3A">
              <w:rPr>
                <w:rFonts w:eastAsia="Times New Roman"/>
                <w:szCs w:val="24"/>
              </w:rPr>
              <w:t>Decreasing antibiotic administration unless clinically needed.</w:t>
            </w:r>
          </w:p>
          <w:p w14:paraId="43CCEBFF" w14:textId="770B9553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D77F3A">
              <w:rPr>
                <w:rFonts w:eastAsia="Times New Roman"/>
                <w:szCs w:val="24"/>
              </w:rPr>
              <w:t>Raising awareness and providing training for nursing personnel on the latest guidelines.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9400C" w14:textId="77777777" w:rsidR="00455C11" w:rsidRDefault="00455C11" w:rsidP="00455C1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CAUTI bundled care reduces the high rates of CAUTIs and indwelling Foley catheter utilization.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78668F5" w14:textId="783F3D46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702AF" w14:textId="77777777" w:rsidR="00455C11" w:rsidRPr="003F22DF" w:rsidRDefault="00455C11" w:rsidP="00455C1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3F22DF">
              <w:rPr>
                <w:rFonts w:eastAsia="Times New Roman"/>
                <w:sz w:val="22"/>
              </w:rPr>
              <w:t>The implementation of the protocol resulted in a substantial decrease in the utilization of indwelling urinary catheters over the four study phases.</w:t>
            </w:r>
            <w:r>
              <w:rPr>
                <w:rFonts w:eastAsia="Times New Roman"/>
                <w:sz w:val="22"/>
              </w:rPr>
              <w:t xml:space="preserve"> Per se, the</w:t>
            </w:r>
            <w:r w:rsidRPr="003F22DF">
              <w:rPr>
                <w:rFonts w:eastAsia="Times New Roman"/>
                <w:sz w:val="22"/>
              </w:rPr>
              <w:t xml:space="preserve"> percentage of catheter utilization decreased from a mean of 74.6% in the baseline to 44.2% in the last phase.</w:t>
            </w:r>
          </w:p>
          <w:p w14:paraId="4E7EC938" w14:textId="77777777" w:rsidR="00455C11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3F22DF">
              <w:rPr>
                <w:rFonts w:eastAsia="Times New Roman"/>
                <w:szCs w:val="24"/>
              </w:rPr>
              <w:t>The number of CAUTI episodes decreased significantly ove</w:t>
            </w:r>
            <w:r>
              <w:rPr>
                <w:rFonts w:eastAsia="Times New Roman"/>
                <w:szCs w:val="24"/>
              </w:rPr>
              <w:t xml:space="preserve">r the four phases of the study. </w:t>
            </w:r>
            <w:r w:rsidRPr="003F22DF">
              <w:rPr>
                <w:rFonts w:eastAsia="Times New Roman"/>
                <w:szCs w:val="24"/>
              </w:rPr>
              <w:t>CAUTI incidence rate per 1000 catheter-days showed a notable reduction from 14.9 to 1.1 episodes from the beginning to the end of the study period.</w:t>
            </w:r>
          </w:p>
          <w:p w14:paraId="70FA3FE2" w14:textId="77777777" w:rsidR="00455C11" w:rsidRPr="00EC1F4E" w:rsidRDefault="00455C11" w:rsidP="00455C11">
            <w:pPr>
              <w:rPr>
                <w:rFonts w:eastAsia="Times New Roman"/>
                <w:szCs w:val="24"/>
              </w:rPr>
            </w:pPr>
            <w:r w:rsidRPr="00EC1F4E">
              <w:rPr>
                <w:rFonts w:eastAsia="Times New Roman"/>
                <w:szCs w:val="24"/>
              </w:rPr>
              <w:t>Healthcare workers' education</w:t>
            </w:r>
            <w:r>
              <w:rPr>
                <w:rFonts w:eastAsia="Times New Roman"/>
                <w:szCs w:val="24"/>
              </w:rPr>
              <w:t>al program</w:t>
            </w:r>
            <w:r w:rsidRPr="00EC1F4E">
              <w:rPr>
                <w:rFonts w:eastAsia="Times New Roman"/>
                <w:szCs w:val="24"/>
              </w:rPr>
              <w:t xml:space="preserve"> and the daily evaluation of indwelling urinary catheter indications were identified as highly effective in the long-term reduction of catheter utilization rates and CAUTI incidence.</w:t>
            </w:r>
          </w:p>
          <w:p w14:paraId="6A75583E" w14:textId="00B27033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455C11" w:rsidRPr="00224D63" w14:paraId="2CFEB5E3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37758" w14:textId="7777777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Recommendations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57863632" w14:textId="7777777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3F16E" w14:textId="115C9635" w:rsidR="00455C11" w:rsidRPr="0055060C" w:rsidRDefault="00E21D61" w:rsidP="00455C1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Further research should be conducted to evaluate the ability of a clinical pharmacist</w:t>
            </w:r>
            <w:r w:rsidR="004037FA">
              <w:rPr>
                <w:rFonts w:eastAsia="Times New Roman"/>
                <w:sz w:val="22"/>
              </w:rPr>
              <w:t xml:space="preserve"> to influence CAUTI rates.</w:t>
            </w:r>
          </w:p>
          <w:p w14:paraId="3B01F04A" w14:textId="77777777" w:rsidR="00455C11" w:rsidRPr="0055060C" w:rsidRDefault="00455C11" w:rsidP="00455C1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  <w:p w14:paraId="546C0CDD" w14:textId="77777777" w:rsidR="00455C11" w:rsidRPr="0055060C" w:rsidRDefault="00455C11" w:rsidP="00455C1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  <w:p w14:paraId="52DA0417" w14:textId="7777777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BBDBA" w14:textId="77D558B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Additional research should be conducted to understand whether limiting catheter use and limiting the duration of catheterization curtail incidences of CAUTIs.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A341A" w14:textId="59E4AB09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The emphasis on t</w:t>
            </w:r>
            <w:r w:rsidRPr="0094385A">
              <w:rPr>
                <w:rFonts w:eastAsia="Times New Roman"/>
                <w:szCs w:val="24"/>
              </w:rPr>
              <w:t>argeted education efforts and the use of standardized checklists and protocols as low-cost and high-yield strategies provides insights for other healthcare institutions looking to implement effective CAUTI prevention measures.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033A1" w14:textId="77777777" w:rsidR="00F26F51" w:rsidRPr="0055060C" w:rsidRDefault="00F26F51" w:rsidP="00F26F5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Future research is required to examine</w:t>
            </w:r>
            <w:r w:rsidRPr="0055060C">
              <w:rPr>
                <w:rFonts w:eastAsia="Times New Roman"/>
                <w:sz w:val="22"/>
              </w:rPr>
              <w:t xml:space="preserve"> the application of the identical protocol in different hospitals or regions is crucial to evaluate its potential feasibility for nationwide</w:t>
            </w:r>
            <w:r>
              <w:rPr>
                <w:rFonts w:eastAsia="Times New Roman"/>
                <w:sz w:val="22"/>
              </w:rPr>
              <w:t xml:space="preserve"> and worldwide</w:t>
            </w:r>
            <w:r w:rsidRPr="0055060C">
              <w:rPr>
                <w:rFonts w:eastAsia="Times New Roman"/>
                <w:sz w:val="22"/>
              </w:rPr>
              <w:t xml:space="preserve"> implementation.</w:t>
            </w:r>
          </w:p>
          <w:p w14:paraId="4EF97351" w14:textId="77777777" w:rsidR="00F26F51" w:rsidRPr="0055060C" w:rsidRDefault="00F26F51" w:rsidP="00F26F5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  <w:p w14:paraId="777DB7BD" w14:textId="77777777" w:rsidR="00455C11" w:rsidRPr="00224D63" w:rsidRDefault="00455C11" w:rsidP="00455C11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</w:tr>
      <w:tr w:rsidR="00455C11" w:rsidRPr="00224D63" w14:paraId="275DBC2B" w14:textId="77777777" w:rsidTr="00455C11">
        <w:trPr>
          <w:trHeight w:val="52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294926B" w14:textId="7777777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Explanation of How the Article Supports EBP/Capstone Project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58C1DB40" w14:textId="77777777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200511ED" w14:textId="6E27406E" w:rsidR="00455C11" w:rsidRPr="00224D63" w:rsidRDefault="001D50F5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1D50F5">
              <w:rPr>
                <w:rFonts w:eastAsia="Times New Roman"/>
                <w:szCs w:val="24"/>
              </w:rPr>
              <w:t>The study provides evidence of the effectiveness of a bundled intervention in reducing urinary catheter use and CAUTI rates. This evidence can serve as a foundation for implementing a similar CAUTI bundle in adult oncology patients with indwelling catheters.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16F6FB4F" w14:textId="77777777" w:rsidR="00455C11" w:rsidRPr="00C02E45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C02E45">
              <w:rPr>
                <w:rFonts w:eastAsia="Times New Roman"/>
                <w:szCs w:val="24"/>
              </w:rPr>
              <w:t>The article suggests various preventive measures, including reducing the number of catheters, removing them at the earliest clinically appropriate time, and decreasing unnecessary antibiotic administration.</w:t>
            </w:r>
          </w:p>
          <w:p w14:paraId="7D8D653F" w14:textId="1C13B86E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C02E45">
              <w:rPr>
                <w:rFonts w:eastAsia="Times New Roman"/>
                <w:szCs w:val="24"/>
              </w:rPr>
              <w:t>These preventive measures align with the goals of a CA-UTI bundle, providing a framework for comprehensive strategies to minimize the risk of infections in adult oncology patients with indwelling catheters.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4720BE9" w14:textId="09A7AEBC" w:rsidR="00455C11" w:rsidRPr="00224D63" w:rsidRDefault="00455C11" w:rsidP="00455C1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This article supports the capstone project as it </w:t>
            </w:r>
            <w:r w:rsidRPr="00AD5A88">
              <w:rPr>
                <w:rFonts w:eastAsia="Times New Roman"/>
                <w:sz w:val="22"/>
              </w:rPr>
              <w:t xml:space="preserve">provides a compelling example of a successful CAUTI reduction initiative that can inform and support the development and implementation of a CAUTI bundle protocol in adult oncology patients. The evidence-based, comprehensive, and data-driven strategies outlined in the article align with the goals of CAUTI prevention and can serve as a valuable reference for </w:t>
            </w:r>
            <w:r>
              <w:rPr>
                <w:rFonts w:eastAsia="Times New Roman"/>
                <w:sz w:val="22"/>
              </w:rPr>
              <w:t>the</w:t>
            </w:r>
            <w:r w:rsidRPr="00AD5A88">
              <w:rPr>
                <w:rFonts w:eastAsia="Times New Roman"/>
                <w:sz w:val="22"/>
              </w:rPr>
              <w:t xml:space="preserve"> Capstone project.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163FC463" w14:textId="6D93CC52" w:rsidR="00455C11" w:rsidRPr="00224D63" w:rsidRDefault="00F26F51" w:rsidP="00F26F5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</w:t>
            </w:r>
            <w:r w:rsidRPr="00DF1EBB">
              <w:rPr>
                <w:rFonts w:eastAsia="Times New Roman"/>
                <w:szCs w:val="24"/>
              </w:rPr>
              <w:t>he article serves as a supportive reference for the capstone project, offering evidence of successful protocol implementation, emphasizing healthcare worker education, and providing a model for long-term impact assessment, all of which are relevant to the goals of implementing a CAUTI bundle protocol for adult oncology patients with indwelling catheters.</w:t>
            </w:r>
            <w:r w:rsidR="00455C11" w:rsidRPr="00224D63">
              <w:rPr>
                <w:rFonts w:eastAsia="Times New Roman"/>
                <w:sz w:val="22"/>
              </w:rPr>
              <w:t> </w:t>
            </w:r>
          </w:p>
        </w:tc>
      </w:tr>
    </w:tbl>
    <w:p w14:paraId="52088BEC" w14:textId="500F7FB4" w:rsidR="00224D63" w:rsidRDefault="00224D63" w:rsidP="00224D63">
      <w:pPr>
        <w:spacing w:after="0"/>
        <w:textAlignment w:val="baseline"/>
        <w:rPr>
          <w:rFonts w:ascii="Calibri" w:eastAsia="Times New Roman" w:hAnsi="Calibri" w:cs="Calibri"/>
          <w:sz w:val="22"/>
        </w:rPr>
      </w:pPr>
      <w:r w:rsidRPr="00224D63">
        <w:rPr>
          <w:rFonts w:ascii="Calibri" w:eastAsia="Times New Roman" w:hAnsi="Calibri" w:cs="Calibri"/>
          <w:sz w:val="22"/>
        </w:rPr>
        <w:t> </w:t>
      </w:r>
    </w:p>
    <w:p w14:paraId="7DA2F3AE" w14:textId="6F6B4B80" w:rsidR="00224D63" w:rsidRDefault="00224D63" w:rsidP="00224D63">
      <w:pPr>
        <w:spacing w:after="0"/>
        <w:textAlignment w:val="baseline"/>
        <w:rPr>
          <w:rFonts w:ascii="Calibri" w:eastAsia="Times New Roman" w:hAnsi="Calibri" w:cs="Calibri"/>
          <w:sz w:val="22"/>
        </w:rPr>
      </w:pPr>
    </w:p>
    <w:p w14:paraId="023C5FEB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CECAF75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ascii="Calibri" w:eastAsia="Times New Roman" w:hAnsi="Calibri" w:cs="Calibri"/>
          <w:sz w:val="22"/>
        </w:rPr>
        <w:t>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985"/>
        <w:gridCol w:w="1984"/>
        <w:gridCol w:w="2268"/>
        <w:gridCol w:w="1839"/>
      </w:tblGrid>
      <w:tr w:rsidR="00224D63" w:rsidRPr="00224D63" w14:paraId="34F3FE01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F13E35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Criteria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090621AF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5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4B46E135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6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793A95A7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7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  <w:vAlign w:val="center"/>
            <w:hideMark/>
          </w:tcPr>
          <w:p w14:paraId="578C1AFB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Cs w:val="24"/>
              </w:rPr>
              <w:t>Article 8</w:t>
            </w:r>
            <w:r w:rsidRPr="00224D63">
              <w:rPr>
                <w:rFonts w:eastAsia="Times New Roman"/>
                <w:szCs w:val="24"/>
              </w:rPr>
              <w:t> </w:t>
            </w:r>
          </w:p>
        </w:tc>
      </w:tr>
      <w:tr w:rsidR="00224D63" w:rsidRPr="00224D63" w14:paraId="385AB1DE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438A5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Author, Journal (Peer-Reviewed), and 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12DDC1F9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Permalink or Working Link to Access Article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6067317E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E2298" w14:textId="7BF910B4" w:rsidR="00A03D53" w:rsidRDefault="0042443A" w:rsidP="00A03D53">
            <w:pPr>
              <w:rPr>
                <w:rFonts w:eastAsia="Times New Roman"/>
                <w:szCs w:val="24"/>
              </w:rPr>
            </w:pPr>
            <w:r w:rsidRPr="0042443A">
              <w:rPr>
                <w:rFonts w:eastAsia="Times New Roman"/>
                <w:szCs w:val="24"/>
              </w:rPr>
              <w:t>Soundaram</w:t>
            </w:r>
            <w:r>
              <w:rPr>
                <w:rFonts w:eastAsia="Times New Roman"/>
                <w:szCs w:val="24"/>
              </w:rPr>
              <w:t xml:space="preserve"> et al.</w:t>
            </w:r>
          </w:p>
          <w:p w14:paraId="1D02BA16" w14:textId="075D2AED" w:rsidR="0042443A" w:rsidRDefault="0042443A" w:rsidP="00A03D53">
            <w:pPr>
              <w:rPr>
                <w:rFonts w:eastAsia="Times New Roman"/>
                <w:iCs/>
                <w:szCs w:val="24"/>
              </w:rPr>
            </w:pPr>
            <w:r w:rsidRPr="0042443A">
              <w:rPr>
                <w:rFonts w:eastAsia="Times New Roman"/>
                <w:iCs/>
                <w:szCs w:val="24"/>
              </w:rPr>
              <w:t>Indian Jo</w:t>
            </w:r>
            <w:r>
              <w:rPr>
                <w:rFonts w:eastAsia="Times New Roman"/>
                <w:iCs/>
                <w:szCs w:val="24"/>
              </w:rPr>
              <w:t>urnal of Critical Care Medicine</w:t>
            </w:r>
            <w:r w:rsidRPr="0042443A">
              <w:rPr>
                <w:rFonts w:eastAsia="Times New Roman"/>
                <w:iCs/>
                <w:szCs w:val="24"/>
              </w:rPr>
              <w:t>: Peer-Reviewed, Official Publication of Indian Society of Critical Care Medicine</w:t>
            </w:r>
            <w:r w:rsidR="00983756">
              <w:rPr>
                <w:rFonts w:eastAsia="Times New Roman"/>
                <w:iCs/>
                <w:szCs w:val="24"/>
              </w:rPr>
              <w:t>.</w:t>
            </w:r>
          </w:p>
          <w:p w14:paraId="1C448078" w14:textId="31D1588A" w:rsidR="00983756" w:rsidRDefault="00983756" w:rsidP="00A03D53">
            <w:pPr>
              <w:rPr>
                <w:rFonts w:eastAsia="Times New Roman"/>
                <w:szCs w:val="24"/>
              </w:rPr>
            </w:pPr>
            <w:hyperlink r:id="rId14" w:history="1">
              <w:r w:rsidRPr="006D6895">
                <w:rPr>
                  <w:rStyle w:val="Hyperlink"/>
                  <w:rFonts w:eastAsia="Times New Roman"/>
                  <w:szCs w:val="24"/>
                </w:rPr>
                <w:t>https://doi.org/10.5005/jp-journals-10071-23473</w:t>
              </w:r>
            </w:hyperlink>
          </w:p>
          <w:p w14:paraId="46A2326B" w14:textId="77777777" w:rsidR="00983756" w:rsidRPr="0042443A" w:rsidRDefault="00983756" w:rsidP="00A03D53">
            <w:pPr>
              <w:rPr>
                <w:rFonts w:eastAsia="Times New Roman"/>
                <w:szCs w:val="24"/>
              </w:rPr>
            </w:pPr>
          </w:p>
          <w:p w14:paraId="3253A0B9" w14:textId="77777777" w:rsidR="00A03D53" w:rsidRPr="00A03D53" w:rsidRDefault="00A03D53" w:rsidP="00A03D53">
            <w:pPr>
              <w:rPr>
                <w:rFonts w:eastAsia="Times New Roman"/>
                <w:szCs w:val="24"/>
              </w:rPr>
            </w:pPr>
          </w:p>
          <w:p w14:paraId="1A38455E" w14:textId="7B619495" w:rsidR="00224D63" w:rsidRPr="00797F0D" w:rsidRDefault="00224D63" w:rsidP="00797F0D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0CD15" w14:textId="77777777" w:rsidR="00AC711B" w:rsidRDefault="00A03D53" w:rsidP="00A03D53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797F0D">
              <w:rPr>
                <w:rFonts w:eastAsia="Times New Roman"/>
                <w:sz w:val="22"/>
              </w:rPr>
              <w:t>Spencer</w:t>
            </w:r>
            <w:r w:rsidR="00AC711B">
              <w:rPr>
                <w:rFonts w:eastAsia="Times New Roman"/>
                <w:sz w:val="22"/>
              </w:rPr>
              <w:t xml:space="preserve"> et al.</w:t>
            </w:r>
            <w:r w:rsidRPr="00797F0D">
              <w:rPr>
                <w:rFonts w:eastAsia="Times New Roman"/>
                <w:sz w:val="22"/>
              </w:rPr>
              <w:t xml:space="preserve"> </w:t>
            </w:r>
          </w:p>
          <w:p w14:paraId="287BAC8B" w14:textId="16ED5FCC" w:rsidR="00A03D53" w:rsidRDefault="00A03D53" w:rsidP="00A03D53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AC711B">
              <w:rPr>
                <w:rFonts w:eastAsia="Times New Roman"/>
                <w:iCs/>
                <w:sz w:val="22"/>
              </w:rPr>
              <w:t xml:space="preserve">Journal of </w:t>
            </w:r>
            <w:proofErr w:type="spellStart"/>
            <w:r w:rsidRPr="00AC711B">
              <w:rPr>
                <w:rFonts w:eastAsia="Times New Roman"/>
                <w:iCs/>
                <w:sz w:val="22"/>
              </w:rPr>
              <w:t>Perianesthesia</w:t>
            </w:r>
            <w:proofErr w:type="spellEnd"/>
            <w:r w:rsidRPr="00AC711B">
              <w:rPr>
                <w:rFonts w:eastAsia="Times New Roman"/>
                <w:iCs/>
                <w:sz w:val="22"/>
              </w:rPr>
              <w:t xml:space="preserve"> Nursing: Official Journal of the American Society of </w:t>
            </w:r>
            <w:proofErr w:type="spellStart"/>
            <w:r w:rsidRPr="00AC711B">
              <w:rPr>
                <w:rFonts w:eastAsia="Times New Roman"/>
                <w:iCs/>
                <w:sz w:val="22"/>
              </w:rPr>
              <w:t>PeriAnesthesia</w:t>
            </w:r>
            <w:proofErr w:type="spellEnd"/>
            <w:r w:rsidRPr="00AC711B">
              <w:rPr>
                <w:rFonts w:eastAsia="Times New Roman"/>
                <w:iCs/>
                <w:sz w:val="22"/>
              </w:rPr>
              <w:t xml:space="preserve"> Nurses</w:t>
            </w:r>
            <w:r w:rsidRPr="00AC711B">
              <w:rPr>
                <w:rFonts w:eastAsia="Times New Roman"/>
                <w:sz w:val="22"/>
              </w:rPr>
              <w:t>, </w:t>
            </w:r>
            <w:r w:rsidRPr="00AC711B">
              <w:rPr>
                <w:rFonts w:eastAsia="Times New Roman"/>
                <w:iCs/>
                <w:sz w:val="22"/>
              </w:rPr>
              <w:t>34</w:t>
            </w:r>
            <w:r w:rsidRPr="00AC711B">
              <w:rPr>
                <w:rFonts w:eastAsia="Times New Roman"/>
                <w:sz w:val="22"/>
              </w:rPr>
              <w:t xml:space="preserve">(2), 394–402. </w:t>
            </w:r>
            <w:hyperlink r:id="rId15" w:history="1">
              <w:r w:rsidRPr="006D6895">
                <w:rPr>
                  <w:rStyle w:val="Hyperlink"/>
                  <w:rFonts w:eastAsia="Times New Roman"/>
                  <w:sz w:val="22"/>
                </w:rPr>
                <w:t>https://doi.org/10.1016/j.jopan.2018.07.002</w:t>
              </w:r>
            </w:hyperlink>
          </w:p>
          <w:p w14:paraId="7BC9D53A" w14:textId="7CBE381D" w:rsidR="00914523" w:rsidRPr="00914523" w:rsidRDefault="00914523" w:rsidP="00914523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D82D7" w14:textId="77777777" w:rsidR="000A5BE7" w:rsidRDefault="00A03D53" w:rsidP="00A03D53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914523">
              <w:rPr>
                <w:rFonts w:eastAsia="Times New Roman"/>
                <w:sz w:val="22"/>
              </w:rPr>
              <w:t>Tae</w:t>
            </w:r>
            <w:r w:rsidR="000A5BE7">
              <w:rPr>
                <w:rFonts w:eastAsia="Times New Roman"/>
                <w:sz w:val="22"/>
              </w:rPr>
              <w:t xml:space="preserve"> et al.</w:t>
            </w:r>
          </w:p>
          <w:p w14:paraId="0722DE71" w14:textId="1BCD9F85" w:rsidR="00A03D53" w:rsidRDefault="00A03D53" w:rsidP="00A03D53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914523">
              <w:rPr>
                <w:rFonts w:eastAsia="Times New Roman"/>
                <w:sz w:val="22"/>
              </w:rPr>
              <w:t> </w:t>
            </w:r>
            <w:r w:rsidRPr="000A5BE7">
              <w:rPr>
                <w:rFonts w:eastAsia="Times New Roman"/>
                <w:iCs/>
                <w:sz w:val="22"/>
              </w:rPr>
              <w:t>Investigative and clinical urology</w:t>
            </w:r>
            <w:r w:rsidRPr="000A5BE7">
              <w:rPr>
                <w:rFonts w:eastAsia="Times New Roman"/>
                <w:sz w:val="22"/>
              </w:rPr>
              <w:t>, </w:t>
            </w:r>
            <w:r w:rsidRPr="000A5BE7">
              <w:rPr>
                <w:rFonts w:eastAsia="Times New Roman"/>
                <w:iCs/>
                <w:sz w:val="22"/>
              </w:rPr>
              <w:t>63</w:t>
            </w:r>
            <w:r w:rsidRPr="000A5BE7">
              <w:rPr>
                <w:rFonts w:eastAsia="Times New Roman"/>
                <w:sz w:val="22"/>
              </w:rPr>
              <w:t>(3), 334–340</w:t>
            </w:r>
            <w:r w:rsidRPr="00914523">
              <w:rPr>
                <w:rFonts w:eastAsia="Times New Roman"/>
                <w:sz w:val="22"/>
              </w:rPr>
              <w:t xml:space="preserve">. </w:t>
            </w:r>
            <w:hyperlink r:id="rId16" w:history="1">
              <w:r w:rsidRPr="006D6895">
                <w:rPr>
                  <w:rStyle w:val="Hyperlink"/>
                  <w:rFonts w:eastAsia="Times New Roman"/>
                  <w:sz w:val="22"/>
                </w:rPr>
                <w:t>https://doi.org/10.4111/icu.20210436</w:t>
              </w:r>
            </w:hyperlink>
          </w:p>
          <w:p w14:paraId="0906071D" w14:textId="77777777" w:rsidR="00224D63" w:rsidRPr="00224D63" w:rsidRDefault="00224D63" w:rsidP="00224D63">
            <w:pPr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C61DD" w14:textId="77777777" w:rsidR="00224D63" w:rsidRDefault="00F66D60" w:rsidP="0040080C">
            <w:pPr>
              <w:tabs>
                <w:tab w:val="left" w:pos="180"/>
                <w:tab w:val="center" w:pos="557"/>
              </w:tabs>
              <w:spacing w:after="0"/>
              <w:textAlignment w:val="baseline"/>
              <w:rPr>
                <w:rFonts w:eastAsia="Times New Roman"/>
                <w:sz w:val="22"/>
              </w:rPr>
            </w:pPr>
            <w:proofErr w:type="spellStart"/>
            <w:r>
              <w:rPr>
                <w:rFonts w:eastAsia="Times New Roman"/>
                <w:sz w:val="22"/>
              </w:rPr>
              <w:t>Paiva</w:t>
            </w:r>
            <w:proofErr w:type="spellEnd"/>
            <w:r>
              <w:rPr>
                <w:rFonts w:eastAsia="Times New Roman"/>
                <w:sz w:val="22"/>
              </w:rPr>
              <w:t>-Santos et al.</w:t>
            </w:r>
          </w:p>
          <w:p w14:paraId="7B0EDE5E" w14:textId="07128AF3" w:rsidR="00343404" w:rsidRDefault="00343404" w:rsidP="0040080C">
            <w:pPr>
              <w:tabs>
                <w:tab w:val="left" w:pos="180"/>
                <w:tab w:val="center" w:pos="557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343404">
              <w:rPr>
                <w:rFonts w:eastAsia="Times New Roman"/>
                <w:szCs w:val="24"/>
              </w:rPr>
              <w:t xml:space="preserve">Nursing Reports, 13(4), 1432-1441. </w:t>
            </w:r>
            <w:hyperlink r:id="rId17" w:history="1">
              <w:r w:rsidRPr="006D6895">
                <w:rPr>
                  <w:rStyle w:val="Hyperlink"/>
                  <w:rFonts w:eastAsia="Times New Roman"/>
                  <w:szCs w:val="24"/>
                </w:rPr>
                <w:t>https://doi.org/10.3390/nursrep13040120</w:t>
              </w:r>
            </w:hyperlink>
          </w:p>
          <w:p w14:paraId="474B8C85" w14:textId="252E44B7" w:rsidR="00343404" w:rsidRPr="00224D63" w:rsidRDefault="00343404" w:rsidP="0040080C">
            <w:pPr>
              <w:tabs>
                <w:tab w:val="left" w:pos="180"/>
                <w:tab w:val="center" w:pos="557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224D63" w:rsidRPr="00224D63" w14:paraId="163C999E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66C8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Article Title and Year Published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165EAA46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B23F2" w14:textId="3B2F78FF" w:rsidR="00224D63" w:rsidRPr="00A03D53" w:rsidRDefault="00983756" w:rsidP="001D50F5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983756">
              <w:rPr>
                <w:rFonts w:eastAsia="Times New Roman"/>
                <w:szCs w:val="24"/>
              </w:rPr>
              <w:t xml:space="preserve">Impact of </w:t>
            </w:r>
            <w:r w:rsidR="00343404" w:rsidRPr="00983756">
              <w:rPr>
                <w:rFonts w:eastAsia="Times New Roman"/>
                <w:szCs w:val="24"/>
              </w:rPr>
              <w:t xml:space="preserve">care bundle implementation on incidence of catheter-associated urinary tract infection: a comparative study in the intensive care units of a tertiary care teaching hospital </w:t>
            </w:r>
            <w:r w:rsidRPr="00983756">
              <w:rPr>
                <w:rFonts w:eastAsia="Times New Roman"/>
                <w:szCs w:val="24"/>
              </w:rPr>
              <w:t xml:space="preserve">in South India. </w:t>
            </w:r>
            <w:r>
              <w:rPr>
                <w:rFonts w:eastAsia="Times New Roman"/>
                <w:szCs w:val="24"/>
              </w:rPr>
              <w:t>(2020</w:t>
            </w:r>
            <w:r w:rsidR="001D50F5" w:rsidRPr="00A03D53">
              <w:rPr>
                <w:rFonts w:eastAsia="Times New Roman"/>
                <w:szCs w:val="24"/>
              </w:rPr>
              <w:t>).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E91431" w14:textId="61302A4F" w:rsidR="00224D63" w:rsidRDefault="00343404" w:rsidP="00AC711B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D</w:t>
            </w:r>
            <w:r w:rsidRPr="00797F0D">
              <w:rPr>
                <w:rFonts w:eastAsia="Times New Roman"/>
                <w:sz w:val="22"/>
              </w:rPr>
              <w:t>ecreasing catheter-associated urinary tract infections in urologic oncology patients discharged with an</w:t>
            </w:r>
            <w:r>
              <w:rPr>
                <w:rFonts w:eastAsia="Times New Roman"/>
                <w:sz w:val="22"/>
              </w:rPr>
              <w:t xml:space="preserve"> indwelling urinary catheter: A </w:t>
            </w:r>
            <w:r w:rsidRPr="00797F0D">
              <w:rPr>
                <w:rFonts w:eastAsia="Times New Roman"/>
                <w:sz w:val="22"/>
              </w:rPr>
              <w:t>quality improvement project. 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305A5FE2" w14:textId="56B87005" w:rsidR="00AC711B" w:rsidRPr="00224D63" w:rsidRDefault="00AC711B" w:rsidP="00AC711B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797F0D">
              <w:rPr>
                <w:rFonts w:eastAsia="Times New Roman"/>
                <w:sz w:val="22"/>
              </w:rPr>
              <w:t>(2019).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B6628" w14:textId="77777777" w:rsidR="00224D63" w:rsidRDefault="00224D63" w:rsidP="000A5BE7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 w:rsidR="000A5BE7" w:rsidRPr="000A5BE7">
              <w:rPr>
                <w:rFonts w:eastAsia="Times New Roman"/>
                <w:sz w:val="22"/>
              </w:rPr>
              <w:t>Catheter-associated urinary tract infections in patients who have undergone radical cystectomy for bladder cancer: A prospective randomized clinical study of two silicone catheters (clinical benefit of antibiotic silicone material).</w:t>
            </w:r>
          </w:p>
          <w:p w14:paraId="161D21EB" w14:textId="77BAC70C" w:rsidR="000A5BE7" w:rsidRPr="00224D63" w:rsidRDefault="000A5BE7" w:rsidP="000A5BE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0A5BE7">
              <w:rPr>
                <w:rFonts w:eastAsia="Times New Roman"/>
                <w:sz w:val="22"/>
              </w:rPr>
              <w:t>(2022).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D7377" w14:textId="77777777" w:rsidR="00224D63" w:rsidRDefault="00343404" w:rsidP="00343404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343404">
              <w:rPr>
                <w:rFonts w:eastAsia="Times New Roman"/>
                <w:sz w:val="22"/>
              </w:rPr>
              <w:t xml:space="preserve">Nurses’ </w:t>
            </w:r>
            <w:r>
              <w:rPr>
                <w:rFonts w:eastAsia="Times New Roman"/>
                <w:sz w:val="22"/>
              </w:rPr>
              <w:t>adherence to the P</w:t>
            </w:r>
            <w:r w:rsidRPr="00343404">
              <w:rPr>
                <w:rFonts w:eastAsia="Times New Roman"/>
                <w:sz w:val="22"/>
              </w:rPr>
              <w:t>ortuguese standard to prevent catheter-associated urinary tract infections (CAUTIs): An observational study.</w:t>
            </w:r>
          </w:p>
          <w:p w14:paraId="76AAEC6A" w14:textId="53BDDA88" w:rsidR="00343404" w:rsidRPr="00224D63" w:rsidRDefault="00343404" w:rsidP="00343404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(2023).</w:t>
            </w:r>
          </w:p>
        </w:tc>
      </w:tr>
      <w:tr w:rsidR="00224D63" w:rsidRPr="00224D63" w14:paraId="6DCE2DB7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E06A9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Research Questions (Qualitative)/Hypothesis (Quantitative)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39B24714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DA143" w14:textId="2FC19C3C" w:rsidR="00224D63" w:rsidRPr="00224D63" w:rsidRDefault="00722A2F" w:rsidP="00983756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Do catheter care bundle decrease CAUTIs?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03665" w14:textId="1D1EA806" w:rsidR="00224D63" w:rsidRPr="00224D63" w:rsidRDefault="00511C2D" w:rsidP="00511C2D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Can a multimodal preoperative education program reduce the risk of CAUTIs?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39D3A" w14:textId="1D78DB87" w:rsidR="00224D63" w:rsidRPr="001230C1" w:rsidRDefault="00343404" w:rsidP="001230C1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Can a</w:t>
            </w:r>
            <w:r w:rsidR="000A5BE7" w:rsidRPr="000A5BE7">
              <w:rPr>
                <w:rFonts w:eastAsia="Times New Roman"/>
                <w:sz w:val="22"/>
              </w:rPr>
              <w:t xml:space="preserve"> </w:t>
            </w:r>
            <w:r w:rsidR="000A5BE7">
              <w:rPr>
                <w:rFonts w:eastAsia="Times New Roman"/>
                <w:sz w:val="22"/>
              </w:rPr>
              <w:t>new</w:t>
            </w:r>
            <w:r w:rsidR="000A5BE7" w:rsidRPr="000A5BE7">
              <w:rPr>
                <w:rFonts w:eastAsia="Times New Roman"/>
                <w:sz w:val="22"/>
              </w:rPr>
              <w:t xml:space="preserve"> biofilm inhibitory mechanism using a</w:t>
            </w:r>
            <w:r w:rsidR="001230C1">
              <w:rPr>
                <w:rFonts w:eastAsia="Times New Roman"/>
                <w:sz w:val="22"/>
              </w:rPr>
              <w:t xml:space="preserve">n </w:t>
            </w:r>
            <w:r w:rsidR="000A5BE7" w:rsidRPr="000A5BE7">
              <w:rPr>
                <w:rFonts w:eastAsia="Times New Roman"/>
                <w:sz w:val="22"/>
              </w:rPr>
              <w:t>inhibitory silicone urethral catheter (a coated Foley catheter) reduce CAUTIs compared to conventi</w:t>
            </w:r>
            <w:r w:rsidR="001230C1">
              <w:rPr>
                <w:rFonts w:eastAsia="Times New Roman"/>
                <w:sz w:val="22"/>
              </w:rPr>
              <w:t>onal non-coated Foley catheters?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3A06D" w14:textId="2850BC32" w:rsidR="00224D63" w:rsidRPr="00224D63" w:rsidRDefault="0008302A" w:rsidP="0008302A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What practices do nurses adhere to during catheter insertion and maintenance?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0CC6D876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CC78F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Purposes/Aim of Study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07902" w14:textId="2202363C" w:rsidR="00224D63" w:rsidRPr="00224D63" w:rsidRDefault="00722A2F" w:rsidP="00722A2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To assess the effect of catheter care bundle in curtailing CAUTI occurrence.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F4D8C" w14:textId="603F675B" w:rsidR="00224D63" w:rsidRPr="00224D63" w:rsidRDefault="004F5354" w:rsidP="004F5354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To mitigate the rate of CAUTIs.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EA53D" w14:textId="08272477" w:rsidR="00224D63" w:rsidRPr="00224D63" w:rsidRDefault="001230C1" w:rsidP="001230C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1230C1">
              <w:rPr>
                <w:rFonts w:eastAsia="Times New Roman"/>
                <w:sz w:val="22"/>
              </w:rPr>
              <w:t xml:space="preserve">The </w:t>
            </w:r>
            <w:r>
              <w:rPr>
                <w:rFonts w:eastAsia="Times New Roman"/>
                <w:sz w:val="22"/>
              </w:rPr>
              <w:t>aim</w:t>
            </w:r>
            <w:r w:rsidRPr="001230C1">
              <w:rPr>
                <w:rFonts w:eastAsia="Times New Roman"/>
                <w:sz w:val="22"/>
              </w:rPr>
              <w:t xml:space="preserve"> of this study was to conduct a prospective comparison and analysis to examine the potential for a clinically significant impact of an inhibitory silicone urethral catheter in preventing urinary tract infections (UTIs) following surgery in individuals who have undergone radical cystectomy for bladder cancer.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5E389" w14:textId="7E9B104D" w:rsidR="00224D63" w:rsidRPr="00224D63" w:rsidRDefault="0008302A" w:rsidP="0008302A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</w:t>
            </w:r>
            <w:r w:rsidRPr="0008302A">
              <w:rPr>
                <w:rFonts w:eastAsia="Times New Roman"/>
                <w:sz w:val="22"/>
              </w:rPr>
              <w:t xml:space="preserve">o </w:t>
            </w:r>
            <w:r>
              <w:rPr>
                <w:rFonts w:eastAsia="Times New Roman"/>
                <w:sz w:val="22"/>
              </w:rPr>
              <w:t>evaluate</w:t>
            </w:r>
            <w:r w:rsidRPr="0008302A">
              <w:rPr>
                <w:rFonts w:eastAsia="Times New Roman"/>
                <w:sz w:val="22"/>
              </w:rPr>
              <w:t xml:space="preserve"> the </w:t>
            </w:r>
            <w:r>
              <w:rPr>
                <w:rFonts w:eastAsia="Times New Roman"/>
                <w:sz w:val="22"/>
              </w:rPr>
              <w:t>pervasiveness</w:t>
            </w:r>
            <w:r w:rsidRPr="0008302A">
              <w:rPr>
                <w:rFonts w:eastAsia="Times New Roman"/>
                <w:sz w:val="22"/>
              </w:rPr>
              <w:t xml:space="preserve"> of urinary catheter use in an oncology ward in Portugal and nurses’ </w:t>
            </w:r>
            <w:r>
              <w:rPr>
                <w:rFonts w:eastAsia="Times New Roman"/>
                <w:sz w:val="22"/>
              </w:rPr>
              <w:t>compliance</w:t>
            </w:r>
            <w:r w:rsidRPr="0008302A">
              <w:rPr>
                <w:rFonts w:eastAsia="Times New Roman"/>
                <w:sz w:val="22"/>
              </w:rPr>
              <w:t xml:space="preserve"> to the government-endorsed standards to prevent CAUTIs.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7D915CD5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AEA9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Design (Type of Quantitative, or Type of Qualitative)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7B6F793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4B63E" w14:textId="5E2DBF08" w:rsidR="00224D63" w:rsidRPr="00224D63" w:rsidRDefault="00224D63" w:rsidP="00375CF6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 w:rsidR="00375CF6">
              <w:rPr>
                <w:rFonts w:eastAsia="Times New Roman"/>
                <w:sz w:val="22"/>
              </w:rPr>
              <w:t>P</w:t>
            </w:r>
            <w:r w:rsidR="00375CF6" w:rsidRPr="00375CF6">
              <w:rPr>
                <w:rFonts w:eastAsia="Times New Roman"/>
                <w:sz w:val="22"/>
              </w:rPr>
              <w:t>rospective interventional study</w:t>
            </w:r>
            <w:r w:rsidR="00375CF6">
              <w:rPr>
                <w:rFonts w:eastAsia="Times New Roman"/>
                <w:sz w:val="22"/>
              </w:rPr>
              <w:t xml:space="preserve"> design of quantitative.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03B79" w14:textId="5FBD0F52" w:rsidR="00224D63" w:rsidRPr="00224D63" w:rsidRDefault="004F5354" w:rsidP="004F5354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Quality </w:t>
            </w:r>
            <w:r w:rsidR="0027470C">
              <w:rPr>
                <w:rFonts w:eastAsia="Times New Roman"/>
                <w:sz w:val="22"/>
              </w:rPr>
              <w:t>improvement design of quantitative.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6475A" w14:textId="33599535" w:rsidR="00224D63" w:rsidRPr="00224D63" w:rsidRDefault="001230C1" w:rsidP="001230C1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A </w:t>
            </w:r>
            <w:r w:rsidRPr="001230C1">
              <w:rPr>
                <w:rFonts w:eastAsia="Times New Roman"/>
                <w:sz w:val="22"/>
              </w:rPr>
              <w:t>multi-center, prospective, open-label, randomized controlled</w:t>
            </w:r>
            <w:r>
              <w:rPr>
                <w:rFonts w:eastAsia="Times New Roman"/>
                <w:sz w:val="22"/>
              </w:rPr>
              <w:t xml:space="preserve"> design of quantitative.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C42F4" w14:textId="748133EC" w:rsidR="00224D63" w:rsidRPr="00224D63" w:rsidRDefault="00B60085" w:rsidP="00B60085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An observational and prospective design of quantitative.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</w:tr>
      <w:tr w:rsidR="00224D63" w:rsidRPr="00224D63" w14:paraId="0D207A58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3618C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Setting/Sample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32E20F9A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B8F30" w14:textId="46182F5B" w:rsidR="00375CF6" w:rsidRDefault="000738B2" w:rsidP="00375CF6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The setting was adult intensive care units in a </w:t>
            </w:r>
            <w:r w:rsidR="00375CF6">
              <w:rPr>
                <w:rFonts w:eastAsia="Times New Roman"/>
                <w:sz w:val="22"/>
              </w:rPr>
              <w:t>tertiary care center.</w:t>
            </w:r>
          </w:p>
          <w:p w14:paraId="257D5552" w14:textId="5D5D0EB9" w:rsidR="00224D63" w:rsidRPr="00224D63" w:rsidRDefault="007569CA" w:rsidP="00375CF6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7569CA">
              <w:rPr>
                <w:rFonts w:eastAsia="Times New Roman"/>
                <w:szCs w:val="24"/>
              </w:rPr>
              <w:t>The study encompassed a cohort of 1,233 participants, with 631 individuals in the pre-implementation phase and 602 individuals in the post-implementation phase.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84FC0" w14:textId="77777777" w:rsidR="0027470C" w:rsidRDefault="0027470C" w:rsidP="0027470C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The setting was a 620-bed academic medical facility.</w:t>
            </w:r>
          </w:p>
          <w:p w14:paraId="543F047A" w14:textId="0EFFC723" w:rsidR="00224D63" w:rsidRPr="00224D63" w:rsidRDefault="0017169E" w:rsidP="0017169E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17169E">
              <w:rPr>
                <w:rFonts w:eastAsia="Times New Roman"/>
                <w:sz w:val="22"/>
              </w:rPr>
              <w:t>The participants included adult patients in the urologic oncology (UOC) category who underwent a surgical procedure as a component of their treatment plan. Subsequently, they were discharged from the hospital with a temporary indwelling urinary catheter (IUC) following a brief hospital stay.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B3E76" w14:textId="77777777" w:rsidR="00162939" w:rsidRPr="00162939" w:rsidRDefault="00224D63" w:rsidP="00162939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 w:rsidR="00277D84">
              <w:rPr>
                <w:rFonts w:eastAsia="Times New Roman"/>
                <w:sz w:val="22"/>
              </w:rPr>
              <w:t xml:space="preserve">The study was conducting in </w:t>
            </w:r>
            <w:r w:rsidR="00162939" w:rsidRPr="00162939">
              <w:rPr>
                <w:rFonts w:eastAsia="Times New Roman"/>
                <w:sz w:val="22"/>
              </w:rPr>
              <w:t>Seoul</w:t>
            </w:r>
          </w:p>
          <w:p w14:paraId="32781FDE" w14:textId="77777777" w:rsidR="00162939" w:rsidRPr="00162939" w:rsidRDefault="00162939" w:rsidP="00162939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162939">
              <w:rPr>
                <w:rFonts w:eastAsia="Times New Roman"/>
                <w:sz w:val="22"/>
              </w:rPr>
              <w:t>National University Hospital, Samsung Medical Center, and</w:t>
            </w:r>
          </w:p>
          <w:p w14:paraId="3943CAF8" w14:textId="77777777" w:rsidR="00162939" w:rsidRDefault="00162939" w:rsidP="00162939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162939">
              <w:rPr>
                <w:rFonts w:eastAsia="Times New Roman"/>
                <w:sz w:val="22"/>
              </w:rPr>
              <w:t xml:space="preserve">Seoul National University </w:t>
            </w:r>
            <w:proofErr w:type="spellStart"/>
            <w:r w:rsidRPr="00162939">
              <w:rPr>
                <w:rFonts w:eastAsia="Times New Roman"/>
                <w:sz w:val="22"/>
              </w:rPr>
              <w:t>Bundang</w:t>
            </w:r>
            <w:proofErr w:type="spellEnd"/>
            <w:r w:rsidRPr="00162939">
              <w:rPr>
                <w:rFonts w:eastAsia="Times New Roman"/>
                <w:sz w:val="22"/>
              </w:rPr>
              <w:t xml:space="preserve"> Hospital</w:t>
            </w:r>
            <w:r>
              <w:rPr>
                <w:rFonts w:eastAsia="Times New Roman"/>
                <w:sz w:val="22"/>
              </w:rPr>
              <w:t>.</w:t>
            </w:r>
          </w:p>
          <w:p w14:paraId="109BA66C" w14:textId="2C75AB92" w:rsidR="00224D63" w:rsidRPr="00224D63" w:rsidRDefault="00277D84" w:rsidP="00162939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77D84">
              <w:rPr>
                <w:rFonts w:eastAsia="Times New Roman"/>
                <w:sz w:val="22"/>
              </w:rPr>
              <w:t>111</w:t>
            </w:r>
            <w:r>
              <w:rPr>
                <w:rFonts w:eastAsia="Times New Roman"/>
                <w:sz w:val="22"/>
              </w:rPr>
              <w:t>participants</w:t>
            </w:r>
            <w:r w:rsidRPr="00277D84">
              <w:rPr>
                <w:rFonts w:eastAsia="Times New Roman"/>
                <w:sz w:val="22"/>
              </w:rPr>
              <w:t xml:space="preserve"> were randomized into two groups</w:t>
            </w:r>
            <w:r>
              <w:rPr>
                <w:rFonts w:eastAsia="Times New Roman"/>
                <w:sz w:val="22"/>
              </w:rPr>
              <w:t>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D2C71" w14:textId="77777777" w:rsidR="00224D63" w:rsidRDefault="00B60085" w:rsidP="00B60085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The setting was an oncology department of a cancer facility in Portugal.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  <w:p w14:paraId="3E4C3881" w14:textId="27EBFB82" w:rsidR="00B04204" w:rsidRPr="00224D63" w:rsidRDefault="00B04204" w:rsidP="00B60085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The participants were thirty-five nurses with six months of experience in inpatient settings.</w:t>
            </w:r>
          </w:p>
        </w:tc>
      </w:tr>
      <w:tr w:rsidR="00224D63" w:rsidRPr="00224D63" w14:paraId="441251DC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22E67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Methods: Intervention/Instruments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18BAF43F" w14:textId="77777777" w:rsidR="00224D63" w:rsidRPr="00224D63" w:rsidRDefault="00224D63" w:rsidP="00224D63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8CBA9" w14:textId="5B43FE10" w:rsidR="00224D63" w:rsidRPr="00224D63" w:rsidRDefault="00F47D2F" w:rsidP="00FE7ED6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The prospective</w:t>
            </w:r>
            <w:r w:rsidR="00B52508">
              <w:rPr>
                <w:rFonts w:eastAsia="Times New Roman"/>
                <w:sz w:val="22"/>
              </w:rPr>
              <w:t xml:space="preserve"> interventional study involved a pre-implementation </w:t>
            </w:r>
            <w:r w:rsidR="00FE7ED6">
              <w:rPr>
                <w:rFonts w:eastAsia="Times New Roman"/>
                <w:sz w:val="22"/>
              </w:rPr>
              <w:t xml:space="preserve">phase </w:t>
            </w:r>
            <w:r w:rsidR="00B52508">
              <w:rPr>
                <w:rFonts w:eastAsia="Times New Roman"/>
                <w:sz w:val="22"/>
              </w:rPr>
              <w:t xml:space="preserve">of catheter care bundle involved </w:t>
            </w:r>
            <w:r w:rsidR="00B52508" w:rsidRPr="00B52508">
              <w:rPr>
                <w:rFonts w:eastAsia="Times New Roman"/>
                <w:sz w:val="22"/>
              </w:rPr>
              <w:t xml:space="preserve">educating, training of healthcare </w:t>
            </w:r>
            <w:r w:rsidR="00FE7ED6">
              <w:rPr>
                <w:rFonts w:eastAsia="Times New Roman"/>
                <w:sz w:val="22"/>
              </w:rPr>
              <w:t>worker (HCW), and implementing</w:t>
            </w:r>
            <w:r w:rsidR="00B52508" w:rsidRPr="00B52508">
              <w:rPr>
                <w:rFonts w:eastAsia="Times New Roman"/>
                <w:sz w:val="22"/>
              </w:rPr>
              <w:t xml:space="preserve"> of catheter care bundle</w:t>
            </w:r>
            <w:r w:rsidR="00B52508">
              <w:rPr>
                <w:rFonts w:eastAsia="Times New Roman"/>
                <w:sz w:val="22"/>
              </w:rPr>
              <w:t xml:space="preserve">. The post-implementation </w:t>
            </w:r>
            <w:r w:rsidR="00FE7ED6">
              <w:rPr>
                <w:rFonts w:eastAsia="Times New Roman"/>
                <w:sz w:val="22"/>
              </w:rPr>
              <w:t xml:space="preserve">phase </w:t>
            </w:r>
            <w:r w:rsidR="00B52508">
              <w:rPr>
                <w:rFonts w:eastAsia="Times New Roman"/>
                <w:sz w:val="22"/>
              </w:rPr>
              <w:t>of the catheter care bundle</w:t>
            </w:r>
            <w:r w:rsidR="00FE7ED6">
              <w:rPr>
                <w:rFonts w:eastAsia="Times New Roman"/>
                <w:sz w:val="22"/>
              </w:rPr>
              <w:t xml:space="preserve"> included </w:t>
            </w:r>
            <w:r w:rsidR="00FE7ED6" w:rsidRPr="00FE7ED6">
              <w:rPr>
                <w:rFonts w:eastAsia="Times New Roman"/>
                <w:sz w:val="22"/>
              </w:rPr>
              <w:t>urinary catheter insertion, maintenance, and removal</w:t>
            </w:r>
            <w:r w:rsidR="00FE7ED6">
              <w:rPr>
                <w:rFonts w:eastAsia="Times New Roman"/>
                <w:sz w:val="22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B3771" w14:textId="77777777" w:rsidR="0026045A" w:rsidRDefault="00B9728A" w:rsidP="0026045A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Interventions entailed </w:t>
            </w:r>
            <w:r w:rsidR="0026045A" w:rsidRPr="0026045A">
              <w:rPr>
                <w:rFonts w:eastAsia="Times New Roman"/>
                <w:sz w:val="22"/>
              </w:rPr>
              <w:t>creating and enacting a comprehensive preoperative educational initiative on the home management of an indwelling urin</w:t>
            </w:r>
            <w:r w:rsidR="0026045A">
              <w:rPr>
                <w:rFonts w:eastAsia="Times New Roman"/>
                <w:sz w:val="22"/>
              </w:rPr>
              <w:t xml:space="preserve">ary catheter. </w:t>
            </w:r>
          </w:p>
          <w:p w14:paraId="2021C131" w14:textId="77777777" w:rsidR="00224D63" w:rsidRDefault="0026045A" w:rsidP="0026045A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R</w:t>
            </w:r>
            <w:r w:rsidRPr="0026045A">
              <w:rPr>
                <w:rFonts w:eastAsia="Times New Roman"/>
                <w:sz w:val="22"/>
              </w:rPr>
              <w:t>educing the duration of IUC placement by implementing a system for scheduling follow-up appointments for IUC removal</w:t>
            </w:r>
            <w:r>
              <w:rPr>
                <w:rFonts w:eastAsia="Times New Roman"/>
                <w:sz w:val="22"/>
              </w:rPr>
              <w:t>.</w:t>
            </w:r>
          </w:p>
          <w:p w14:paraId="38E9E3C4" w14:textId="19D828F3" w:rsidR="0026045A" w:rsidRPr="00224D63" w:rsidRDefault="0026045A" w:rsidP="0026045A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The study used a fishbone diagram to identify possible factors contributing to CAUTIs.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3BA14" w14:textId="0F29B731" w:rsidR="00224D63" w:rsidRPr="00224D63" w:rsidRDefault="00162939" w:rsidP="00162939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The intervention was </w:t>
            </w:r>
            <w:r w:rsidR="008F5BAA">
              <w:rPr>
                <w:rFonts w:eastAsia="Times New Roman"/>
                <w:sz w:val="22"/>
              </w:rPr>
              <w:t>a coated Foley catheter.</w:t>
            </w:r>
            <w:r w:rsidR="00224D63"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6ACD2" w14:textId="27D0A286" w:rsidR="0072106F" w:rsidRDefault="0072106F" w:rsidP="004733B7">
            <w:pPr>
              <w:spacing w:after="0"/>
              <w:textAlignment w:val="baseline"/>
            </w:pPr>
            <w:r w:rsidRPr="004733B7">
              <w:rPr>
                <w:rFonts w:eastAsia="Times New Roman"/>
                <w:sz w:val="22"/>
              </w:rPr>
              <w:t>The lack of standardized aseptic techniques played a substantial role in the notably low adherence to the overall bundle.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8969656" w14:textId="2536F382" w:rsidR="00224D63" w:rsidRPr="00224D63" w:rsidRDefault="00EF05C2" w:rsidP="004733B7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EF05C2">
              <w:rPr>
                <w:rFonts w:eastAsia="Times New Roman"/>
                <w:sz w:val="22"/>
              </w:rPr>
              <w:t>.</w:t>
            </w:r>
          </w:p>
        </w:tc>
      </w:tr>
      <w:tr w:rsidR="0072106F" w:rsidRPr="00224D63" w14:paraId="14DC99E9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B3F10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Analysis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F0F0FFF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45256" w14:textId="2F10FACF" w:rsidR="0072106F" w:rsidRPr="00C56D48" w:rsidRDefault="0072106F" w:rsidP="0072106F">
            <w:pPr>
              <w:tabs>
                <w:tab w:val="center" w:pos="985"/>
              </w:tabs>
              <w:spacing w:after="0"/>
              <w:textAlignment w:val="baseline"/>
              <w:rPr>
                <w:rFonts w:eastAsia="Times New Roman"/>
                <w:sz w:val="22"/>
              </w:rPr>
            </w:pPr>
            <w:r w:rsidRPr="00C56D48">
              <w:rPr>
                <w:rFonts w:eastAsia="Times New Roman"/>
                <w:sz w:val="22"/>
              </w:rPr>
              <w:t>The analysis involved the computation of three key m</w:t>
            </w:r>
            <w:r>
              <w:rPr>
                <w:rFonts w:eastAsia="Times New Roman"/>
                <w:sz w:val="22"/>
              </w:rPr>
              <w:t xml:space="preserve">etrics using specific formulas namely </w:t>
            </w:r>
            <w:r w:rsidRPr="00C56D48">
              <w:rPr>
                <w:rFonts w:eastAsia="Times New Roman"/>
                <w:sz w:val="22"/>
              </w:rPr>
              <w:t>device utilization ratio</w:t>
            </w:r>
            <w:r>
              <w:rPr>
                <w:rFonts w:eastAsia="Times New Roman"/>
                <w:sz w:val="22"/>
              </w:rPr>
              <w:t xml:space="preserve"> which included the number of indwelling catheter days or </w:t>
            </w:r>
            <w:r w:rsidRPr="00C56D48">
              <w:rPr>
                <w:rFonts w:eastAsia="Times New Roman"/>
                <w:sz w:val="22"/>
              </w:rPr>
              <w:t>patient days</w:t>
            </w:r>
          </w:p>
          <w:p w14:paraId="7CDBA031" w14:textId="3505EDC1" w:rsidR="0072106F" w:rsidRPr="00C56D48" w:rsidRDefault="0072106F" w:rsidP="0072106F">
            <w:pPr>
              <w:tabs>
                <w:tab w:val="center" w:pos="985"/>
              </w:tabs>
              <w:spacing w:after="0"/>
              <w:textAlignment w:val="baseline"/>
              <w:rPr>
                <w:rFonts w:eastAsia="Times New Roman"/>
                <w:sz w:val="22"/>
              </w:rPr>
            </w:pPr>
            <w:r w:rsidRPr="00C56D48">
              <w:rPr>
                <w:rFonts w:eastAsia="Times New Roman"/>
                <w:sz w:val="22"/>
              </w:rPr>
              <w:t xml:space="preserve">Average </w:t>
            </w:r>
            <w:r>
              <w:rPr>
                <w:rFonts w:eastAsia="Times New Roman"/>
                <w:sz w:val="22"/>
              </w:rPr>
              <w:t xml:space="preserve">catheter days per patient included number </w:t>
            </w:r>
            <w:r w:rsidRPr="00C56D48">
              <w:rPr>
                <w:rFonts w:eastAsia="Times New Roman"/>
                <w:sz w:val="22"/>
              </w:rPr>
              <w:t xml:space="preserve">of indwelling catheter days </w:t>
            </w:r>
            <w:r>
              <w:rPr>
                <w:rFonts w:eastAsia="Times New Roman"/>
                <w:sz w:val="22"/>
              </w:rPr>
              <w:t>and number</w:t>
            </w:r>
            <w:r w:rsidRPr="00C56D48">
              <w:rPr>
                <w:rFonts w:eastAsia="Times New Roman"/>
                <w:sz w:val="22"/>
              </w:rPr>
              <w:t xml:space="preserve"> of patients on catheter</w:t>
            </w:r>
          </w:p>
          <w:p w14:paraId="70DC0274" w14:textId="6331752C" w:rsidR="0072106F" w:rsidRDefault="0072106F" w:rsidP="0072106F">
            <w:pPr>
              <w:tabs>
                <w:tab w:val="center" w:pos="985"/>
              </w:tabs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The CAUTI incidence rate included the number </w:t>
            </w:r>
            <w:r w:rsidRPr="00C56D48">
              <w:rPr>
                <w:rFonts w:eastAsia="Times New Roman"/>
                <w:sz w:val="22"/>
              </w:rPr>
              <w:t xml:space="preserve">of CAUTI / </w:t>
            </w:r>
            <w:r>
              <w:rPr>
                <w:rFonts w:eastAsia="Times New Roman"/>
                <w:sz w:val="22"/>
              </w:rPr>
              <w:t xml:space="preserve">indwelling catheter </w:t>
            </w:r>
            <w:proofErr w:type="gramStart"/>
            <w:r w:rsidRPr="00C56D48">
              <w:rPr>
                <w:rFonts w:eastAsia="Times New Roman"/>
                <w:sz w:val="22"/>
              </w:rPr>
              <w:t>days</w:t>
            </w:r>
            <w:proofErr w:type="gramEnd"/>
            <w:r w:rsidRPr="00C56D48">
              <w:rPr>
                <w:rFonts w:eastAsia="Times New Roman"/>
                <w:sz w:val="22"/>
              </w:rPr>
              <w:t xml:space="preserve"> × 1000</w:t>
            </w:r>
            <w:r>
              <w:rPr>
                <w:rFonts w:eastAsia="Times New Roman"/>
                <w:sz w:val="22"/>
              </w:rPr>
              <w:t>.</w:t>
            </w:r>
          </w:p>
          <w:p w14:paraId="6FE5728A" w14:textId="16F512E4" w:rsidR="0072106F" w:rsidRPr="00497440" w:rsidRDefault="0072106F" w:rsidP="0072106F">
            <w:pPr>
              <w:tabs>
                <w:tab w:val="center" w:pos="985"/>
              </w:tabs>
              <w:spacing w:after="0"/>
              <w:textAlignment w:val="baseline"/>
              <w:rPr>
                <w:rFonts w:eastAsia="Times New Roman"/>
                <w:sz w:val="22"/>
              </w:rPr>
            </w:pPr>
            <w:r w:rsidRPr="00497440">
              <w:rPr>
                <w:rFonts w:eastAsia="Times New Roman"/>
                <w:sz w:val="22"/>
              </w:rPr>
              <w:t>The incidence rates of CAUTI before and after implementation were articulated, accompanied by Poisson confidence intervals, and subjected to statistical comparison to identify significant differences.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502BD" w14:textId="77777777" w:rsidR="0072106F" w:rsidRDefault="0072106F" w:rsidP="0072106F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 w:rsidRPr="00DB6DE6">
              <w:rPr>
                <w:rFonts w:eastAsia="Times New Roman"/>
                <w:sz w:val="22"/>
              </w:rPr>
              <w:t>The diagnosis of CAUTI was tracked using the National Surgical Quality Improvement Program (NSQIP) definition.</w:t>
            </w:r>
          </w:p>
          <w:p w14:paraId="6E3FFF91" w14:textId="77777777" w:rsidR="0072106F" w:rsidRPr="00E372FF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E372FF">
              <w:rPr>
                <w:rFonts w:eastAsia="Times New Roman"/>
                <w:szCs w:val="24"/>
              </w:rPr>
              <w:t>Control charts were utilized to track data, with monthly data points added over time.</w:t>
            </w:r>
          </w:p>
          <w:p w14:paraId="50680E38" w14:textId="283C624D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E372FF">
              <w:rPr>
                <w:rFonts w:eastAsia="Times New Roman"/>
                <w:szCs w:val="24"/>
              </w:rPr>
              <w:t>Plan-Do-Study-Act (PDSA) cycles were completed based on feedback from UOC and PACU nursing staff, patient comments, and data from chart audits.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AB69A" w14:textId="77777777" w:rsidR="0072106F" w:rsidRDefault="0072106F" w:rsidP="0072106F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C622AC">
              <w:rPr>
                <w:rFonts w:eastAsia="Times New Roman"/>
                <w:sz w:val="22"/>
              </w:rPr>
              <w:t>The analysis was performed using a per-protocol approach</w:t>
            </w:r>
            <w:r>
              <w:rPr>
                <w:rFonts w:eastAsia="Times New Roman"/>
                <w:sz w:val="22"/>
              </w:rPr>
              <w:t>.</w:t>
            </w:r>
          </w:p>
          <w:p w14:paraId="42F65E60" w14:textId="451DD182" w:rsidR="0072106F" w:rsidRPr="00C622AC" w:rsidRDefault="0072106F" w:rsidP="0072106F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175F9E">
              <w:rPr>
                <w:rFonts w:eastAsia="Times New Roman"/>
                <w:sz w:val="22"/>
              </w:rPr>
              <w:t>Statistical analyses, including the assessment of differences in wound outcomes and adverse events, utilized Fisher’s exact test (two-sided). The analysis was conducted with SPSS 21.0, and statistical significance was considered at p&lt;0.025.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F4F29" w14:textId="624B4AAE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t>D</w:t>
            </w:r>
            <w:r w:rsidRPr="00EF05C2">
              <w:rPr>
                <w:rFonts w:eastAsia="Times New Roman"/>
                <w:sz w:val="22"/>
              </w:rPr>
              <w:t>escriptive statistics such</w:t>
            </w:r>
            <w:r>
              <w:rPr>
                <w:rFonts w:eastAsia="Times New Roman"/>
                <w:sz w:val="22"/>
              </w:rPr>
              <w:t xml:space="preserve"> as frequencies and percentages and</w:t>
            </w:r>
            <w:r w:rsidRPr="00EF05C2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 xml:space="preserve">SPSS Statistics </w:t>
            </w:r>
            <w:r w:rsidRPr="00EF05C2">
              <w:rPr>
                <w:rFonts w:eastAsia="Times New Roman"/>
                <w:sz w:val="22"/>
              </w:rPr>
              <w:t xml:space="preserve">(version 24, IBM SPSS; Chicago, IL, USA), </w:t>
            </w:r>
            <w:r>
              <w:rPr>
                <w:rFonts w:eastAsia="Times New Roman"/>
                <w:sz w:val="22"/>
              </w:rPr>
              <w:t>was used to analyze quantitative data</w:t>
            </w:r>
            <w:r>
              <w:t xml:space="preserve">. </w:t>
            </w:r>
            <w:r w:rsidRPr="00EF05C2">
              <w:rPr>
                <w:rFonts w:eastAsia="Times New Roman"/>
                <w:sz w:val="22"/>
              </w:rPr>
              <w:t>Adherence to the bundle was assessed based on the criteria outlined by the Portuguese Directorate General of Health.</w:t>
            </w:r>
          </w:p>
        </w:tc>
      </w:tr>
      <w:tr w:rsidR="0072106F" w:rsidRPr="00224D63" w14:paraId="5DF9A9AD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93418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Key Findings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722067C0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9300D" w14:textId="0E99E81B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Implementing the catheter care bundle led to</w:t>
            </w:r>
            <w:r w:rsidRPr="00825111">
              <w:rPr>
                <w:rFonts w:eastAsia="Times New Roman"/>
                <w:sz w:val="22"/>
              </w:rPr>
              <w:t xml:space="preserve"> a statistically significant reduction in the incidence of catheter-associated urinary tract infection (CAUTI) by 60%, decreasing from 10.7 to 4.5 per 1,000 catheter days.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553F1" w14:textId="078EF8FE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E372FF">
              <w:rPr>
                <w:rFonts w:eastAsia="Times New Roman"/>
                <w:sz w:val="22"/>
              </w:rPr>
              <w:t>Consistent patient education and enhanced procedures for the removal of indwelling urinary catheters (IUC) resulted in a reduction in catheter-associated urinary tract infections (CAUTIs).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209A3" w14:textId="239D7EED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>
              <w:rPr>
                <w:rFonts w:eastAsia="Times New Roman"/>
                <w:sz w:val="22"/>
              </w:rPr>
              <w:t>I</w:t>
            </w:r>
            <w:r w:rsidRPr="007179CD">
              <w:rPr>
                <w:rFonts w:eastAsia="Times New Roman"/>
                <w:sz w:val="22"/>
              </w:rPr>
              <w:t>ntegrating Bi-Fi Free technology into different medical devices requiring catheter insertion into the human body may contribute to a decrease in infections induced by catheters.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877D2" w14:textId="38CCBFE9" w:rsidR="0072106F" w:rsidRPr="00224D63" w:rsidRDefault="00DA01ED" w:rsidP="00E82BC8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DA01ED">
              <w:rPr>
                <w:rFonts w:eastAsia="Times New Roman"/>
                <w:sz w:val="22"/>
              </w:rPr>
              <w:t>33.3% of patients und</w:t>
            </w:r>
            <w:r w:rsidR="009F7A2E">
              <w:rPr>
                <w:rFonts w:eastAsia="Times New Roman"/>
                <w:sz w:val="22"/>
              </w:rPr>
              <w:t xml:space="preserve">ergoing catheter insertion faced </w:t>
            </w:r>
            <w:r w:rsidRPr="00DA01ED">
              <w:rPr>
                <w:rFonts w:eastAsia="Times New Roman"/>
                <w:sz w:val="22"/>
              </w:rPr>
              <w:t xml:space="preserve">potential risks due to bacterial entry through various pathways. Biofilm formation on catheters, </w:t>
            </w:r>
            <w:r w:rsidR="009F7A2E">
              <w:rPr>
                <w:rFonts w:eastAsia="Times New Roman"/>
                <w:sz w:val="22"/>
              </w:rPr>
              <w:t>and</w:t>
            </w:r>
            <w:r w:rsidRPr="00DA01ED">
              <w:rPr>
                <w:rFonts w:eastAsia="Times New Roman"/>
                <w:sz w:val="22"/>
              </w:rPr>
              <w:t xml:space="preserve"> a daily risk of 3%–7% for acqui</w:t>
            </w:r>
            <w:r w:rsidR="009F7A2E">
              <w:rPr>
                <w:rFonts w:eastAsia="Times New Roman"/>
                <w:sz w:val="22"/>
              </w:rPr>
              <w:t>ring new microorganisms, reduced</w:t>
            </w:r>
            <w:r w:rsidRPr="00DA01ED">
              <w:rPr>
                <w:rFonts w:eastAsia="Times New Roman"/>
                <w:sz w:val="22"/>
              </w:rPr>
              <w:t xml:space="preserve"> antibiotic effectiveness. Although CAUTI morbidity and mortality rates </w:t>
            </w:r>
            <w:r w:rsidR="009F7A2E">
              <w:rPr>
                <w:rFonts w:eastAsia="Times New Roman"/>
                <w:sz w:val="22"/>
              </w:rPr>
              <w:t>were</w:t>
            </w:r>
            <w:r w:rsidRPr="00DA01ED">
              <w:rPr>
                <w:rFonts w:eastAsia="Times New Roman"/>
                <w:sz w:val="22"/>
              </w:rPr>
              <w:t xml:space="preserve"> relatively low, cancer patients with compromised immunity and frequent catheter use face</w:t>
            </w:r>
            <w:r w:rsidR="009F7A2E">
              <w:rPr>
                <w:rFonts w:eastAsia="Times New Roman"/>
                <w:sz w:val="22"/>
              </w:rPr>
              <w:t>d</w:t>
            </w:r>
            <w:r w:rsidRPr="00DA01ED">
              <w:rPr>
                <w:rFonts w:eastAsia="Times New Roman"/>
                <w:sz w:val="22"/>
              </w:rPr>
              <w:t xml:space="preserve"> heightened infection risks. Issues </w:t>
            </w:r>
            <w:r w:rsidR="009F7A2E">
              <w:rPr>
                <w:rFonts w:eastAsia="Times New Roman"/>
                <w:sz w:val="22"/>
              </w:rPr>
              <w:t>such as</w:t>
            </w:r>
            <w:r w:rsidRPr="00DA01ED">
              <w:rPr>
                <w:rFonts w:eastAsia="Times New Roman"/>
                <w:sz w:val="22"/>
              </w:rPr>
              <w:t xml:space="preserve"> undocumented reasons for catheter insertion, </w:t>
            </w:r>
            <w:proofErr w:type="gramStart"/>
            <w:r w:rsidRPr="00DA01ED">
              <w:rPr>
                <w:rFonts w:eastAsia="Times New Roman"/>
                <w:sz w:val="22"/>
              </w:rPr>
              <w:t>nurses</w:t>
            </w:r>
            <w:proofErr w:type="gramEnd"/>
            <w:r w:rsidRPr="00DA01ED">
              <w:rPr>
                <w:rFonts w:eastAsia="Times New Roman"/>
                <w:sz w:val="22"/>
              </w:rPr>
              <w:t xml:space="preserve"> not aligning reasons with guidelines, and suboptimal hand hygiene practices (69.6%), </w:t>
            </w:r>
            <w:r w:rsidR="00E82BC8">
              <w:rPr>
                <w:rFonts w:eastAsia="Times New Roman"/>
                <w:sz w:val="22"/>
              </w:rPr>
              <w:t>led to CAUTIs.</w:t>
            </w:r>
            <w:r w:rsidR="0072106F" w:rsidRPr="00224D63">
              <w:rPr>
                <w:rFonts w:eastAsia="Times New Roman"/>
                <w:sz w:val="22"/>
              </w:rPr>
              <w:t> </w:t>
            </w:r>
          </w:p>
        </w:tc>
      </w:tr>
      <w:tr w:rsidR="0072106F" w:rsidRPr="00224D63" w14:paraId="25169C05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F2B63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Recommendations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6B605120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5227F" w14:textId="05EB6E3F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 w:rsidRPr="00C60C9E">
              <w:rPr>
                <w:rFonts w:eastAsia="Times New Roman"/>
                <w:sz w:val="22"/>
              </w:rPr>
              <w:t>Incorporating the implementation of a care bundle and regularly assessing adherence to each element should be integrated into standard practices of Hospital Infection Control Committee (HICC).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9554D" w14:textId="43E3073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Further research should focus on reducing CAUTIs in outpatient settings.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A4BC8" w14:textId="3BD719AE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>
              <w:rPr>
                <w:rFonts w:eastAsia="Times New Roman"/>
                <w:sz w:val="22"/>
              </w:rPr>
              <w:t>Additional research should be conducted to evaluate the effectiveness of Bi-Fi free technology catheters compared to the conventional catheters.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EBD281" w14:textId="03524CF9" w:rsidR="0072106F" w:rsidRDefault="00E82BC8" w:rsidP="00E82BC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Q</w:t>
            </w:r>
            <w:r w:rsidRPr="00E82BC8">
              <w:rPr>
                <w:rFonts w:eastAsia="Times New Roman"/>
                <w:sz w:val="22"/>
              </w:rPr>
              <w:t xml:space="preserve">uality improvement initiatives </w:t>
            </w:r>
            <w:r>
              <w:rPr>
                <w:rFonts w:eastAsia="Times New Roman"/>
                <w:sz w:val="22"/>
              </w:rPr>
              <w:t>such as CAUTI bundle protocols should be impl</w:t>
            </w:r>
            <w:r w:rsidR="00B41789">
              <w:rPr>
                <w:rFonts w:eastAsia="Times New Roman"/>
                <w:sz w:val="22"/>
              </w:rPr>
              <w:t>e</w:t>
            </w:r>
            <w:r>
              <w:rPr>
                <w:rFonts w:eastAsia="Times New Roman"/>
                <w:sz w:val="22"/>
              </w:rPr>
              <w:t xml:space="preserve">mented </w:t>
            </w:r>
            <w:r w:rsidRPr="00E82BC8">
              <w:rPr>
                <w:rFonts w:eastAsia="Times New Roman"/>
                <w:sz w:val="22"/>
              </w:rPr>
              <w:t>to improve patient safety and enhance their overall experiences.</w:t>
            </w:r>
          </w:p>
          <w:p w14:paraId="562A0535" w14:textId="08E9CB73" w:rsidR="00B41789" w:rsidRPr="00E82BC8" w:rsidRDefault="00B41789" w:rsidP="00E82BC8">
            <w:pPr>
              <w:spacing w:after="0"/>
              <w:textAlignment w:val="baseline"/>
              <w:rPr>
                <w:rFonts w:eastAsia="Times New Roman"/>
                <w:sz w:val="22"/>
              </w:rPr>
            </w:pPr>
            <w:r w:rsidRPr="00B41789">
              <w:rPr>
                <w:rFonts w:eastAsia="Times New Roman"/>
                <w:sz w:val="22"/>
              </w:rPr>
              <w:t>An area that needs additional enhancement is the insufficient practice of hand hygiene and the utilization of personal protective equipment (PPE) during the insertion and maintenance of catheters.</w:t>
            </w:r>
          </w:p>
        </w:tc>
      </w:tr>
      <w:tr w:rsidR="0072106F" w:rsidRPr="00224D63" w14:paraId="54738A3B" w14:textId="77777777" w:rsidTr="00A03D53">
        <w:trPr>
          <w:trHeight w:val="5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6F6C3684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b/>
                <w:bCs/>
                <w:sz w:val="22"/>
              </w:rPr>
              <w:t>Explanation of How the Article Supports EBP/Capstone</w:t>
            </w:r>
            <w:r w:rsidRPr="00224D63">
              <w:rPr>
                <w:rFonts w:eastAsia="Times New Roman"/>
                <w:sz w:val="22"/>
              </w:rPr>
              <w:t> </w:t>
            </w:r>
          </w:p>
          <w:p w14:paraId="257469D4" w14:textId="77777777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7E0CB7DD" w14:textId="59AB2841" w:rsidR="0072106F" w:rsidRPr="00224D63" w:rsidRDefault="0072106F" w:rsidP="0072106F">
            <w:pPr>
              <w:tabs>
                <w:tab w:val="center" w:pos="985"/>
              </w:tabs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0718DC">
              <w:rPr>
                <w:rFonts w:eastAsia="Times New Roman"/>
                <w:sz w:val="22"/>
              </w:rPr>
              <w:t xml:space="preserve">The study was specifically designed to evaluate the impact of a catheter care bundle on reducing CAUTI incidence. </w:t>
            </w:r>
            <w:r>
              <w:rPr>
                <w:rFonts w:eastAsia="Times New Roman"/>
                <w:sz w:val="22"/>
              </w:rPr>
              <w:t>As such, it supports the capstone project because it</w:t>
            </w:r>
            <w:r w:rsidRPr="000718DC">
              <w:rPr>
                <w:rFonts w:eastAsia="Times New Roman"/>
                <w:sz w:val="22"/>
              </w:rPr>
              <w:t xml:space="preserve"> directly relates to the objectives of the capstone project, which aims to implement a CAUTI bundle to reduce the occurrence of urinary tract infections in adult oncology patients with indwelling catheters.</w:t>
            </w:r>
            <w:r>
              <w:rPr>
                <w:rFonts w:eastAsia="Times New Roman"/>
                <w:sz w:val="22"/>
              </w:rPr>
              <w:tab/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48F68EEC" w14:textId="3E3807FF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 w:rsidRPr="00224D63">
              <w:rPr>
                <w:rFonts w:eastAsia="Times New Roman"/>
                <w:sz w:val="22"/>
              </w:rPr>
              <w:t> </w:t>
            </w:r>
            <w:r>
              <w:rPr>
                <w:rFonts w:eastAsia="Times New Roman"/>
                <w:sz w:val="22"/>
              </w:rPr>
              <w:t>T</w:t>
            </w:r>
            <w:r w:rsidRPr="00D23C67">
              <w:rPr>
                <w:rFonts w:eastAsia="Times New Roman"/>
                <w:sz w:val="22"/>
              </w:rPr>
              <w:t>he study's positive outcomes, including a reduction in CAUTI rates, improved patient education, and enhanced processes, provide a strong foundation for advocating the implementation of a CAUTI bundle in adult oncology patients with indwelling catheters</w:t>
            </w:r>
            <w:r>
              <w:rPr>
                <w:rFonts w:eastAsia="Times New Roman"/>
                <w:sz w:val="22"/>
              </w:rPr>
              <w:t>, thus supporting the capstone project</w:t>
            </w:r>
            <w:r w:rsidRPr="00D23C67">
              <w:rPr>
                <w:rFonts w:eastAsia="Times New Roman"/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5D5D478" w14:textId="364051F1" w:rsidR="0072106F" w:rsidRPr="00224D63" w:rsidRDefault="0072106F" w:rsidP="0072106F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>The study supports the capstone by raising awareness on the rates of CAUTIs in oncology patients.</w:t>
            </w:r>
            <w:r w:rsidRPr="00224D63">
              <w:rPr>
                <w:rFonts w:eastAsia="Times New Roman"/>
                <w:sz w:val="22"/>
              </w:rPr>
              <w:t> 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6744C62D" w14:textId="1918BF42" w:rsidR="0072106F" w:rsidRPr="00224D63" w:rsidRDefault="00B41789" w:rsidP="0094312A">
            <w:pPr>
              <w:spacing w:after="0"/>
              <w:textAlignment w:val="baseline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 w:val="22"/>
              </w:rPr>
              <w:t xml:space="preserve">The study supports the project by underscoring the importance of implementing and adhering to CAUTI bundles to enhance patient </w:t>
            </w:r>
            <w:r w:rsidR="0094312A">
              <w:rPr>
                <w:rFonts w:eastAsia="Times New Roman"/>
                <w:sz w:val="22"/>
              </w:rPr>
              <w:t>safety and experiences</w:t>
            </w:r>
            <w:r w:rsidR="00854D4D">
              <w:rPr>
                <w:rFonts w:eastAsia="Times New Roman"/>
                <w:sz w:val="22"/>
              </w:rPr>
              <w:t>. This aligns with the project’s goals</w:t>
            </w:r>
            <w:r w:rsidR="0072106F" w:rsidRPr="00224D63">
              <w:rPr>
                <w:rFonts w:eastAsia="Times New Roman"/>
                <w:sz w:val="22"/>
              </w:rPr>
              <w:t> </w:t>
            </w:r>
            <w:r w:rsidR="00854D4D">
              <w:rPr>
                <w:rFonts w:eastAsia="Times New Roman"/>
                <w:sz w:val="22"/>
              </w:rPr>
              <w:t>of reducing CAUTIs in adult oncology patients with indwelling catheters.</w:t>
            </w:r>
          </w:p>
        </w:tc>
      </w:tr>
    </w:tbl>
    <w:p w14:paraId="6F8AEA20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22"/>
        </w:rPr>
        <w:t> </w:t>
      </w:r>
    </w:p>
    <w:p w14:paraId="3F44AEA8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22"/>
        </w:rPr>
        <w:t> </w:t>
      </w:r>
    </w:p>
    <w:p w14:paraId="48ED4590" w14:textId="77777777" w:rsidR="00224D63" w:rsidRPr="00224D63" w:rsidRDefault="00224D63" w:rsidP="00224D63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24D63">
        <w:rPr>
          <w:rFonts w:eastAsia="Times New Roman"/>
          <w:sz w:val="22"/>
        </w:rPr>
        <w:t> </w:t>
      </w:r>
    </w:p>
    <w:p w14:paraId="02CC8873" w14:textId="77777777" w:rsidR="00673C2C" w:rsidRDefault="00673C2C" w:rsidP="00E3078E"/>
    <w:p w14:paraId="7B9B609E" w14:textId="77777777" w:rsidR="00673C2C" w:rsidRPr="00673C2C" w:rsidRDefault="00673C2C" w:rsidP="00673C2C"/>
    <w:p w14:paraId="4AFF59D7" w14:textId="77777777" w:rsidR="00854D4D" w:rsidRDefault="00854D4D">
      <w:pPr>
        <w:spacing w:after="0"/>
      </w:pPr>
      <w:r>
        <w:br w:type="page"/>
      </w:r>
    </w:p>
    <w:p w14:paraId="12D67A20" w14:textId="656E13ED" w:rsidR="00673C2C" w:rsidRPr="00854D4D" w:rsidRDefault="0098439D" w:rsidP="00854D4D">
      <w:pPr>
        <w:jc w:val="center"/>
        <w:rPr>
          <w:b/>
        </w:rPr>
      </w:pPr>
      <w:r w:rsidRPr="00854D4D">
        <w:rPr>
          <w:b/>
        </w:rPr>
        <w:t>References</w:t>
      </w:r>
    </w:p>
    <w:p w14:paraId="79FF595E" w14:textId="5414680E" w:rsidR="0098439D" w:rsidRPr="00673C2C" w:rsidRDefault="0098439D" w:rsidP="0096353F">
      <w:pPr>
        <w:spacing w:after="0" w:line="480" w:lineRule="auto"/>
        <w:ind w:left="720" w:hanging="720"/>
      </w:pPr>
      <w:r w:rsidRPr="004E3F36">
        <w:rPr>
          <w:rFonts w:eastAsia="Times New Roman"/>
          <w:sz w:val="22"/>
        </w:rPr>
        <w:t xml:space="preserve">Davies, P. E., Daley, M. J., Hecht, J., Hobbs, A., Burger, C., Watkins, L., Murray, T., </w:t>
      </w:r>
      <w:proofErr w:type="spellStart"/>
      <w:r w:rsidRPr="004E3F36">
        <w:rPr>
          <w:rFonts w:eastAsia="Times New Roman"/>
          <w:sz w:val="22"/>
        </w:rPr>
        <w:t>Shea</w:t>
      </w:r>
      <w:proofErr w:type="spellEnd"/>
      <w:r w:rsidRPr="004E3F36">
        <w:rPr>
          <w:rFonts w:eastAsia="Times New Roman"/>
          <w:sz w:val="22"/>
        </w:rPr>
        <w:t xml:space="preserve">, K., Ali, S., Brown, L. H., </w:t>
      </w:r>
      <w:proofErr w:type="spellStart"/>
      <w:r w:rsidRPr="004E3F36">
        <w:rPr>
          <w:rFonts w:eastAsia="Times New Roman"/>
          <w:sz w:val="22"/>
        </w:rPr>
        <w:t>Coopwood</w:t>
      </w:r>
      <w:proofErr w:type="spellEnd"/>
      <w:r w:rsidRPr="004E3F36">
        <w:rPr>
          <w:rFonts w:eastAsia="Times New Roman"/>
          <w:sz w:val="22"/>
        </w:rPr>
        <w:t>, T. B., &amp; Brown, C. V. R. (2018). Effectiveness of a bundled approach to reduce urinary catheters and infection rates in trauma patients. </w:t>
      </w:r>
      <w:r w:rsidRPr="004E3F36">
        <w:rPr>
          <w:rFonts w:eastAsia="Times New Roman"/>
          <w:i/>
          <w:iCs/>
          <w:sz w:val="22"/>
        </w:rPr>
        <w:t>American journal of infection control</w:t>
      </w:r>
      <w:r w:rsidRPr="004E3F36">
        <w:rPr>
          <w:rFonts w:eastAsia="Times New Roman"/>
          <w:sz w:val="22"/>
        </w:rPr>
        <w:t>, </w:t>
      </w:r>
      <w:r w:rsidRPr="004E3F36">
        <w:rPr>
          <w:rFonts w:eastAsia="Times New Roman"/>
          <w:i/>
          <w:iCs/>
          <w:sz w:val="22"/>
        </w:rPr>
        <w:t>46</w:t>
      </w:r>
      <w:r w:rsidRPr="004E3F36">
        <w:rPr>
          <w:rFonts w:eastAsia="Times New Roman"/>
          <w:sz w:val="22"/>
        </w:rPr>
        <w:t xml:space="preserve">(7), 758–763. </w:t>
      </w:r>
      <w:hyperlink r:id="rId18" w:history="1">
        <w:r w:rsidRPr="006D6895">
          <w:rPr>
            <w:rStyle w:val="Hyperlink"/>
            <w:rFonts w:eastAsia="Times New Roman"/>
            <w:sz w:val="22"/>
          </w:rPr>
          <w:t>https://doi.org/10.1016/j.ajic.2017.11.032</w:t>
        </w:r>
      </w:hyperlink>
    </w:p>
    <w:p w14:paraId="03D98BEC" w14:textId="12346C1D" w:rsidR="00FC2482" w:rsidRDefault="00FC2482" w:rsidP="0096353F">
      <w:pPr>
        <w:spacing w:after="0" w:line="480" w:lineRule="auto"/>
        <w:ind w:left="720" w:hanging="720"/>
      </w:pPr>
      <w:r>
        <w:t xml:space="preserve">Gad, M. H., &amp; </w:t>
      </w:r>
      <w:proofErr w:type="spellStart"/>
      <w:r>
        <w:t>AbdelAziz</w:t>
      </w:r>
      <w:proofErr w:type="spellEnd"/>
      <w:r>
        <w:t xml:space="preserve">, H. H. (2021). Catheter-associated urinary tract infections in the adult patient group: A qualitative systematic review on the adopted preventative and interventional protocols from the literature. </w:t>
      </w:r>
      <w:proofErr w:type="spellStart"/>
      <w:r w:rsidRPr="00FC2482">
        <w:rPr>
          <w:i/>
        </w:rPr>
        <w:t>Cureus</w:t>
      </w:r>
      <w:proofErr w:type="spellEnd"/>
      <w:r w:rsidRPr="00FC2482">
        <w:rPr>
          <w:i/>
        </w:rPr>
        <w:t>, 13(7).</w:t>
      </w:r>
      <w:r>
        <w:t xml:space="preserve"> </w:t>
      </w:r>
      <w:hyperlink r:id="rId19" w:history="1">
        <w:r w:rsidRPr="006D6895">
          <w:rPr>
            <w:rStyle w:val="Hyperlink"/>
          </w:rPr>
          <w:t>https://doi.org/10.7759/cureus.16284</w:t>
        </w:r>
      </w:hyperlink>
    </w:p>
    <w:p w14:paraId="41BBA5C3" w14:textId="5822666A" w:rsidR="007B68EA" w:rsidRDefault="007B68EA" w:rsidP="0096353F">
      <w:pPr>
        <w:spacing w:after="0" w:line="480" w:lineRule="auto"/>
        <w:ind w:left="720" w:hanging="720"/>
      </w:pPr>
      <w:r w:rsidRPr="007B68EA">
        <w:t xml:space="preserve">Van Decker, S. G., Bosch, N., &amp; Murphy, J. (2021). Catheter-associated urinary tract infection reduction in critical care units: A bundled care model. </w:t>
      </w:r>
      <w:r w:rsidRPr="007B68EA">
        <w:rPr>
          <w:i/>
          <w:iCs/>
        </w:rPr>
        <w:t>BMJ Open Quality</w:t>
      </w:r>
      <w:r w:rsidRPr="007B68EA">
        <w:t xml:space="preserve">, </w:t>
      </w:r>
      <w:r w:rsidRPr="007B68EA">
        <w:rPr>
          <w:i/>
          <w:iCs/>
        </w:rPr>
        <w:t>10</w:t>
      </w:r>
      <w:r w:rsidRPr="007B68EA">
        <w:t xml:space="preserve">(4). </w:t>
      </w:r>
      <w:hyperlink r:id="rId20" w:history="1">
        <w:r w:rsidRPr="006D6895">
          <w:rPr>
            <w:rStyle w:val="Hyperlink"/>
          </w:rPr>
          <w:t>https://doi.org/10.1136/bmjoq-2021-001534</w:t>
        </w:r>
      </w:hyperlink>
    </w:p>
    <w:p w14:paraId="6B34240C" w14:textId="4A052079" w:rsidR="00FC2482" w:rsidRDefault="00FC2482" w:rsidP="0096353F">
      <w:pPr>
        <w:spacing w:after="0" w:line="480" w:lineRule="auto"/>
        <w:ind w:left="720" w:hanging="720"/>
      </w:pPr>
      <w:proofErr w:type="spellStart"/>
      <w:r>
        <w:t>Menegueti</w:t>
      </w:r>
      <w:proofErr w:type="spellEnd"/>
      <w:r>
        <w:t xml:space="preserve">, M. G., </w:t>
      </w:r>
      <w:proofErr w:type="spellStart"/>
      <w:r>
        <w:t>Ciol</w:t>
      </w:r>
      <w:proofErr w:type="spellEnd"/>
      <w:r>
        <w:t xml:space="preserve">, M. A., </w:t>
      </w:r>
      <w:proofErr w:type="spellStart"/>
      <w:r>
        <w:t>Bellissimo</w:t>
      </w:r>
      <w:proofErr w:type="spellEnd"/>
      <w:r>
        <w:t xml:space="preserve">-Rodrigues, F., </w:t>
      </w:r>
      <w:proofErr w:type="spellStart"/>
      <w:r>
        <w:t>Auxiliadora</w:t>
      </w:r>
      <w:proofErr w:type="spellEnd"/>
      <w:r>
        <w:t xml:space="preserve">-Martins, M., Gaspar, G. G., </w:t>
      </w:r>
      <w:proofErr w:type="spellStart"/>
      <w:r>
        <w:t>Canini</w:t>
      </w:r>
      <w:proofErr w:type="spellEnd"/>
      <w:r>
        <w:t xml:space="preserve">, S. R. M. D. S., </w:t>
      </w:r>
      <w:proofErr w:type="spellStart"/>
      <w:r>
        <w:t>Basile-Filho</w:t>
      </w:r>
      <w:proofErr w:type="spellEnd"/>
      <w:r>
        <w:t xml:space="preserve">, A., &amp; </w:t>
      </w:r>
      <w:proofErr w:type="spellStart"/>
      <w:r>
        <w:t>Laus</w:t>
      </w:r>
      <w:proofErr w:type="spellEnd"/>
      <w:r>
        <w:t xml:space="preserve">, A. M. (2019). Long-term prevention of catheter-associated urinary tract infections among critically ill patients through the implementation of an educational program and a daily checklist for maintenance of indwelling urinary catheters: A quasi-experimental study. </w:t>
      </w:r>
      <w:r w:rsidRPr="00FC2482">
        <w:rPr>
          <w:i/>
        </w:rPr>
        <w:t>Medicine, 98(8),</w:t>
      </w:r>
      <w:r>
        <w:t xml:space="preserve"> e14417. </w:t>
      </w:r>
      <w:hyperlink r:id="rId21" w:history="1">
        <w:r w:rsidRPr="006D6895">
          <w:rPr>
            <w:rStyle w:val="Hyperlink"/>
          </w:rPr>
          <w:t>https://doi.org/10.1097/MD.0000000000014417</w:t>
        </w:r>
      </w:hyperlink>
    </w:p>
    <w:p w14:paraId="62F03087" w14:textId="523BA8DD" w:rsidR="00F66D60" w:rsidRDefault="00F66D60" w:rsidP="0096353F">
      <w:pPr>
        <w:spacing w:after="0" w:line="480" w:lineRule="auto"/>
        <w:ind w:left="720" w:hanging="720"/>
      </w:pPr>
      <w:proofErr w:type="spellStart"/>
      <w:r w:rsidRPr="00F66D60">
        <w:t>Paiva</w:t>
      </w:r>
      <w:proofErr w:type="spellEnd"/>
      <w:r w:rsidRPr="00F66D60">
        <w:t xml:space="preserve">-Santos, F., Santos-Costa, P., Bastos, C., &amp; </w:t>
      </w:r>
      <w:proofErr w:type="spellStart"/>
      <w:r w:rsidRPr="00F66D60">
        <w:t>Graveto</w:t>
      </w:r>
      <w:proofErr w:type="spellEnd"/>
      <w:r w:rsidRPr="00F66D60">
        <w:t xml:space="preserve">, J. (2023). Nurses’ adherence to the </w:t>
      </w:r>
      <w:proofErr w:type="spellStart"/>
      <w:proofErr w:type="gramStart"/>
      <w:r w:rsidRPr="00F66D60">
        <w:t>portuguese</w:t>
      </w:r>
      <w:proofErr w:type="spellEnd"/>
      <w:proofErr w:type="gramEnd"/>
      <w:r w:rsidRPr="00F66D60">
        <w:t xml:space="preserve"> standard to prevent catheter-associated urinary tract infections (CAUTIs): An observational study. </w:t>
      </w:r>
      <w:r w:rsidRPr="00F66D60">
        <w:rPr>
          <w:i/>
          <w:iCs/>
        </w:rPr>
        <w:t>Nursing Reports</w:t>
      </w:r>
      <w:r w:rsidRPr="00F66D60">
        <w:t xml:space="preserve">, </w:t>
      </w:r>
      <w:r w:rsidRPr="00F66D60">
        <w:rPr>
          <w:i/>
          <w:iCs/>
        </w:rPr>
        <w:t>13</w:t>
      </w:r>
      <w:r w:rsidRPr="00F66D60">
        <w:t xml:space="preserve">(4), 1432-1441. </w:t>
      </w:r>
      <w:hyperlink r:id="rId22" w:history="1">
        <w:r w:rsidRPr="006D6895">
          <w:rPr>
            <w:rStyle w:val="Hyperlink"/>
          </w:rPr>
          <w:t>https://doi.org/10.3390/nursrep13040120</w:t>
        </w:r>
      </w:hyperlink>
    </w:p>
    <w:p w14:paraId="1A041402" w14:textId="477EB4F0" w:rsidR="0089383B" w:rsidRDefault="0089383B" w:rsidP="0096353F">
      <w:pPr>
        <w:spacing w:after="0" w:line="480" w:lineRule="auto"/>
        <w:ind w:left="720" w:hanging="720"/>
      </w:pPr>
      <w:r w:rsidRPr="0089383B">
        <w:t xml:space="preserve">Soundaram, G. V., </w:t>
      </w:r>
      <w:proofErr w:type="spellStart"/>
      <w:r w:rsidRPr="0089383B">
        <w:t>Sundaramurthy</w:t>
      </w:r>
      <w:proofErr w:type="spellEnd"/>
      <w:r w:rsidRPr="0089383B">
        <w:t xml:space="preserve">, R., </w:t>
      </w:r>
      <w:proofErr w:type="spellStart"/>
      <w:r w:rsidRPr="0089383B">
        <w:t>Jeyashree</w:t>
      </w:r>
      <w:proofErr w:type="spellEnd"/>
      <w:r w:rsidRPr="0089383B">
        <w:t xml:space="preserve">, K., </w:t>
      </w:r>
      <w:proofErr w:type="spellStart"/>
      <w:r w:rsidRPr="0089383B">
        <w:t>Ganesan</w:t>
      </w:r>
      <w:proofErr w:type="spellEnd"/>
      <w:r w:rsidRPr="0089383B">
        <w:t xml:space="preserve">, V., </w:t>
      </w:r>
      <w:proofErr w:type="spellStart"/>
      <w:r w:rsidRPr="0089383B">
        <w:t>Arunagiri</w:t>
      </w:r>
      <w:proofErr w:type="spellEnd"/>
      <w:r w:rsidRPr="0089383B">
        <w:t>, R., &amp; Charles, J. (2020). Impact of care bundle implementation on incidence of catheter-assoc</w:t>
      </w:r>
      <w:r>
        <w:t>iated urinary tract infection: A</w:t>
      </w:r>
      <w:r w:rsidRPr="0089383B">
        <w:t xml:space="preserve"> comparative study in the intensive care units of a tertiary care teaching hospital in South India. </w:t>
      </w:r>
      <w:r w:rsidRPr="0089383B">
        <w:rPr>
          <w:i/>
          <w:iCs/>
        </w:rPr>
        <w:t>Indian jo</w:t>
      </w:r>
      <w:r>
        <w:rPr>
          <w:i/>
          <w:iCs/>
        </w:rPr>
        <w:t>urnal of Critical Care Medicine</w:t>
      </w:r>
      <w:r w:rsidRPr="0089383B">
        <w:rPr>
          <w:i/>
          <w:iCs/>
        </w:rPr>
        <w:t>: Peer-Reviewed, Official Publication of Indian Society of Critical Care Medicine</w:t>
      </w:r>
      <w:r w:rsidRPr="0089383B">
        <w:t>, </w:t>
      </w:r>
      <w:r w:rsidRPr="0089383B">
        <w:rPr>
          <w:i/>
          <w:iCs/>
        </w:rPr>
        <w:t>24</w:t>
      </w:r>
      <w:r w:rsidRPr="0089383B">
        <w:t xml:space="preserve">(7), 544–550. </w:t>
      </w:r>
      <w:hyperlink r:id="rId23" w:history="1">
        <w:r w:rsidRPr="006D6895">
          <w:rPr>
            <w:rStyle w:val="Hyperlink"/>
          </w:rPr>
          <w:t>https://doi.org/10.5005/jp-journals-10071-23473</w:t>
        </w:r>
      </w:hyperlink>
    </w:p>
    <w:p w14:paraId="1091E9FE" w14:textId="02267FDE" w:rsidR="00FC2482" w:rsidRDefault="00FC2482" w:rsidP="0096353F">
      <w:pPr>
        <w:spacing w:after="0" w:line="480" w:lineRule="auto"/>
        <w:ind w:left="720" w:hanging="720"/>
      </w:pPr>
      <w:r>
        <w:t xml:space="preserve">Spencer, T. S., Flynn </w:t>
      </w:r>
      <w:proofErr w:type="spellStart"/>
      <w:r>
        <w:t>Makic</w:t>
      </w:r>
      <w:proofErr w:type="spellEnd"/>
      <w:r>
        <w:t xml:space="preserve">, M. B., &amp; Shaw, K. (2019). Decreasing Catheter-Associated Urinary Tract Infections in Urologic Oncology Patients Discharged With an Indwelling Urinary Catheter: A Quality Improvement Project. </w:t>
      </w:r>
      <w:r w:rsidRPr="00FC2482">
        <w:rPr>
          <w:i/>
        </w:rPr>
        <w:t xml:space="preserve">Journal of </w:t>
      </w:r>
      <w:proofErr w:type="spellStart"/>
      <w:r w:rsidRPr="00FC2482">
        <w:rPr>
          <w:i/>
        </w:rPr>
        <w:t>Perianesthesia</w:t>
      </w:r>
      <w:proofErr w:type="spellEnd"/>
      <w:r w:rsidRPr="00FC2482">
        <w:rPr>
          <w:i/>
        </w:rPr>
        <w:t xml:space="preserve"> Nursing: Official Journal of the American Society of </w:t>
      </w:r>
      <w:proofErr w:type="spellStart"/>
      <w:r w:rsidRPr="00FC2482">
        <w:rPr>
          <w:i/>
        </w:rPr>
        <w:t>PeriAnesthesia</w:t>
      </w:r>
      <w:proofErr w:type="spellEnd"/>
      <w:r w:rsidRPr="00FC2482">
        <w:rPr>
          <w:i/>
        </w:rPr>
        <w:t xml:space="preserve"> Nurses, 34(2), </w:t>
      </w:r>
      <w:r>
        <w:t xml:space="preserve">394–402. </w:t>
      </w:r>
      <w:hyperlink r:id="rId24" w:history="1">
        <w:r w:rsidRPr="006D6895">
          <w:rPr>
            <w:rStyle w:val="Hyperlink"/>
          </w:rPr>
          <w:t>https://doi.org/10.1016/j.jopan.2018.07.002</w:t>
        </w:r>
      </w:hyperlink>
    </w:p>
    <w:p w14:paraId="6D3904B2" w14:textId="77777777" w:rsidR="00FC2482" w:rsidRDefault="00FC2482" w:rsidP="0096353F">
      <w:pPr>
        <w:spacing w:after="0" w:line="480" w:lineRule="auto"/>
        <w:ind w:left="720" w:hanging="720"/>
      </w:pPr>
      <w:r>
        <w:t xml:space="preserve">Tae, B. S., Oh, J. J., </w:t>
      </w:r>
      <w:proofErr w:type="spellStart"/>
      <w:r>
        <w:t>Jeong</w:t>
      </w:r>
      <w:proofErr w:type="spellEnd"/>
      <w:r>
        <w:t xml:space="preserve">, B. C., &amp; Ku, J. H. (2022). Catheter-associated urinary tract infections in patients who have undergone radical cystectomy for bladder cancer: A prospective randomized clinical study of two silicone catheters (clinical benefit of antibiotic silicone material). </w:t>
      </w:r>
      <w:r>
        <w:rPr>
          <w:i/>
        </w:rPr>
        <w:t>Investigative and Clinical U</w:t>
      </w:r>
      <w:r w:rsidRPr="00FC2482">
        <w:rPr>
          <w:i/>
        </w:rPr>
        <w:t>rology, 63(3),</w:t>
      </w:r>
      <w:r>
        <w:t xml:space="preserve"> 334–340. </w:t>
      </w:r>
      <w:hyperlink r:id="rId25" w:history="1">
        <w:r w:rsidRPr="006D6895">
          <w:rPr>
            <w:rStyle w:val="Hyperlink"/>
          </w:rPr>
          <w:t>https://doi.org/10.4111/icu.20210436</w:t>
        </w:r>
      </w:hyperlink>
    </w:p>
    <w:p w14:paraId="314AF3BD" w14:textId="77777777" w:rsidR="00FC2482" w:rsidRDefault="00FC2482" w:rsidP="0096353F">
      <w:pPr>
        <w:spacing w:after="0" w:line="480" w:lineRule="auto"/>
        <w:ind w:left="720" w:hanging="720"/>
      </w:pPr>
    </w:p>
    <w:p w14:paraId="5618B2CF" w14:textId="59DDC7E6" w:rsidR="00673C2C" w:rsidRPr="00673C2C" w:rsidRDefault="00FC2482" w:rsidP="0096353F">
      <w:pPr>
        <w:spacing w:after="0" w:line="480" w:lineRule="auto"/>
      </w:pPr>
      <w:r>
        <w:tab/>
      </w:r>
    </w:p>
    <w:sectPr w:rsidR="00673C2C" w:rsidRPr="00673C2C" w:rsidSect="00723B6D">
      <w:head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32A13" w14:textId="77777777" w:rsidR="00AC682A" w:rsidRDefault="00AC682A" w:rsidP="00E3078E">
      <w:pPr>
        <w:spacing w:after="0"/>
      </w:pPr>
      <w:r>
        <w:separator/>
      </w:r>
    </w:p>
  </w:endnote>
  <w:endnote w:type="continuationSeparator" w:id="0">
    <w:p w14:paraId="49D5DAFB" w14:textId="77777777" w:rsidR="00AC682A" w:rsidRDefault="00AC682A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F24AB" w14:textId="09D3C75B" w:rsidR="00E82BC8" w:rsidRPr="00723B6D" w:rsidRDefault="00E82BC8" w:rsidP="00723B6D">
    <w:pPr>
      <w:jc w:val="center"/>
    </w:pPr>
    <w:r w:rsidRPr="00723B6D">
      <w:t xml:space="preserve">© </w:t>
    </w:r>
    <w:r>
      <w:t>2022.</w:t>
    </w:r>
    <w:r w:rsidRPr="00723B6D">
      <w:t xml:space="preserve"> Grand Canyon University. All Rights Reserved.</w:t>
    </w:r>
  </w:p>
  <w:p w14:paraId="622E747C" w14:textId="77777777" w:rsidR="00E82BC8" w:rsidRDefault="00E8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EF2A5" w14:textId="77777777" w:rsidR="00AC682A" w:rsidRDefault="00AC682A" w:rsidP="00E3078E">
      <w:pPr>
        <w:spacing w:after="0"/>
      </w:pPr>
      <w:r>
        <w:separator/>
      </w:r>
    </w:p>
  </w:footnote>
  <w:footnote w:type="continuationSeparator" w:id="0">
    <w:p w14:paraId="3A9678D1" w14:textId="77777777" w:rsidR="00AC682A" w:rsidRDefault="00AC682A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179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D2C324" w14:textId="6468D1FB" w:rsidR="00854D4D" w:rsidRDefault="00854D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7A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7ED49A8" w14:textId="77777777" w:rsidR="00E82BC8" w:rsidRDefault="00E82BC8" w:rsidP="002A3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FEB64" w14:textId="77777777" w:rsidR="00E82BC8" w:rsidRDefault="00E82BC8">
    <w:pPr>
      <w:pStyle w:val="Header"/>
    </w:pPr>
    <w:r>
      <w:rPr>
        <w:noProof/>
      </w:rPr>
      <w:drawing>
        <wp:inline distT="0" distB="0" distL="0" distR="0" wp14:anchorId="4865AC77" wp14:editId="7F962512">
          <wp:extent cx="306705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762031" w14:textId="77777777" w:rsidR="00E82BC8" w:rsidRDefault="00E82BC8">
    <w:pPr>
      <w:pStyle w:val="Header"/>
    </w:pPr>
  </w:p>
  <w:p w14:paraId="11BDA882" w14:textId="77777777" w:rsidR="00E82BC8" w:rsidRDefault="00E82B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122D4"/>
    <w:multiLevelType w:val="multilevel"/>
    <w:tmpl w:val="9C8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wNzKwMDExMLQ0NjJU0lEKTi0uzszPAykwrAUAu/dbhCwAAAA="/>
  </w:docVars>
  <w:rsids>
    <w:rsidRoot w:val="00224D63"/>
    <w:rsid w:val="000310F3"/>
    <w:rsid w:val="000465AC"/>
    <w:rsid w:val="000718DC"/>
    <w:rsid w:val="000738B2"/>
    <w:rsid w:val="0008302A"/>
    <w:rsid w:val="00086331"/>
    <w:rsid w:val="00095078"/>
    <w:rsid w:val="000A5BE7"/>
    <w:rsid w:val="000B3382"/>
    <w:rsid w:val="000F1A0A"/>
    <w:rsid w:val="001230C1"/>
    <w:rsid w:val="001453BB"/>
    <w:rsid w:val="00162939"/>
    <w:rsid w:val="00164B25"/>
    <w:rsid w:val="0017169E"/>
    <w:rsid w:val="00173985"/>
    <w:rsid w:val="00175F9E"/>
    <w:rsid w:val="001B7925"/>
    <w:rsid w:val="001D50F5"/>
    <w:rsid w:val="00224D63"/>
    <w:rsid w:val="0026045A"/>
    <w:rsid w:val="00263280"/>
    <w:rsid w:val="0027470C"/>
    <w:rsid w:val="00277D84"/>
    <w:rsid w:val="002A3A3D"/>
    <w:rsid w:val="002D5F53"/>
    <w:rsid w:val="00343404"/>
    <w:rsid w:val="00375CF6"/>
    <w:rsid w:val="003D339E"/>
    <w:rsid w:val="003F22DF"/>
    <w:rsid w:val="0040080C"/>
    <w:rsid w:val="004037FA"/>
    <w:rsid w:val="0042443A"/>
    <w:rsid w:val="00450B83"/>
    <w:rsid w:val="00455C11"/>
    <w:rsid w:val="00465373"/>
    <w:rsid w:val="00467DB3"/>
    <w:rsid w:val="004733B7"/>
    <w:rsid w:val="00477301"/>
    <w:rsid w:val="00497440"/>
    <w:rsid w:val="004C1B18"/>
    <w:rsid w:val="004C5B55"/>
    <w:rsid w:val="004E3F36"/>
    <w:rsid w:val="004E59F7"/>
    <w:rsid w:val="004F5354"/>
    <w:rsid w:val="00511C2D"/>
    <w:rsid w:val="0055060C"/>
    <w:rsid w:val="0055210F"/>
    <w:rsid w:val="00560A24"/>
    <w:rsid w:val="00573B6A"/>
    <w:rsid w:val="005A21DA"/>
    <w:rsid w:val="005B58DC"/>
    <w:rsid w:val="005D48B7"/>
    <w:rsid w:val="005D688D"/>
    <w:rsid w:val="00621D32"/>
    <w:rsid w:val="00633B97"/>
    <w:rsid w:val="00673C2C"/>
    <w:rsid w:val="00675C76"/>
    <w:rsid w:val="006B7B81"/>
    <w:rsid w:val="007042EA"/>
    <w:rsid w:val="007179CD"/>
    <w:rsid w:val="0072106F"/>
    <w:rsid w:val="00722A2F"/>
    <w:rsid w:val="00722FA0"/>
    <w:rsid w:val="00723B6D"/>
    <w:rsid w:val="00730F90"/>
    <w:rsid w:val="0074738F"/>
    <w:rsid w:val="007569CA"/>
    <w:rsid w:val="00763CA4"/>
    <w:rsid w:val="00776358"/>
    <w:rsid w:val="007807A8"/>
    <w:rsid w:val="007921DE"/>
    <w:rsid w:val="00797F0D"/>
    <w:rsid w:val="007B5BFA"/>
    <w:rsid w:val="007B68EA"/>
    <w:rsid w:val="007F090F"/>
    <w:rsid w:val="00825111"/>
    <w:rsid w:val="00854D4D"/>
    <w:rsid w:val="008617C9"/>
    <w:rsid w:val="0089383B"/>
    <w:rsid w:val="008A6A97"/>
    <w:rsid w:val="008B6E20"/>
    <w:rsid w:val="008C2F5E"/>
    <w:rsid w:val="008F22A4"/>
    <w:rsid w:val="008F5BAA"/>
    <w:rsid w:val="00900153"/>
    <w:rsid w:val="00900F6F"/>
    <w:rsid w:val="00914523"/>
    <w:rsid w:val="00916D19"/>
    <w:rsid w:val="009177AC"/>
    <w:rsid w:val="0094312A"/>
    <w:rsid w:val="0094385A"/>
    <w:rsid w:val="0096353F"/>
    <w:rsid w:val="00964227"/>
    <w:rsid w:val="009748B8"/>
    <w:rsid w:val="00983756"/>
    <w:rsid w:val="0098439D"/>
    <w:rsid w:val="009853F9"/>
    <w:rsid w:val="009A620E"/>
    <w:rsid w:val="009C69C4"/>
    <w:rsid w:val="009F6C41"/>
    <w:rsid w:val="009F7A2E"/>
    <w:rsid w:val="00A03D53"/>
    <w:rsid w:val="00A162FF"/>
    <w:rsid w:val="00A17C47"/>
    <w:rsid w:val="00A6784C"/>
    <w:rsid w:val="00AA0F4C"/>
    <w:rsid w:val="00AC682A"/>
    <w:rsid w:val="00AC711B"/>
    <w:rsid w:val="00AD5687"/>
    <w:rsid w:val="00AD5A88"/>
    <w:rsid w:val="00AE30FC"/>
    <w:rsid w:val="00AF1CB3"/>
    <w:rsid w:val="00B04204"/>
    <w:rsid w:val="00B41789"/>
    <w:rsid w:val="00B43341"/>
    <w:rsid w:val="00B52508"/>
    <w:rsid w:val="00B60085"/>
    <w:rsid w:val="00B9583E"/>
    <w:rsid w:val="00B9728A"/>
    <w:rsid w:val="00BB1113"/>
    <w:rsid w:val="00BB7839"/>
    <w:rsid w:val="00BD38BA"/>
    <w:rsid w:val="00BD5403"/>
    <w:rsid w:val="00C02E45"/>
    <w:rsid w:val="00C16584"/>
    <w:rsid w:val="00C56D48"/>
    <w:rsid w:val="00C60C9E"/>
    <w:rsid w:val="00C622AC"/>
    <w:rsid w:val="00C773D7"/>
    <w:rsid w:val="00C957CA"/>
    <w:rsid w:val="00CB3DCC"/>
    <w:rsid w:val="00CE5C96"/>
    <w:rsid w:val="00D078DF"/>
    <w:rsid w:val="00D10C99"/>
    <w:rsid w:val="00D1439E"/>
    <w:rsid w:val="00D23C67"/>
    <w:rsid w:val="00D2581D"/>
    <w:rsid w:val="00D45D85"/>
    <w:rsid w:val="00D56996"/>
    <w:rsid w:val="00D77F3A"/>
    <w:rsid w:val="00D93063"/>
    <w:rsid w:val="00DA01ED"/>
    <w:rsid w:val="00DB6DE6"/>
    <w:rsid w:val="00DD18BF"/>
    <w:rsid w:val="00DE6F18"/>
    <w:rsid w:val="00DF1EBB"/>
    <w:rsid w:val="00E21D61"/>
    <w:rsid w:val="00E3078E"/>
    <w:rsid w:val="00E372FF"/>
    <w:rsid w:val="00E37912"/>
    <w:rsid w:val="00E57E73"/>
    <w:rsid w:val="00E60509"/>
    <w:rsid w:val="00E82BC8"/>
    <w:rsid w:val="00E84100"/>
    <w:rsid w:val="00E91BB7"/>
    <w:rsid w:val="00EB0F95"/>
    <w:rsid w:val="00EC1F4E"/>
    <w:rsid w:val="00EE6CB9"/>
    <w:rsid w:val="00EF05C2"/>
    <w:rsid w:val="00F26F51"/>
    <w:rsid w:val="00F354FF"/>
    <w:rsid w:val="00F43749"/>
    <w:rsid w:val="00F47D2F"/>
    <w:rsid w:val="00F66D60"/>
    <w:rsid w:val="00F871ED"/>
    <w:rsid w:val="00F94CC8"/>
    <w:rsid w:val="00FA78E0"/>
    <w:rsid w:val="00FC2482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590E7"/>
  <w15:docId w15:val="{14B3A78E-8EAB-41AA-A75F-62D2F7FA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D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673C2C"/>
    <w:rPr>
      <w:color w:val="808080"/>
    </w:rPr>
  </w:style>
  <w:style w:type="paragraph" w:customStyle="1" w:styleId="paragraph">
    <w:name w:val="paragraph"/>
    <w:basedOn w:val="Normal"/>
    <w:rsid w:val="00224D6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ormaltextrun">
    <w:name w:val="normaltextrun"/>
    <w:basedOn w:val="DefaultParagraphFont"/>
    <w:rsid w:val="00224D63"/>
  </w:style>
  <w:style w:type="character" w:customStyle="1" w:styleId="eop">
    <w:name w:val="eop"/>
    <w:basedOn w:val="DefaultParagraphFont"/>
    <w:rsid w:val="00224D63"/>
  </w:style>
  <w:style w:type="character" w:styleId="Hyperlink">
    <w:name w:val="Hyperlink"/>
    <w:basedOn w:val="DefaultParagraphFont"/>
    <w:uiPriority w:val="99"/>
    <w:unhideWhenUsed/>
    <w:rsid w:val="004E3F3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D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68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24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5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943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1099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50011840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852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979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79006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576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82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32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74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288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1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52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408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6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7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8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2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2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3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90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738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49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855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91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943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4898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93520709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354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204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20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097/MD.0000000000014417" TargetMode="External"/><Relationship Id="rId18" Type="http://schemas.openxmlformats.org/officeDocument/2006/relationships/hyperlink" Target="https://doi.org/10.1016/j.ajic.2017.11.032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97/MD.000000000001441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oi.org/10.1136/bmjoq-2021-001534" TargetMode="External"/><Relationship Id="rId17" Type="http://schemas.openxmlformats.org/officeDocument/2006/relationships/hyperlink" Target="https://doi.org/10.3390/nursrep13040120" TargetMode="External"/><Relationship Id="rId25" Type="http://schemas.openxmlformats.org/officeDocument/2006/relationships/hyperlink" Target="https://doi.org/10.4111/icu.2021043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4111/icu.20210436" TargetMode="External"/><Relationship Id="rId20" Type="http://schemas.openxmlformats.org/officeDocument/2006/relationships/hyperlink" Target="https://doi.org/10.1136/bmjoq-2021-0015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7759/cureus.16284" TargetMode="External"/><Relationship Id="rId24" Type="http://schemas.openxmlformats.org/officeDocument/2006/relationships/hyperlink" Target="https://doi.org/10.1016/j.jopan.2018.07.002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16/j.jopan.2018.07.002" TargetMode="External"/><Relationship Id="rId23" Type="http://schemas.openxmlformats.org/officeDocument/2006/relationships/hyperlink" Target="https://doi.org/10.5005/jp-journals-10071-2347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016/j.ajic.2017.11.032" TargetMode="External"/><Relationship Id="rId19" Type="http://schemas.openxmlformats.org/officeDocument/2006/relationships/hyperlink" Target="https://doi.org/10.7759/cureus.1628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5005/jp-journals-10071-23473" TargetMode="External"/><Relationship Id="rId22" Type="http://schemas.openxmlformats.org/officeDocument/2006/relationships/hyperlink" Target="https://doi.org/10.3390/nursrep13040120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uellar\OneDrive%20-%20Grand%20Canyon%20Education\Desktop\Resour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2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9E601-00B6-4006-A295-5606AF48E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Resource</Template>
  <TotalTime>1</TotalTime>
  <Pages>12</Pages>
  <Words>3716</Words>
  <Characters>19290</Characters>
  <Application>Microsoft Office Word</Application>
  <DocSecurity>0</DocSecurity>
  <Lines>507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Laura Cuellar</dc:creator>
  <cp:keywords/>
  <cp:lastModifiedBy>user</cp:lastModifiedBy>
  <cp:revision>2</cp:revision>
  <dcterms:created xsi:type="dcterms:W3CDTF">2023-11-19T19:14:00Z</dcterms:created>
  <dcterms:modified xsi:type="dcterms:W3CDTF">2023-11-19T19:14:00Z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42;#Academic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106;#Course Resource|8bf5da99-6fd6-4bf2-a0a2-3e3efba8182b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3;#Normal|581d4866-74cc-43f1-bef1-bb304cbfeaa5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>53;#Final|6f457c8b-ccb5-4072-8baa-3cf0535225f3</vt:lpwstr>
  </property>
  <property fmtid="{D5CDD505-2E9C-101B-9397-08002B2CF9AE}" pid="10" name="DocumentCategory">
    <vt:lpwstr/>
  </property>
  <property fmtid="{D5CDD505-2E9C-101B-9397-08002B2CF9AE}" pid="11" name="DocumentSubject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