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FB0DE" w14:textId="77777777" w:rsidR="00010B98" w:rsidRPr="001944A5" w:rsidRDefault="00010B98" w:rsidP="00F253C6">
      <w:pPr>
        <w:rPr>
          <w:rFonts w:cs="Times New Roman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1"/>
        <w:gridCol w:w="890"/>
        <w:gridCol w:w="1476"/>
        <w:gridCol w:w="1542"/>
        <w:gridCol w:w="1233"/>
        <w:gridCol w:w="1719"/>
        <w:gridCol w:w="1542"/>
        <w:gridCol w:w="1620"/>
        <w:gridCol w:w="1675"/>
        <w:gridCol w:w="990"/>
        <w:gridCol w:w="692"/>
      </w:tblGrid>
      <w:tr w:rsidR="001944A5" w:rsidRPr="001944A5" w14:paraId="06D4FEB1" w14:textId="77777777" w:rsidTr="0057337B">
        <w:trPr>
          <w:trHeight w:val="282"/>
          <w:tblHeader/>
        </w:trPr>
        <w:tc>
          <w:tcPr>
            <w:tcW w:w="14390" w:type="dxa"/>
            <w:gridSpan w:val="11"/>
          </w:tcPr>
          <w:p w14:paraId="3E275AD9" w14:textId="5C8EE5D9" w:rsidR="00010B98" w:rsidRPr="001944A5" w:rsidRDefault="00010B98" w:rsidP="002568AB">
            <w:pPr>
              <w:pStyle w:val="Heading1"/>
              <w:outlineLvl w:val="0"/>
              <w:rPr>
                <w:rFonts w:cs="Times New Roman"/>
                <w:bCs/>
                <w:color w:val="auto"/>
                <w:sz w:val="24"/>
                <w:szCs w:val="24"/>
              </w:rPr>
            </w:pP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>EBP Question</w:t>
            </w:r>
            <w:r w:rsidRPr="001944A5">
              <w:rPr>
                <w:rFonts w:cs="Times New Roman"/>
                <w:color w:val="auto"/>
                <w:sz w:val="24"/>
                <w:szCs w:val="24"/>
              </w:rPr>
              <w:t xml:space="preserve">: </w:t>
            </w:r>
          </w:p>
        </w:tc>
      </w:tr>
      <w:tr w:rsidR="00E32387" w:rsidRPr="00F253C6" w14:paraId="554AD230" w14:textId="77777777" w:rsidTr="002E6237">
        <w:trPr>
          <w:trHeight w:val="1414"/>
          <w:tblHeader/>
        </w:trPr>
        <w:tc>
          <w:tcPr>
            <w:tcW w:w="1011" w:type="dxa"/>
          </w:tcPr>
          <w:p w14:paraId="4B5CCE86" w14:textId="6E5FF500" w:rsidR="00010B98" w:rsidRPr="00F253C6" w:rsidRDefault="00010B98" w:rsidP="002C287F">
            <w:pPr>
              <w:pStyle w:val="Heading1"/>
              <w:outlineLvl w:val="0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 xml:space="preserve">Reviewer </w:t>
            </w:r>
            <w:r w:rsidR="001205EA" w:rsidRPr="00F253C6">
              <w:rPr>
                <w:rFonts w:cs="Times New Roman"/>
                <w:b/>
                <w:color w:val="auto"/>
                <w:sz w:val="24"/>
                <w:szCs w:val="24"/>
              </w:rPr>
              <w:t>n</w:t>
            </w: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>ame(s)</w:t>
            </w:r>
          </w:p>
        </w:tc>
        <w:tc>
          <w:tcPr>
            <w:tcW w:w="890" w:type="dxa"/>
          </w:tcPr>
          <w:p w14:paraId="426BD321" w14:textId="724704CC" w:rsidR="00010B98" w:rsidRPr="00F253C6" w:rsidRDefault="00010B98" w:rsidP="002C287F">
            <w:pPr>
              <w:pStyle w:val="Heading1"/>
              <w:outlineLvl w:val="0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 xml:space="preserve">Article </w:t>
            </w:r>
            <w:r w:rsidR="001205EA" w:rsidRPr="00F253C6">
              <w:rPr>
                <w:rFonts w:cs="Times New Roman"/>
                <w:b/>
                <w:color w:val="auto"/>
                <w:sz w:val="24"/>
                <w:szCs w:val="24"/>
              </w:rPr>
              <w:t>n</w:t>
            </w: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>umber</w:t>
            </w:r>
          </w:p>
        </w:tc>
        <w:tc>
          <w:tcPr>
            <w:tcW w:w="1476" w:type="dxa"/>
          </w:tcPr>
          <w:p w14:paraId="3D8F7AC5" w14:textId="127A9D67" w:rsidR="00010B98" w:rsidRPr="00F253C6" w:rsidRDefault="00010B98" w:rsidP="002C287F">
            <w:pPr>
              <w:pStyle w:val="Heading1"/>
              <w:outlineLvl w:val="0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 xml:space="preserve">Author, </w:t>
            </w:r>
            <w:r w:rsidR="001205EA" w:rsidRPr="00F253C6">
              <w:rPr>
                <w:rFonts w:cs="Times New Roman"/>
                <w:b/>
                <w:color w:val="auto"/>
                <w:sz w:val="24"/>
                <w:szCs w:val="24"/>
              </w:rPr>
              <w:t>d</w:t>
            </w: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 xml:space="preserve">ate, and </w:t>
            </w:r>
            <w:r w:rsidR="001205EA" w:rsidRPr="00F253C6">
              <w:rPr>
                <w:rFonts w:cs="Times New Roman"/>
                <w:b/>
                <w:color w:val="auto"/>
                <w:sz w:val="24"/>
                <w:szCs w:val="24"/>
              </w:rPr>
              <w:t>t</w:t>
            </w: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>itle</w:t>
            </w:r>
          </w:p>
        </w:tc>
        <w:tc>
          <w:tcPr>
            <w:tcW w:w="1542" w:type="dxa"/>
          </w:tcPr>
          <w:p w14:paraId="4465B2FB" w14:textId="04F5351D" w:rsidR="00010B98" w:rsidRPr="00F253C6" w:rsidRDefault="00010B98" w:rsidP="002C287F">
            <w:pPr>
              <w:pStyle w:val="Heading1"/>
              <w:outlineLvl w:val="0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 xml:space="preserve">Type of </w:t>
            </w:r>
            <w:r w:rsidR="001205EA" w:rsidRPr="00F253C6">
              <w:rPr>
                <w:rFonts w:cs="Times New Roman"/>
                <w:b/>
                <w:color w:val="auto"/>
                <w:sz w:val="24"/>
                <w:szCs w:val="24"/>
              </w:rPr>
              <w:t>e</w:t>
            </w: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>vidence</w:t>
            </w:r>
          </w:p>
        </w:tc>
        <w:tc>
          <w:tcPr>
            <w:tcW w:w="1233" w:type="dxa"/>
          </w:tcPr>
          <w:p w14:paraId="0C9011BE" w14:textId="59FD1496" w:rsidR="00010B98" w:rsidRPr="00F253C6" w:rsidRDefault="00010B98" w:rsidP="002C287F">
            <w:pPr>
              <w:pStyle w:val="Heading1"/>
              <w:outlineLvl w:val="0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>Population, size, and setting</w:t>
            </w:r>
          </w:p>
        </w:tc>
        <w:tc>
          <w:tcPr>
            <w:tcW w:w="1719" w:type="dxa"/>
          </w:tcPr>
          <w:p w14:paraId="0E054F3D" w14:textId="32A41F51" w:rsidR="00010B98" w:rsidRPr="00F253C6" w:rsidRDefault="00010B98" w:rsidP="002C287F">
            <w:pPr>
              <w:pStyle w:val="Heading1"/>
              <w:outlineLvl w:val="0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>Intervention</w:t>
            </w:r>
          </w:p>
        </w:tc>
        <w:tc>
          <w:tcPr>
            <w:tcW w:w="1542" w:type="dxa"/>
          </w:tcPr>
          <w:p w14:paraId="7CBD86E3" w14:textId="19ABD640" w:rsidR="00010B98" w:rsidRPr="00F253C6" w:rsidRDefault="00010B98" w:rsidP="002C287F">
            <w:pPr>
              <w:pStyle w:val="Heading1"/>
              <w:outlineLvl w:val="0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>Findings that help answer the EBP question</w:t>
            </w:r>
          </w:p>
        </w:tc>
        <w:tc>
          <w:tcPr>
            <w:tcW w:w="1620" w:type="dxa"/>
          </w:tcPr>
          <w:p w14:paraId="0DECA75B" w14:textId="4E0351F5" w:rsidR="00010B98" w:rsidRPr="00F253C6" w:rsidRDefault="00010B98" w:rsidP="002C287F">
            <w:pPr>
              <w:pStyle w:val="Heading1"/>
              <w:outlineLvl w:val="0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 xml:space="preserve">Measures </w:t>
            </w:r>
            <w:r w:rsidR="001205EA" w:rsidRPr="00F253C6">
              <w:rPr>
                <w:rFonts w:cs="Times New Roman"/>
                <w:b/>
                <w:color w:val="auto"/>
                <w:sz w:val="24"/>
                <w:szCs w:val="24"/>
              </w:rPr>
              <w:t>u</w:t>
            </w: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>sed</w:t>
            </w:r>
          </w:p>
        </w:tc>
        <w:tc>
          <w:tcPr>
            <w:tcW w:w="1675" w:type="dxa"/>
          </w:tcPr>
          <w:p w14:paraId="4ADD0F52" w14:textId="6B18D763" w:rsidR="00010B98" w:rsidRPr="00F253C6" w:rsidRDefault="00010B98" w:rsidP="002C287F">
            <w:pPr>
              <w:pStyle w:val="Heading1"/>
              <w:outlineLvl w:val="0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>Limitations</w:t>
            </w:r>
          </w:p>
        </w:tc>
        <w:tc>
          <w:tcPr>
            <w:tcW w:w="990" w:type="dxa"/>
          </w:tcPr>
          <w:p w14:paraId="1DA19EA6" w14:textId="78AB8803" w:rsidR="00010B98" w:rsidRPr="00F253C6" w:rsidRDefault="00010B98" w:rsidP="002C287F">
            <w:pPr>
              <w:pStyle w:val="Heading1"/>
              <w:outlineLvl w:val="0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 xml:space="preserve">Evidence </w:t>
            </w:r>
            <w:r w:rsidR="001205EA" w:rsidRPr="00F253C6">
              <w:rPr>
                <w:rFonts w:cs="Times New Roman"/>
                <w:b/>
                <w:color w:val="auto"/>
                <w:sz w:val="24"/>
                <w:szCs w:val="24"/>
              </w:rPr>
              <w:t>l</w:t>
            </w: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 xml:space="preserve">evel and </w:t>
            </w:r>
            <w:r w:rsidR="001205EA" w:rsidRPr="00F253C6">
              <w:rPr>
                <w:rFonts w:cs="Times New Roman"/>
                <w:b/>
                <w:color w:val="auto"/>
                <w:sz w:val="24"/>
                <w:szCs w:val="24"/>
              </w:rPr>
              <w:t>q</w:t>
            </w: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 xml:space="preserve">uality </w:t>
            </w:r>
          </w:p>
        </w:tc>
        <w:tc>
          <w:tcPr>
            <w:tcW w:w="692" w:type="dxa"/>
          </w:tcPr>
          <w:p w14:paraId="052771F1" w14:textId="678DC21D" w:rsidR="00010B98" w:rsidRPr="00F253C6" w:rsidRDefault="00010B98" w:rsidP="002C287F">
            <w:pPr>
              <w:pStyle w:val="Heading1"/>
              <w:outlineLvl w:val="0"/>
              <w:rPr>
                <w:rFonts w:cs="Times New Roman"/>
                <w:b/>
                <w:color w:val="auto"/>
                <w:sz w:val="24"/>
                <w:szCs w:val="24"/>
              </w:rPr>
            </w:pP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 xml:space="preserve">Notes to </w:t>
            </w:r>
            <w:r w:rsidR="001205EA" w:rsidRPr="00F253C6">
              <w:rPr>
                <w:rFonts w:cs="Times New Roman"/>
                <w:b/>
                <w:color w:val="auto"/>
                <w:sz w:val="24"/>
                <w:szCs w:val="24"/>
              </w:rPr>
              <w:t>t</w:t>
            </w:r>
            <w:r w:rsidRPr="00F253C6">
              <w:rPr>
                <w:rFonts w:cs="Times New Roman"/>
                <w:b/>
                <w:color w:val="auto"/>
                <w:sz w:val="24"/>
                <w:szCs w:val="24"/>
              </w:rPr>
              <w:t xml:space="preserve">eam </w:t>
            </w:r>
          </w:p>
        </w:tc>
      </w:tr>
      <w:tr w:rsidR="00E32387" w:rsidRPr="001944A5" w14:paraId="3D49FBE6" w14:textId="77777777" w:rsidTr="002E6237">
        <w:trPr>
          <w:trHeight w:val="759"/>
        </w:trPr>
        <w:tc>
          <w:tcPr>
            <w:tcW w:w="1011" w:type="dxa"/>
          </w:tcPr>
          <w:p w14:paraId="0DBDEEB2" w14:textId="1AD1489B" w:rsidR="00364149" w:rsidRDefault="00364149" w:rsidP="00010B98">
            <w:r>
              <w:t>N/A</w:t>
            </w:r>
          </w:p>
        </w:tc>
        <w:tc>
          <w:tcPr>
            <w:tcW w:w="890" w:type="dxa"/>
          </w:tcPr>
          <w:p w14:paraId="4A7AD9BC" w14:textId="26BA9380" w:rsidR="00364149" w:rsidRDefault="00364149" w:rsidP="2D54C829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81</w:t>
            </w:r>
          </w:p>
        </w:tc>
        <w:tc>
          <w:tcPr>
            <w:tcW w:w="1476" w:type="dxa"/>
          </w:tcPr>
          <w:p w14:paraId="65FFEE8A" w14:textId="65FFF66B" w:rsidR="00364149" w:rsidRDefault="00364149" w:rsidP="0036788B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Malone et al.</w:t>
            </w:r>
            <w:r w:rsidR="00532179">
              <w:rPr>
                <w:rFonts w:cs="Times New Roman"/>
                <w:szCs w:val="24"/>
              </w:rPr>
              <w:t xml:space="preserve"> (2019): </w:t>
            </w:r>
            <w:r w:rsidR="0036788B" w:rsidRPr="0036788B">
              <w:rPr>
                <w:rFonts w:cs="Times New Roman"/>
                <w:szCs w:val="24"/>
              </w:rPr>
              <w:t>Extended-release vs. oral naltrexone for alcohol dependence treatment in primary care (XON)</w:t>
            </w:r>
          </w:p>
        </w:tc>
        <w:tc>
          <w:tcPr>
            <w:tcW w:w="1542" w:type="dxa"/>
          </w:tcPr>
          <w:p w14:paraId="11F9928E" w14:textId="5D8312AB" w:rsidR="000465F1" w:rsidRDefault="00532179" w:rsidP="2D54C829">
            <w:pPr>
              <w:rPr>
                <w:rFonts w:cs="Times New Roman"/>
                <w:bCs/>
                <w:szCs w:val="24"/>
              </w:rPr>
            </w:pPr>
            <w:r w:rsidRPr="00EF4177">
              <w:rPr>
                <w:rFonts w:cs="Times New Roman"/>
                <w:b/>
                <w:bCs/>
                <w:szCs w:val="24"/>
              </w:rPr>
              <w:t>Evidence</w:t>
            </w:r>
            <w:r w:rsidR="000465F1">
              <w:rPr>
                <w:rFonts w:cs="Times New Roman"/>
                <w:bCs/>
                <w:szCs w:val="24"/>
              </w:rPr>
              <w:t>: Quantitative research</w:t>
            </w:r>
            <w:r>
              <w:rPr>
                <w:rFonts w:cs="Times New Roman"/>
                <w:bCs/>
                <w:szCs w:val="24"/>
              </w:rPr>
              <w:t xml:space="preserve"> </w:t>
            </w:r>
            <w:r w:rsidRPr="003B58F1">
              <w:rPr>
                <w:rFonts w:cs="Times New Roman"/>
                <w:b/>
                <w:bCs/>
                <w:szCs w:val="24"/>
              </w:rPr>
              <w:t>Type</w:t>
            </w:r>
            <w:r>
              <w:rPr>
                <w:rFonts w:cs="Times New Roman"/>
                <w:bCs/>
                <w:szCs w:val="24"/>
              </w:rPr>
              <w:t>:</w:t>
            </w:r>
            <w:r w:rsidR="000465F1">
              <w:rPr>
                <w:rFonts w:cs="Times New Roman"/>
                <w:bCs/>
                <w:szCs w:val="24"/>
              </w:rPr>
              <w:t xml:space="preserve"> </w:t>
            </w:r>
            <w:r w:rsidR="00394696">
              <w:rPr>
                <w:rFonts w:cs="Times New Roman"/>
                <w:bCs/>
                <w:szCs w:val="24"/>
              </w:rPr>
              <w:t xml:space="preserve">Experimental </w:t>
            </w:r>
            <w:r w:rsidR="000465F1">
              <w:t>(</w:t>
            </w:r>
            <w:r w:rsidR="0011287A">
              <w:t>pragmatic, open-label</w:t>
            </w:r>
            <w:r w:rsidR="00394696">
              <w:t>, 2-arm</w:t>
            </w:r>
            <w:r w:rsidR="00931C75">
              <w:t xml:space="preserve"> RCT</w:t>
            </w:r>
            <w:r w:rsidR="000465F1">
              <w:t>)</w:t>
            </w:r>
          </w:p>
          <w:p w14:paraId="6B573476" w14:textId="7A1420EE" w:rsidR="00532179" w:rsidRDefault="000465F1" w:rsidP="2D54C829">
            <w:pPr>
              <w:rPr>
                <w:rFonts w:cs="Times New Roman"/>
                <w:bCs/>
                <w:szCs w:val="24"/>
              </w:rPr>
            </w:pPr>
            <w:r w:rsidRPr="003B58F1">
              <w:rPr>
                <w:rFonts w:cs="Times New Roman"/>
                <w:b/>
                <w:bCs/>
                <w:szCs w:val="24"/>
              </w:rPr>
              <w:t>Aims</w:t>
            </w:r>
            <w:r>
              <w:rPr>
                <w:rFonts w:cs="Times New Roman"/>
                <w:bCs/>
                <w:szCs w:val="24"/>
              </w:rPr>
              <w:t>:</w:t>
            </w:r>
            <w:r w:rsidR="00684805">
              <w:rPr>
                <w:rFonts w:cs="Times New Roman"/>
                <w:bCs/>
                <w:szCs w:val="24"/>
              </w:rPr>
              <w:t xml:space="preserve"> To test the comparative effectiveness of </w:t>
            </w:r>
            <w:r w:rsidR="00AE5F86">
              <w:t xml:space="preserve">extended-release naltrexone (XR-NTX) relative to </w:t>
            </w:r>
            <w:r w:rsidR="00436F73">
              <w:t>daily oral naltrexone tablets (</w:t>
            </w:r>
            <w:r w:rsidR="00AE5F86">
              <w:t>O-NTX</w:t>
            </w:r>
            <w:r w:rsidR="00436F73">
              <w:t xml:space="preserve">) in </w:t>
            </w:r>
            <w:r w:rsidR="00B86A54">
              <w:t xml:space="preserve">moderating alcohol addiction or </w:t>
            </w:r>
            <w:r w:rsidR="00436F73">
              <w:lastRenderedPageBreak/>
              <w:t xml:space="preserve">achieving </w:t>
            </w:r>
            <w:r w:rsidR="00B86A54">
              <w:t>abstinence in primary care-based Medical Management treatment for alcohol dependence</w:t>
            </w:r>
            <w:r w:rsidR="006F4336">
              <w:t xml:space="preserve"> and estimate the </w:t>
            </w:r>
            <w:r w:rsidR="00732D88">
              <w:t xml:space="preserve">relative </w:t>
            </w:r>
            <w:r w:rsidR="006F4336">
              <w:t>in</w:t>
            </w:r>
            <w:r w:rsidR="00732D88">
              <w:t>cremental cost-effectiveness between the two formulations</w:t>
            </w:r>
          </w:p>
          <w:p w14:paraId="266F1DE5" w14:textId="4655F9A6" w:rsidR="00532179" w:rsidRDefault="00532179" w:rsidP="2D54C829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233" w:type="dxa"/>
          </w:tcPr>
          <w:p w14:paraId="1EBCE53D" w14:textId="1E406CDF" w:rsidR="00364149" w:rsidRDefault="00541064" w:rsidP="001D111A">
            <w:r>
              <w:lastRenderedPageBreak/>
              <w:t xml:space="preserve">Population: </w:t>
            </w:r>
            <w:r w:rsidR="00AE6108">
              <w:t>Adults above age 18 with a DSM-V-based alcohol use disorder (AUD) diagnosis</w:t>
            </w:r>
            <w:r w:rsidR="0054057F">
              <w:t xml:space="preserve"> </w:t>
            </w:r>
          </w:p>
          <w:p w14:paraId="3776DA35" w14:textId="77777777" w:rsidR="00541064" w:rsidRDefault="00541064" w:rsidP="001D111A">
            <w:r>
              <w:t xml:space="preserve">Size: </w:t>
            </w:r>
            <w:r>
              <w:rPr>
                <w:i/>
              </w:rPr>
              <w:t>N</w:t>
            </w:r>
            <w:r>
              <w:t>=237</w:t>
            </w:r>
          </w:p>
          <w:p w14:paraId="0FDA940A" w14:textId="74ADA2AC" w:rsidR="0054057F" w:rsidRPr="00541064" w:rsidRDefault="0054057F" w:rsidP="00636978">
            <w:pPr>
              <w:rPr>
                <w:rFonts w:cs="Times New Roman"/>
                <w:bCs/>
                <w:szCs w:val="24"/>
              </w:rPr>
            </w:pPr>
            <w:r>
              <w:t xml:space="preserve">Setting: </w:t>
            </w:r>
            <w:r w:rsidR="00C725FC">
              <w:t xml:space="preserve">primary care setting in </w:t>
            </w:r>
            <w:r w:rsidR="00636978">
              <w:t>a New York City public hospital</w:t>
            </w:r>
          </w:p>
        </w:tc>
        <w:tc>
          <w:tcPr>
            <w:tcW w:w="1719" w:type="dxa"/>
          </w:tcPr>
          <w:p w14:paraId="4F6DFFCD" w14:textId="46F4DFDD" w:rsidR="00364149" w:rsidRDefault="009A3E52" w:rsidP="00EB20C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24-week treatment for alcohol dependence with </w:t>
            </w:r>
            <w:r>
              <w:t>XR-NTX or O-NTX</w:t>
            </w:r>
          </w:p>
        </w:tc>
        <w:tc>
          <w:tcPr>
            <w:tcW w:w="1542" w:type="dxa"/>
          </w:tcPr>
          <w:p w14:paraId="16046A83" w14:textId="77777777" w:rsidR="003B58F1" w:rsidRDefault="003B58F1" w:rsidP="003B58F1">
            <w:r>
              <w:t xml:space="preserve">In the medical management of alcohol addiction resulting from alcohol use disorders in primary care settings, XR-NTX is potentially superior to O-NTX in terms of efficiency, feasibility, </w:t>
            </w:r>
          </w:p>
          <w:p w14:paraId="6711476B" w14:textId="54152F4E" w:rsidR="007A18A2" w:rsidRDefault="007A18A2" w:rsidP="003B58F1">
            <w:r>
              <w:t>and cost-effectiveness</w:t>
            </w:r>
          </w:p>
          <w:p w14:paraId="4276DEDC" w14:textId="013D6BD8" w:rsidR="003B58F1" w:rsidRDefault="003B58F1" w:rsidP="003B58F1">
            <w:r>
              <w:t xml:space="preserve">XR-NTX is approximately twice as effective as O-NTX in </w:t>
            </w:r>
            <w:r>
              <w:lastRenderedPageBreak/>
              <w:t xml:space="preserve">the pharmacological </w:t>
            </w:r>
          </w:p>
          <w:p w14:paraId="65506B65" w14:textId="3B100A92" w:rsidR="00FF7EC2" w:rsidRDefault="003B58F1" w:rsidP="00FF7EC2">
            <w:r>
              <w:t>management of drinking addictions in prim</w:t>
            </w:r>
            <w:bookmarkStart w:id="0" w:name="_GoBack"/>
            <w:bookmarkEnd w:id="0"/>
            <w:r>
              <w:t>ary care with concomitant reductions in self-reported drinking rates and adherence</w:t>
            </w:r>
          </w:p>
          <w:p w14:paraId="49FB2FD7" w14:textId="24200BE6" w:rsidR="00364149" w:rsidRDefault="003B58F1" w:rsidP="003B58F1">
            <w:r>
              <w:t>.</w:t>
            </w:r>
          </w:p>
        </w:tc>
        <w:tc>
          <w:tcPr>
            <w:tcW w:w="1620" w:type="dxa"/>
          </w:tcPr>
          <w:p w14:paraId="648029FA" w14:textId="77777777" w:rsidR="00364149" w:rsidRDefault="00BE187D" w:rsidP="00A00B2F">
            <w:r w:rsidRPr="00125427">
              <w:rPr>
                <w:b/>
              </w:rPr>
              <w:lastRenderedPageBreak/>
              <w:t>Primary</w:t>
            </w:r>
            <w:r>
              <w:t>: successful (attainment of Good Clinical Outcome (GCO) characterized by sobriety or modest drinking (≤1 drink/day, women;</w:t>
            </w:r>
            <w:r w:rsidR="00A00B2F">
              <w:t xml:space="preserve"> ≤2 drinks/day, men;</w:t>
            </w:r>
            <w:r>
              <w:t xml:space="preserve"> and ≤ 2 heavy drinking occasions/month) during the </w:t>
            </w:r>
            <w:r w:rsidR="00A00B2F">
              <w:t>closing</w:t>
            </w:r>
            <w:r>
              <w:t xml:space="preserve"> 20 of 24 weeks of </w:t>
            </w:r>
            <w:r w:rsidR="00A00B2F">
              <w:t>intervention</w:t>
            </w:r>
          </w:p>
          <w:p w14:paraId="4467392D" w14:textId="1D6DAC60" w:rsidR="00125427" w:rsidRPr="008375E1" w:rsidRDefault="00125427" w:rsidP="00820C77">
            <w:pPr>
              <w:rPr>
                <w:b/>
              </w:rPr>
            </w:pPr>
            <w:r w:rsidRPr="00125427">
              <w:rPr>
                <w:b/>
              </w:rPr>
              <w:t>Secondary</w:t>
            </w:r>
            <w:r>
              <w:t xml:space="preserve">: incremental </w:t>
            </w:r>
            <w:r>
              <w:lastRenderedPageBreak/>
              <w:t xml:space="preserve">cost-effectiveness of XR-NTX vs. O-NTX, </w:t>
            </w:r>
            <w:r w:rsidR="00820C77">
              <w:t>pharmacologic treatment adherence</w:t>
            </w:r>
          </w:p>
        </w:tc>
        <w:tc>
          <w:tcPr>
            <w:tcW w:w="1675" w:type="dxa"/>
          </w:tcPr>
          <w:p w14:paraId="69D1B202" w14:textId="05C2D882" w:rsidR="00364149" w:rsidRDefault="00820C77" w:rsidP="00E24F85">
            <w:r>
              <w:lastRenderedPageBreak/>
              <w:t xml:space="preserve">Lack of a </w:t>
            </w:r>
            <w:r w:rsidR="008306D9">
              <w:t xml:space="preserve">placebo control group and blinding to both treatment </w:t>
            </w:r>
            <w:r w:rsidR="00E24F85">
              <w:t>groups</w:t>
            </w:r>
            <w:r w:rsidR="008306D9">
              <w:t xml:space="preserve"> and </w:t>
            </w:r>
            <w:r w:rsidR="00E24F85">
              <w:t>outcome measures denote a high likelihood of assessment and recall biases</w:t>
            </w:r>
            <w:r w:rsidR="00E14E09">
              <w:t>.</w:t>
            </w:r>
          </w:p>
          <w:p w14:paraId="470946AB" w14:textId="6653EFAE" w:rsidR="005F198E" w:rsidRDefault="005F198E" w:rsidP="0042083E">
            <w:r>
              <w:t xml:space="preserve">Limited generalizability of findings </w:t>
            </w:r>
            <w:r w:rsidR="00F22131">
              <w:t>due to a igher</w:t>
            </w:r>
            <w:r w:rsidR="0042083E">
              <w:t xml:space="preserve"> proportion of African Americans in the study sample. The results can only apply to </w:t>
            </w:r>
            <w:r w:rsidR="0042083E">
              <w:lastRenderedPageBreak/>
              <w:t xml:space="preserve">the underserved </w:t>
            </w:r>
            <w:r w:rsidR="00AF7123">
              <w:t>AUD patient population</w:t>
            </w:r>
            <w:r w:rsidR="0042083E">
              <w:t xml:space="preserve"> in the specified region</w:t>
            </w:r>
            <w:r w:rsidR="00E14E09">
              <w:t>.</w:t>
            </w:r>
          </w:p>
        </w:tc>
        <w:tc>
          <w:tcPr>
            <w:tcW w:w="990" w:type="dxa"/>
          </w:tcPr>
          <w:p w14:paraId="30C1D62E" w14:textId="77777777" w:rsidR="00EF095E" w:rsidRDefault="00EF095E" w:rsidP="00EF095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 xml:space="preserve">Evidence level: </w:t>
            </w:r>
            <w:r w:rsidRPr="00EF095E">
              <w:rPr>
                <w:rFonts w:cs="Times New Roman"/>
                <w:bCs/>
                <w:szCs w:val="24"/>
              </w:rPr>
              <w:t>Level I</w:t>
            </w:r>
          </w:p>
          <w:p w14:paraId="49E8E75C" w14:textId="78ECD55A" w:rsidR="00364149" w:rsidRPr="001944A5" w:rsidRDefault="00EF095E" w:rsidP="00EF095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Quality Rating: B, </w:t>
            </w:r>
            <w:r w:rsidRPr="00EF095E">
              <w:rPr>
                <w:rFonts w:cs="Times New Roman"/>
                <w:bCs/>
                <w:szCs w:val="24"/>
              </w:rPr>
              <w:t>Good quality</w:t>
            </w:r>
          </w:p>
        </w:tc>
        <w:tc>
          <w:tcPr>
            <w:tcW w:w="692" w:type="dxa"/>
          </w:tcPr>
          <w:p w14:paraId="07009B14" w14:textId="77777777" w:rsidR="00364149" w:rsidRPr="001944A5" w:rsidRDefault="00364149" w:rsidP="2D54C829">
            <w:pPr>
              <w:rPr>
                <w:rFonts w:cs="Times New Roman"/>
                <w:bCs/>
                <w:szCs w:val="24"/>
              </w:rPr>
            </w:pPr>
          </w:p>
        </w:tc>
      </w:tr>
      <w:tr w:rsidR="00E32387" w:rsidRPr="001944A5" w14:paraId="10360FBC" w14:textId="77777777" w:rsidTr="002E6237">
        <w:trPr>
          <w:trHeight w:val="759"/>
        </w:trPr>
        <w:tc>
          <w:tcPr>
            <w:tcW w:w="1011" w:type="dxa"/>
          </w:tcPr>
          <w:p w14:paraId="32C0AB11" w14:textId="4DB75A9F" w:rsidR="001F4B42" w:rsidRPr="001944A5" w:rsidRDefault="005C127A" w:rsidP="00010B98">
            <w:pPr>
              <w:rPr>
                <w:rFonts w:cs="Times New Roman"/>
                <w:szCs w:val="24"/>
              </w:rPr>
            </w:pPr>
            <w:r>
              <w:t>N/A</w:t>
            </w:r>
          </w:p>
        </w:tc>
        <w:tc>
          <w:tcPr>
            <w:tcW w:w="890" w:type="dxa"/>
          </w:tcPr>
          <w:p w14:paraId="246F67CB" w14:textId="786324A0" w:rsidR="00010B98" w:rsidRPr="001944A5" w:rsidRDefault="005C127A" w:rsidP="2D54C829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8</w:t>
            </w:r>
          </w:p>
        </w:tc>
        <w:tc>
          <w:tcPr>
            <w:tcW w:w="1476" w:type="dxa"/>
          </w:tcPr>
          <w:p w14:paraId="60EDAE8F" w14:textId="1002DA39" w:rsidR="00010B98" w:rsidRPr="001944A5" w:rsidRDefault="00932619" w:rsidP="0022331A">
            <w:pPr>
              <w:rPr>
                <w:rFonts w:cs="Times New Roman"/>
                <w:bCs/>
                <w:szCs w:val="24"/>
              </w:rPr>
            </w:pPr>
            <w:sdt>
              <w:sdtPr>
                <w:rPr>
                  <w:rFonts w:cs="Times New Roman"/>
                  <w:szCs w:val="24"/>
                </w:rPr>
                <w:id w:val="-2127685598"/>
                <w:placeholder>
                  <w:docPart w:val="781F52D728EF49519C6F2B789755DBC2"/>
                </w:placeholder>
                <w:text/>
              </w:sdtPr>
              <w:sdtContent>
                <w:r w:rsidR="005C127A">
                  <w:rPr>
                    <w:rFonts w:cs="Times New Roman"/>
                    <w:szCs w:val="24"/>
                  </w:rPr>
                  <w:t>Collins</w:t>
                </w:r>
                <w:r w:rsidR="004A0E54" w:rsidRPr="001944A5">
                  <w:rPr>
                    <w:rFonts w:cs="Times New Roman"/>
                    <w:szCs w:val="24"/>
                  </w:rPr>
                  <w:t xml:space="preserve"> et al.</w:t>
                </w:r>
              </w:sdtContent>
            </w:sdt>
            <w:r w:rsidR="005C127A">
              <w:rPr>
                <w:rFonts w:cs="Times New Roman"/>
                <w:szCs w:val="24"/>
              </w:rPr>
              <w:t xml:space="preserve"> (2021</w:t>
            </w:r>
            <w:r w:rsidR="008C1876" w:rsidRPr="001944A5">
              <w:rPr>
                <w:rFonts w:cs="Times New Roman"/>
                <w:szCs w:val="24"/>
              </w:rPr>
              <w:t xml:space="preserve">): </w:t>
            </w:r>
            <w:r w:rsidR="0022331A">
              <w:rPr>
                <w:rFonts w:cs="Times New Roman"/>
                <w:szCs w:val="24"/>
              </w:rPr>
              <w:t xml:space="preserve">Combining </w:t>
            </w:r>
            <w:r w:rsidR="0022331A" w:rsidRPr="0022331A">
              <w:rPr>
                <w:rFonts w:cs="Times New Roman"/>
                <w:szCs w:val="24"/>
              </w:rPr>
              <w:t>behavioural harm-reduction treatment and</w:t>
            </w:r>
            <w:r w:rsidR="0022331A">
              <w:rPr>
                <w:rFonts w:cs="Times New Roman"/>
                <w:szCs w:val="24"/>
              </w:rPr>
              <w:t xml:space="preserve"> </w:t>
            </w:r>
            <w:r w:rsidR="0022331A" w:rsidRPr="0022331A">
              <w:rPr>
                <w:rFonts w:cs="Times New Roman"/>
                <w:szCs w:val="24"/>
              </w:rPr>
              <w:lastRenderedPageBreak/>
              <w:t>extended-release naltrexone for people experiencing</w:t>
            </w:r>
            <w:r w:rsidR="002568AB">
              <w:rPr>
                <w:rFonts w:cs="Times New Roman"/>
                <w:szCs w:val="24"/>
              </w:rPr>
              <w:t xml:space="preserve"> </w:t>
            </w:r>
            <w:r w:rsidR="0022331A" w:rsidRPr="0022331A">
              <w:rPr>
                <w:rFonts w:cs="Times New Roman"/>
                <w:szCs w:val="24"/>
              </w:rPr>
              <w:t>homelessness and alcohol use disorder in the USA:</w:t>
            </w:r>
            <w:r w:rsidR="000A4540">
              <w:rPr>
                <w:rFonts w:cs="Times New Roman"/>
                <w:szCs w:val="24"/>
              </w:rPr>
              <w:t xml:space="preserve"> </w:t>
            </w:r>
            <w:r w:rsidR="0022331A" w:rsidRPr="0022331A">
              <w:rPr>
                <w:rFonts w:cs="Times New Roman"/>
                <w:szCs w:val="24"/>
              </w:rPr>
              <w:t>a randomised clinical trial</w:t>
            </w:r>
          </w:p>
        </w:tc>
        <w:tc>
          <w:tcPr>
            <w:tcW w:w="1542" w:type="dxa"/>
          </w:tcPr>
          <w:p w14:paraId="5BA2D60B" w14:textId="31E5854C" w:rsidR="00AE2CBD" w:rsidRDefault="00AE2CBD" w:rsidP="2D54C829">
            <w:pPr>
              <w:rPr>
                <w:rFonts w:cs="Times New Roman"/>
                <w:bCs/>
                <w:szCs w:val="24"/>
              </w:rPr>
            </w:pPr>
            <w:r w:rsidRPr="00EF4177">
              <w:rPr>
                <w:rFonts w:cs="Times New Roman"/>
                <w:b/>
                <w:bCs/>
                <w:szCs w:val="24"/>
              </w:rPr>
              <w:lastRenderedPageBreak/>
              <w:t>Evidence</w:t>
            </w:r>
            <w:r>
              <w:rPr>
                <w:rFonts w:cs="Times New Roman"/>
                <w:bCs/>
                <w:szCs w:val="24"/>
              </w:rPr>
              <w:t>:</w:t>
            </w:r>
            <w:r w:rsidR="009B64E6">
              <w:rPr>
                <w:rFonts w:cs="Times New Roman"/>
                <w:bCs/>
                <w:szCs w:val="24"/>
              </w:rPr>
              <w:t xml:space="preserve"> Quantitative research</w:t>
            </w:r>
          </w:p>
          <w:p w14:paraId="09E0AB22" w14:textId="598BCD44" w:rsidR="00010B98" w:rsidRDefault="00AE2CBD" w:rsidP="2D54C829">
            <w:pPr>
              <w:rPr>
                <w:rFonts w:cs="Times New Roman"/>
                <w:bCs/>
                <w:szCs w:val="24"/>
              </w:rPr>
            </w:pPr>
            <w:r w:rsidRPr="00EF4177">
              <w:rPr>
                <w:rFonts w:cs="Times New Roman"/>
                <w:b/>
                <w:bCs/>
                <w:szCs w:val="24"/>
              </w:rPr>
              <w:t>Type</w:t>
            </w:r>
            <w:r>
              <w:rPr>
                <w:rFonts w:cs="Times New Roman"/>
                <w:bCs/>
                <w:szCs w:val="24"/>
              </w:rPr>
              <w:t xml:space="preserve">: </w:t>
            </w:r>
            <w:r w:rsidR="00430B11">
              <w:rPr>
                <w:rFonts w:cs="Times New Roman"/>
                <w:bCs/>
                <w:szCs w:val="24"/>
              </w:rPr>
              <w:t>Experimental (</w:t>
            </w:r>
            <w:r w:rsidR="0011287A">
              <w:rPr>
                <w:rFonts w:cs="Times New Roman"/>
                <w:bCs/>
                <w:szCs w:val="24"/>
              </w:rPr>
              <w:t>4</w:t>
            </w:r>
            <w:r w:rsidR="00394696">
              <w:rPr>
                <w:rFonts w:cs="Times New Roman"/>
                <w:bCs/>
                <w:szCs w:val="24"/>
              </w:rPr>
              <w:t>-arm</w:t>
            </w:r>
            <w:r w:rsidR="0011287A">
              <w:rPr>
                <w:rFonts w:cs="Times New Roman"/>
                <w:bCs/>
                <w:szCs w:val="24"/>
              </w:rPr>
              <w:t xml:space="preserve">, </w:t>
            </w:r>
            <w:r w:rsidR="0011287A">
              <w:t>parallel-group,</w:t>
            </w:r>
            <w:r w:rsidR="00931C75">
              <w:t xml:space="preserve"> </w:t>
            </w:r>
            <w:r w:rsidR="00931C75">
              <w:rPr>
                <w:rFonts w:cs="Times New Roman"/>
                <w:bCs/>
                <w:szCs w:val="24"/>
              </w:rPr>
              <w:t>RCT</w:t>
            </w:r>
            <w:r w:rsidR="00394696">
              <w:rPr>
                <w:rFonts w:cs="Times New Roman"/>
                <w:bCs/>
                <w:szCs w:val="24"/>
              </w:rPr>
              <w:t>)</w:t>
            </w:r>
          </w:p>
          <w:p w14:paraId="311C48DE" w14:textId="7363BE8E" w:rsidR="00AE2CBD" w:rsidRDefault="00AE2CBD" w:rsidP="2D54C829">
            <w:pPr>
              <w:rPr>
                <w:rFonts w:cs="Times New Roman"/>
                <w:bCs/>
                <w:szCs w:val="24"/>
              </w:rPr>
            </w:pPr>
            <w:r w:rsidRPr="00EF4177">
              <w:rPr>
                <w:rFonts w:cs="Times New Roman"/>
                <w:b/>
                <w:bCs/>
                <w:szCs w:val="24"/>
              </w:rPr>
              <w:lastRenderedPageBreak/>
              <w:t>Aims</w:t>
            </w:r>
            <w:r>
              <w:rPr>
                <w:rFonts w:cs="Times New Roman"/>
                <w:bCs/>
                <w:szCs w:val="24"/>
              </w:rPr>
              <w:t>:</w:t>
            </w:r>
            <w:r w:rsidR="009B64E6">
              <w:rPr>
                <w:rFonts w:cs="Times New Roman"/>
                <w:bCs/>
                <w:szCs w:val="24"/>
              </w:rPr>
              <w:t xml:space="preserve"> To assess the effectiveness of combined pharmacological and behavioral harm-reduction treatment </w:t>
            </w:r>
            <w:r w:rsidR="00EA5821">
              <w:rPr>
                <w:rFonts w:cs="Times New Roman"/>
                <w:bCs/>
                <w:szCs w:val="24"/>
              </w:rPr>
              <w:t xml:space="preserve">for alcohol use disorder (HaRT-A) in homeless individuals with </w:t>
            </w:r>
            <w:r w:rsidR="001D111A">
              <w:rPr>
                <w:rFonts w:cs="Times New Roman"/>
                <w:bCs/>
                <w:szCs w:val="24"/>
              </w:rPr>
              <w:t>AUD</w:t>
            </w:r>
          </w:p>
          <w:p w14:paraId="194E9FA9" w14:textId="57B0B4FE" w:rsidR="00AE2CBD" w:rsidRPr="001944A5" w:rsidRDefault="00AE2CBD" w:rsidP="2D54C829">
            <w:pPr>
              <w:rPr>
                <w:rFonts w:cs="Times New Roman"/>
                <w:bCs/>
                <w:szCs w:val="24"/>
              </w:rPr>
            </w:pPr>
          </w:p>
        </w:tc>
        <w:tc>
          <w:tcPr>
            <w:tcW w:w="1233" w:type="dxa"/>
          </w:tcPr>
          <w:p w14:paraId="6952D6EF" w14:textId="2C446E69" w:rsidR="00010B98" w:rsidRDefault="005B4572" w:rsidP="000508D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>Population:</w:t>
            </w:r>
            <w:r w:rsidR="00E27D3D">
              <w:rPr>
                <w:rFonts w:cs="Times New Roman"/>
                <w:bCs/>
                <w:szCs w:val="24"/>
              </w:rPr>
              <w:t xml:space="preserve"> Homeless adults ages 21 to 65</w:t>
            </w:r>
            <w:r w:rsidR="00CA5932">
              <w:rPr>
                <w:rFonts w:cs="Times New Roman"/>
                <w:bCs/>
                <w:szCs w:val="24"/>
              </w:rPr>
              <w:t xml:space="preserve"> who met the DSM-IV-</w:t>
            </w:r>
            <w:r w:rsidR="00CA5932">
              <w:rPr>
                <w:rFonts w:cs="Times New Roman"/>
                <w:bCs/>
                <w:szCs w:val="24"/>
              </w:rPr>
              <w:lastRenderedPageBreak/>
              <w:t>TR criteria for AUD</w:t>
            </w:r>
          </w:p>
          <w:p w14:paraId="777A4107" w14:textId="14375E6F" w:rsidR="005B4572" w:rsidRPr="000A4540" w:rsidRDefault="005B4572" w:rsidP="000508D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Size:</w:t>
            </w:r>
            <w:r w:rsidR="000A4540">
              <w:rPr>
                <w:rFonts w:cs="Times New Roman"/>
                <w:bCs/>
                <w:szCs w:val="24"/>
              </w:rPr>
              <w:t xml:space="preserve"> </w:t>
            </w:r>
            <w:r w:rsidR="000A4540">
              <w:rPr>
                <w:rFonts w:cs="Times New Roman"/>
                <w:bCs/>
                <w:i/>
                <w:szCs w:val="24"/>
              </w:rPr>
              <w:t>N</w:t>
            </w:r>
            <w:r w:rsidR="000A4540">
              <w:rPr>
                <w:rFonts w:cs="Times New Roman"/>
                <w:bCs/>
                <w:szCs w:val="24"/>
              </w:rPr>
              <w:t>=308</w:t>
            </w:r>
          </w:p>
          <w:p w14:paraId="784FC599" w14:textId="6D081771" w:rsidR="005B4572" w:rsidRPr="001944A5" w:rsidRDefault="005B4572" w:rsidP="000508DE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Setting:</w:t>
            </w:r>
            <w:r w:rsidR="000A4540">
              <w:rPr>
                <w:rFonts w:cs="Times New Roman"/>
                <w:bCs/>
                <w:szCs w:val="24"/>
              </w:rPr>
              <w:t xml:space="preserve"> Community-based service centers in Seattle, Washington </w:t>
            </w:r>
          </w:p>
        </w:tc>
        <w:tc>
          <w:tcPr>
            <w:tcW w:w="1719" w:type="dxa"/>
          </w:tcPr>
          <w:p w14:paraId="275C690F" w14:textId="3EF365E2" w:rsidR="00010B98" w:rsidRPr="001944A5" w:rsidRDefault="00907BF0" w:rsidP="00EB20C8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 xml:space="preserve">Combined pharmacotherapies </w:t>
            </w:r>
            <w:r w:rsidR="006C13C4">
              <w:rPr>
                <w:rFonts w:cs="Times New Roman"/>
                <w:szCs w:val="24"/>
              </w:rPr>
              <w:t xml:space="preserve">and behavioral harm-reduction </w:t>
            </w:r>
            <w:r w:rsidR="00EB20C8">
              <w:rPr>
                <w:rFonts w:cs="Times New Roman"/>
                <w:szCs w:val="24"/>
              </w:rPr>
              <w:t>treatment</w:t>
            </w:r>
            <w:r w:rsidR="006C13C4">
              <w:rPr>
                <w:rFonts w:cs="Times New Roman"/>
                <w:szCs w:val="24"/>
              </w:rPr>
              <w:t xml:space="preserve"> for AUD, including</w:t>
            </w:r>
            <w:r w:rsidR="006C4FAF">
              <w:rPr>
                <w:rFonts w:cs="Times New Roman"/>
                <w:szCs w:val="24"/>
              </w:rPr>
              <w:t xml:space="preserve"> </w:t>
            </w:r>
            <w:r w:rsidR="006C4FAF">
              <w:lastRenderedPageBreak/>
              <w:t>HaRT-A plus intramuscular injections of 380 mg extended-release naltrexone (XR</w:t>
            </w:r>
            <w:r w:rsidR="00053740">
              <w:t xml:space="preserve">-NTX), HaRT-A plus placebo injection, HaRT-A alone, </w:t>
            </w:r>
            <w:r w:rsidR="00EB20C8">
              <w:t>or</w:t>
            </w:r>
            <w:r w:rsidR="00053740">
              <w:t xml:space="preserve"> community-based supportive services as usual (services-as-usual</w:t>
            </w:r>
            <w:r w:rsidR="00214284">
              <w:t>, such as basic nursing care</w:t>
            </w:r>
            <w:r w:rsidR="00C81980">
              <w:t>, intensive case management, and referral to external service providers</w:t>
            </w:r>
            <w:r w:rsidR="00053740">
              <w:t>)</w:t>
            </w:r>
            <w:r w:rsidR="004F71E7">
              <w:t xml:space="preserve"> </w:t>
            </w:r>
            <w:r w:rsidR="004F71E7">
              <w:lastRenderedPageBreak/>
              <w:t>administered for 12 weeks with a 36</w:t>
            </w:r>
            <w:r w:rsidR="00EB20C8">
              <w:t>-week post-treatment follow-up</w:t>
            </w:r>
          </w:p>
        </w:tc>
        <w:tc>
          <w:tcPr>
            <w:tcW w:w="1542" w:type="dxa"/>
          </w:tcPr>
          <w:p w14:paraId="1F371C46" w14:textId="0C467D8C" w:rsidR="00010B98" w:rsidRPr="001944A5" w:rsidRDefault="001C5293" w:rsidP="00094587">
            <w:pPr>
              <w:rPr>
                <w:rFonts w:cs="Times New Roman"/>
                <w:bCs/>
                <w:szCs w:val="24"/>
              </w:rPr>
            </w:pPr>
            <w:r>
              <w:lastRenderedPageBreak/>
              <w:t xml:space="preserve">Extended-release naltrexone </w:t>
            </w:r>
            <w:r w:rsidR="008D5ED0">
              <w:t>is well-positioned to support alcohol-related</w:t>
            </w:r>
            <w:r>
              <w:t xml:space="preserve"> harm </w:t>
            </w:r>
            <w:r>
              <w:t>reduction. Comparatively</w:t>
            </w:r>
            <w:r w:rsidR="008D5ED0">
              <w:t xml:space="preserve">, </w:t>
            </w:r>
            <w:r>
              <w:t>t</w:t>
            </w:r>
            <w:r w:rsidR="00F768DF">
              <w:t>he HaRT-A plus XR-NTX group demonstrated substantial improvements from base</w:t>
            </w:r>
            <w:r w:rsidR="00205C08">
              <w:t>line to 12 weeks post-treatment</w:t>
            </w:r>
            <w:r w:rsidR="00F768DF">
              <w:t xml:space="preserve"> </w:t>
            </w:r>
            <w:r w:rsidR="005225C5">
              <w:t xml:space="preserve">evidenced by greater reductions in drinking frequency (linear B –4.42 [–8.09 to –0.76], p=0·047; full model Cohen’s d=–0.16), </w:t>
            </w:r>
            <w:r w:rsidR="00F768DF">
              <w:t xml:space="preserve">peak alcohol </w:t>
            </w:r>
            <w:r w:rsidR="006C1790">
              <w:lastRenderedPageBreak/>
              <w:t>amount (linear B –0.</w:t>
            </w:r>
            <w:r w:rsidR="00F768DF">
              <w:t>48 [95% CI –0</w:t>
            </w:r>
            <w:r w:rsidR="0005044D">
              <w:t>.79 to –0.18] p=0.010; full model Cohen’s d=–0.</w:t>
            </w:r>
            <w:r w:rsidR="00F768DF">
              <w:t xml:space="preserve">68), </w:t>
            </w:r>
            <w:r w:rsidR="0005044D">
              <w:t>physical health-rela</w:t>
            </w:r>
            <w:r w:rsidR="00094587">
              <w:t>ted quality of life (linear B 0.</w:t>
            </w:r>
            <w:r w:rsidR="0005044D">
              <w:t>66 [0</w:t>
            </w:r>
            <w:r w:rsidR="00094587">
              <w:t>.23 to 1.10], p=0.012; full model Cohen’s d=0.</w:t>
            </w:r>
            <w:r w:rsidR="0005044D">
              <w:t xml:space="preserve">43), and </w:t>
            </w:r>
            <w:r w:rsidR="00F768DF">
              <w:t xml:space="preserve">alcohol-related </w:t>
            </w:r>
            <w:r w:rsidR="00094587">
              <w:t>impairment (linear B –2.22 [–3.39 to –1.</w:t>
            </w:r>
            <w:r w:rsidR="00F768DF">
              <w:t>06]</w:t>
            </w:r>
            <w:r w:rsidR="00094587">
              <w:t>, p=0.</w:t>
            </w:r>
            <w:r w:rsidR="00F768DF">
              <w:t xml:space="preserve">002; </w:t>
            </w:r>
            <w:r w:rsidR="00094587">
              <w:t xml:space="preserve">full </w:t>
            </w:r>
            <w:r w:rsidR="00094587">
              <w:lastRenderedPageBreak/>
              <w:t>model Cohen’s d=–0.</w:t>
            </w:r>
            <w:r w:rsidR="0005044D">
              <w:t>56)</w:t>
            </w:r>
            <w:r w:rsidR="00F768DF">
              <w:t>.</w:t>
            </w:r>
          </w:p>
        </w:tc>
        <w:tc>
          <w:tcPr>
            <w:tcW w:w="1620" w:type="dxa"/>
          </w:tcPr>
          <w:p w14:paraId="2EB00BDE" w14:textId="5562FEF8" w:rsidR="00113F59" w:rsidRDefault="008375E1" w:rsidP="0020133B">
            <w:r w:rsidRPr="008375E1">
              <w:rPr>
                <w:b/>
              </w:rPr>
              <w:lastRenderedPageBreak/>
              <w:t>Primary</w:t>
            </w:r>
            <w:r>
              <w:t xml:space="preserve">: </w:t>
            </w:r>
            <w:r w:rsidR="0020133B">
              <w:t>A</w:t>
            </w:r>
            <w:r w:rsidR="006D07CE">
              <w:t xml:space="preserve">lcohol-related </w:t>
            </w:r>
            <w:r w:rsidR="0020133B">
              <w:t>impairment</w:t>
            </w:r>
            <w:r w:rsidR="006D07CE">
              <w:t xml:space="preserve"> </w:t>
            </w:r>
            <w:r w:rsidR="00477789">
              <w:t xml:space="preserve">(Social, psychological, and occupational) </w:t>
            </w:r>
            <w:r w:rsidR="006D07CE">
              <w:t>over the past 30 days</w:t>
            </w:r>
            <w:r w:rsidR="007F4A8E">
              <w:t xml:space="preserve">: assessed using the </w:t>
            </w:r>
            <w:r w:rsidR="00A346B5">
              <w:t>Short Inventory of Problems-2R questionnaire</w:t>
            </w:r>
          </w:p>
          <w:p w14:paraId="795CA36D" w14:textId="77777777" w:rsidR="007F4A8E" w:rsidRDefault="007F4A8E" w:rsidP="0020133B">
            <w:r>
              <w:t xml:space="preserve">Alcohol use frequency: </w:t>
            </w:r>
            <w:r w:rsidR="00A346B5">
              <w:t>measured with the Addiction Severity Index</w:t>
            </w:r>
          </w:p>
          <w:p w14:paraId="0CB0FF7C" w14:textId="77777777" w:rsidR="00A346B5" w:rsidRDefault="0008012D" w:rsidP="0020133B">
            <w:r>
              <w:t>Alcohol use quantity</w:t>
            </w:r>
            <w:r w:rsidR="007629EC">
              <w:t xml:space="preserve"> taken on a peak drinking occasion</w:t>
            </w:r>
            <w:r>
              <w:t xml:space="preserve">: assessed using </w:t>
            </w:r>
            <w:r w:rsidR="007629EC">
              <w:t>the Alcohol Quantity Use Assessment questionnaire</w:t>
            </w:r>
          </w:p>
          <w:p w14:paraId="047724BD" w14:textId="77777777" w:rsidR="007629EC" w:rsidRDefault="00606175" w:rsidP="007629EC">
            <w:r>
              <w:t>Q</w:t>
            </w:r>
            <w:r w:rsidR="007629EC">
              <w:t>uality of life</w:t>
            </w:r>
            <w:r>
              <w:t xml:space="preserve">, both </w:t>
            </w:r>
            <w:r>
              <w:lastRenderedPageBreak/>
              <w:t>mental and physical: determined with the Short Form-12 survey</w:t>
            </w:r>
          </w:p>
          <w:p w14:paraId="26C9FA25" w14:textId="77777777" w:rsidR="00FA19CF" w:rsidRDefault="00FA19CF" w:rsidP="007629EC">
            <w:r w:rsidRPr="008375E1">
              <w:rPr>
                <w:b/>
              </w:rPr>
              <w:t>Secondary</w:t>
            </w:r>
            <w:r>
              <w:t xml:space="preserve">: </w:t>
            </w:r>
          </w:p>
          <w:p w14:paraId="61C3BEE4" w14:textId="77777777" w:rsidR="00FA19CF" w:rsidRDefault="00FA19CF" w:rsidP="007629EC">
            <w:r>
              <w:t xml:space="preserve">Treatment manual adherence and competence: measured using </w:t>
            </w:r>
            <w:r w:rsidR="008375E1">
              <w:t>a</w:t>
            </w:r>
            <w:r>
              <w:t xml:space="preserve"> </w:t>
            </w:r>
            <w:r w:rsidR="008375E1">
              <w:t>modified</w:t>
            </w:r>
            <w:r>
              <w:t xml:space="preserve"> version of the COMBINE study Medical Management Adherence Checklist and coding schema</w:t>
            </w:r>
          </w:p>
          <w:p w14:paraId="20446945" w14:textId="69BA2BBD" w:rsidR="008375E1" w:rsidRPr="001944A5" w:rsidRDefault="00D90E41" w:rsidP="007629EC">
            <w:pPr>
              <w:rPr>
                <w:rFonts w:cs="Times New Roman"/>
                <w:bCs/>
                <w:szCs w:val="24"/>
              </w:rPr>
            </w:pPr>
            <w:r>
              <w:t xml:space="preserve">urinary ethyl glucuronide-to-creatinine ratio: </w:t>
            </w:r>
            <w:r>
              <w:lastRenderedPageBreak/>
              <w:t xml:space="preserve">measured with the cross-sectional, negative </w:t>
            </w:r>
            <w:r w:rsidR="00F9441A">
              <w:t>binomial logit hurdle model</w:t>
            </w:r>
          </w:p>
        </w:tc>
        <w:tc>
          <w:tcPr>
            <w:tcW w:w="1675" w:type="dxa"/>
          </w:tcPr>
          <w:p w14:paraId="1080118F" w14:textId="2C266DB8" w:rsidR="00287327" w:rsidRDefault="00F9441A" w:rsidP="00705569">
            <w:r>
              <w:lastRenderedPageBreak/>
              <w:t xml:space="preserve">Treatment was short-term; participants in the three active </w:t>
            </w:r>
            <w:r w:rsidR="00976B41">
              <w:t>interventions</w:t>
            </w:r>
            <w:r>
              <w:t xml:space="preserve"> arms had five HaRT-A </w:t>
            </w:r>
            <w:r>
              <w:t xml:space="preserve">treatment sessions, and </w:t>
            </w:r>
            <w:r w:rsidR="00705569">
              <w:t>those</w:t>
            </w:r>
            <w:r>
              <w:t xml:space="preserve"> in the HaRT-A plus XR-NTX group </w:t>
            </w:r>
            <w:r w:rsidR="007D068C">
              <w:t xml:space="preserve">further </w:t>
            </w:r>
            <w:r>
              <w:t xml:space="preserve">received </w:t>
            </w:r>
            <w:r w:rsidR="00705569">
              <w:t>3</w:t>
            </w:r>
            <w:r>
              <w:t xml:space="preserve"> </w:t>
            </w:r>
            <w:r w:rsidR="00705569">
              <w:t xml:space="preserve">XR-NTX </w:t>
            </w:r>
            <w:r>
              <w:t xml:space="preserve">doses </w:t>
            </w:r>
          </w:p>
          <w:p w14:paraId="7B874C9C" w14:textId="7B0195E4" w:rsidR="007D068C" w:rsidRPr="001944A5" w:rsidRDefault="009911CD" w:rsidP="005C065B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The </w:t>
            </w:r>
            <w:r>
              <w:t xml:space="preserve">generalizability of the study findings could be restricted by </w:t>
            </w:r>
            <w:r w:rsidR="005C065B">
              <w:t xml:space="preserve">sociodemographic factors, </w:t>
            </w:r>
            <w:r>
              <w:t xml:space="preserve">geographical location, and </w:t>
            </w:r>
            <w:r w:rsidR="005C065B">
              <w:t xml:space="preserve"> alcohol </w:t>
            </w:r>
            <w:r>
              <w:t xml:space="preserve">use patterns </w:t>
            </w:r>
            <w:r w:rsidR="005C065B">
              <w:t>explicit</w:t>
            </w:r>
            <w:r>
              <w:t xml:space="preserve"> to homeless </w:t>
            </w:r>
            <w:r w:rsidR="005C065B">
              <w:t>persons</w:t>
            </w:r>
            <w:r>
              <w:t xml:space="preserve"> in this </w:t>
            </w:r>
            <w:r w:rsidR="005C065B">
              <w:t>specified</w:t>
            </w:r>
            <w:r>
              <w:t xml:space="preserve"> region</w:t>
            </w:r>
          </w:p>
        </w:tc>
        <w:tc>
          <w:tcPr>
            <w:tcW w:w="990" w:type="dxa"/>
          </w:tcPr>
          <w:p w14:paraId="29ED5EAA" w14:textId="77777777" w:rsidR="001944A5" w:rsidRPr="001944A5" w:rsidRDefault="001944A5" w:rsidP="008B7D44">
            <w:pPr>
              <w:rPr>
                <w:rFonts w:cs="Times New Roman"/>
                <w:bCs/>
                <w:szCs w:val="24"/>
              </w:rPr>
            </w:pPr>
            <w:r w:rsidRPr="001944A5">
              <w:rPr>
                <w:rFonts w:cs="Times New Roman"/>
                <w:bCs/>
                <w:szCs w:val="24"/>
              </w:rPr>
              <w:lastRenderedPageBreak/>
              <w:t xml:space="preserve">Evidence level: </w:t>
            </w:r>
            <w:r w:rsidR="008B7D44" w:rsidRPr="001944A5">
              <w:rPr>
                <w:rFonts w:cs="Times New Roman"/>
                <w:bCs/>
                <w:szCs w:val="24"/>
              </w:rPr>
              <w:t>Level I</w:t>
            </w:r>
          </w:p>
          <w:p w14:paraId="109306FE" w14:textId="34B2DF9C" w:rsidR="00010B98" w:rsidRPr="001944A5" w:rsidRDefault="001944A5" w:rsidP="008B7D44">
            <w:pPr>
              <w:rPr>
                <w:rFonts w:cs="Times New Roman"/>
                <w:bCs/>
                <w:szCs w:val="24"/>
              </w:rPr>
            </w:pPr>
            <w:r w:rsidRPr="001944A5">
              <w:rPr>
                <w:rFonts w:cs="Times New Roman"/>
                <w:bCs/>
                <w:szCs w:val="24"/>
              </w:rPr>
              <w:t>Quality rating: A</w:t>
            </w:r>
            <w:r w:rsidR="004771BA">
              <w:rPr>
                <w:rFonts w:cs="Times New Roman"/>
                <w:bCs/>
                <w:szCs w:val="24"/>
              </w:rPr>
              <w:t>,</w:t>
            </w:r>
            <w:r w:rsidRPr="001944A5">
              <w:rPr>
                <w:rFonts w:cs="Times New Roman"/>
                <w:bCs/>
                <w:szCs w:val="24"/>
              </w:rPr>
              <w:t xml:space="preserve"> </w:t>
            </w:r>
            <w:r w:rsidR="008B7D44" w:rsidRPr="001944A5">
              <w:rPr>
                <w:rFonts w:cs="Times New Roman"/>
                <w:bCs/>
                <w:szCs w:val="24"/>
              </w:rPr>
              <w:t>High quality</w:t>
            </w:r>
          </w:p>
        </w:tc>
        <w:tc>
          <w:tcPr>
            <w:tcW w:w="692" w:type="dxa"/>
          </w:tcPr>
          <w:p w14:paraId="737FFDBC" w14:textId="6EAA3124" w:rsidR="00010B98" w:rsidRPr="001944A5" w:rsidRDefault="00010B98" w:rsidP="2D54C829">
            <w:pPr>
              <w:rPr>
                <w:rFonts w:cs="Times New Roman"/>
                <w:bCs/>
                <w:szCs w:val="24"/>
              </w:rPr>
            </w:pPr>
          </w:p>
        </w:tc>
      </w:tr>
      <w:tr w:rsidR="00E32387" w:rsidRPr="001944A5" w14:paraId="2A4353E4" w14:textId="77777777" w:rsidTr="002E6237">
        <w:trPr>
          <w:trHeight w:val="759"/>
        </w:trPr>
        <w:tc>
          <w:tcPr>
            <w:tcW w:w="1011" w:type="dxa"/>
          </w:tcPr>
          <w:p w14:paraId="220CE16C" w14:textId="024A7C4C" w:rsidR="002C287F" w:rsidRPr="001944A5" w:rsidRDefault="00A52F08" w:rsidP="00010B98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N/A</w:t>
            </w:r>
          </w:p>
        </w:tc>
        <w:tc>
          <w:tcPr>
            <w:tcW w:w="890" w:type="dxa"/>
          </w:tcPr>
          <w:p w14:paraId="6330BC1B" w14:textId="0AC54648" w:rsidR="00010B98" w:rsidRPr="001944A5" w:rsidRDefault="00A52F08" w:rsidP="2D54C829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78</w:t>
            </w:r>
          </w:p>
        </w:tc>
        <w:tc>
          <w:tcPr>
            <w:tcW w:w="1476" w:type="dxa"/>
          </w:tcPr>
          <w:p w14:paraId="5FAD49C6" w14:textId="252EC042" w:rsidR="00010B98" w:rsidRPr="001944A5" w:rsidRDefault="00A52F08" w:rsidP="2D54C829">
            <w:pPr>
              <w:rPr>
                <w:rFonts w:cs="Times New Roman"/>
                <w:bCs/>
                <w:szCs w:val="24"/>
              </w:rPr>
            </w:pPr>
            <w:r w:rsidRPr="00A52F08">
              <w:rPr>
                <w:rFonts w:cs="Times New Roman"/>
                <w:bCs/>
                <w:szCs w:val="24"/>
              </w:rPr>
              <w:t>Anderson et al.</w:t>
            </w:r>
            <w:r>
              <w:rPr>
                <w:rFonts w:cs="Times New Roman"/>
                <w:bCs/>
                <w:szCs w:val="24"/>
              </w:rPr>
              <w:t xml:space="preserve"> (2021): </w:t>
            </w:r>
            <w:r w:rsidRPr="00164B04">
              <w:rPr>
                <w:rFonts w:cs="Times New Roman"/>
                <w:color w:val="222222"/>
                <w:szCs w:val="24"/>
                <w:shd w:val="clear" w:color="auto" w:fill="FFFFFF"/>
              </w:rPr>
              <w:t xml:space="preserve">Implementation of oral and extended-release naltrexone for the treatment of emergency department patients with moderate to severe alcohol use disorder: feasibility </w:t>
            </w:r>
            <w:r w:rsidRPr="00164B04">
              <w:rPr>
                <w:rFonts w:cs="Times New Roman"/>
                <w:color w:val="222222"/>
                <w:szCs w:val="24"/>
                <w:shd w:val="clear" w:color="auto" w:fill="FFFFFF"/>
              </w:rPr>
              <w:lastRenderedPageBreak/>
              <w:t>and initial outcomes</w:t>
            </w:r>
          </w:p>
        </w:tc>
        <w:tc>
          <w:tcPr>
            <w:tcW w:w="1542" w:type="dxa"/>
          </w:tcPr>
          <w:p w14:paraId="61B54F94" w14:textId="138FA441" w:rsidR="00010B98" w:rsidRDefault="000051B7" w:rsidP="2D54C829">
            <w:pPr>
              <w:rPr>
                <w:rFonts w:cs="Times New Roman"/>
                <w:bCs/>
                <w:szCs w:val="24"/>
              </w:rPr>
            </w:pPr>
            <w:r w:rsidRPr="00EF4177">
              <w:rPr>
                <w:rFonts w:cs="Times New Roman"/>
                <w:b/>
                <w:bCs/>
                <w:szCs w:val="24"/>
              </w:rPr>
              <w:lastRenderedPageBreak/>
              <w:t>Evidence</w:t>
            </w:r>
            <w:r>
              <w:rPr>
                <w:rFonts w:cs="Times New Roman"/>
                <w:bCs/>
                <w:szCs w:val="24"/>
              </w:rPr>
              <w:t>:</w:t>
            </w:r>
            <w:r w:rsidR="00C35C3F">
              <w:rPr>
                <w:rFonts w:cs="Times New Roman"/>
                <w:bCs/>
                <w:szCs w:val="24"/>
              </w:rPr>
              <w:t xml:space="preserve"> Quantitative research</w:t>
            </w:r>
          </w:p>
          <w:p w14:paraId="0FE8D482" w14:textId="141E1FAB" w:rsidR="000051B7" w:rsidRDefault="000051B7" w:rsidP="2D54C829">
            <w:pPr>
              <w:rPr>
                <w:rFonts w:cs="Times New Roman"/>
                <w:bCs/>
                <w:szCs w:val="24"/>
              </w:rPr>
            </w:pPr>
            <w:r w:rsidRPr="00EF4177">
              <w:rPr>
                <w:rFonts w:cs="Times New Roman"/>
                <w:b/>
                <w:bCs/>
                <w:szCs w:val="24"/>
              </w:rPr>
              <w:t>Type</w:t>
            </w:r>
            <w:r>
              <w:rPr>
                <w:rFonts w:cs="Times New Roman"/>
                <w:bCs/>
                <w:szCs w:val="24"/>
              </w:rPr>
              <w:t xml:space="preserve">: </w:t>
            </w:r>
            <w:r w:rsidR="00C35C3F">
              <w:rPr>
                <w:rFonts w:cs="Times New Roman"/>
                <w:bCs/>
                <w:szCs w:val="24"/>
              </w:rPr>
              <w:t>Non-experimental (</w:t>
            </w:r>
            <w:r w:rsidR="00C35C3F" w:rsidRPr="008E6169">
              <w:rPr>
                <w:rFonts w:cs="Times New Roman"/>
                <w:szCs w:val="24"/>
              </w:rPr>
              <w:t xml:space="preserve">retrospective </w:t>
            </w:r>
            <w:r w:rsidR="00C35C3F">
              <w:rPr>
                <w:rFonts w:cs="Times New Roman"/>
                <w:szCs w:val="24"/>
              </w:rPr>
              <w:t>descriptive study)</w:t>
            </w:r>
          </w:p>
          <w:p w14:paraId="15F41556" w14:textId="709427B5" w:rsidR="000051B7" w:rsidRPr="001944A5" w:rsidRDefault="000051B7" w:rsidP="00DF7747">
            <w:pPr>
              <w:rPr>
                <w:rFonts w:cs="Times New Roman"/>
                <w:bCs/>
                <w:szCs w:val="24"/>
              </w:rPr>
            </w:pPr>
            <w:r w:rsidRPr="00EF4177">
              <w:rPr>
                <w:rFonts w:cs="Times New Roman"/>
                <w:b/>
                <w:bCs/>
                <w:szCs w:val="24"/>
              </w:rPr>
              <w:t>Aims</w:t>
            </w:r>
            <w:r>
              <w:rPr>
                <w:rFonts w:cs="Times New Roman"/>
                <w:bCs/>
                <w:szCs w:val="24"/>
              </w:rPr>
              <w:t>:</w:t>
            </w:r>
            <w:r w:rsidR="00931C75">
              <w:rPr>
                <w:rFonts w:cs="Times New Roman"/>
                <w:bCs/>
                <w:szCs w:val="24"/>
              </w:rPr>
              <w:t xml:space="preserve"> to </w:t>
            </w:r>
            <w:r w:rsidR="005C0E45">
              <w:rPr>
                <w:rFonts w:cs="Times New Roman"/>
                <w:bCs/>
                <w:szCs w:val="24"/>
              </w:rPr>
              <w:t>implement</w:t>
            </w:r>
            <w:r w:rsidR="00931C75" w:rsidRPr="00931C75">
              <w:rPr>
                <w:rFonts w:cs="Times New Roman"/>
                <w:bCs/>
                <w:szCs w:val="24"/>
              </w:rPr>
              <w:t xml:space="preserve"> a </w:t>
            </w:r>
            <w:r w:rsidR="00325B53">
              <w:rPr>
                <w:rFonts w:cs="Times New Roman"/>
                <w:bCs/>
                <w:szCs w:val="24"/>
              </w:rPr>
              <w:t xml:space="preserve">clinical </w:t>
            </w:r>
            <w:r w:rsidR="00325B53" w:rsidRPr="00931C75">
              <w:rPr>
                <w:rFonts w:cs="Times New Roman"/>
                <w:bCs/>
                <w:szCs w:val="24"/>
              </w:rPr>
              <w:t>practice</w:t>
            </w:r>
            <w:r w:rsidR="00931C75" w:rsidRPr="00931C75">
              <w:rPr>
                <w:rFonts w:cs="Times New Roman"/>
                <w:bCs/>
                <w:szCs w:val="24"/>
              </w:rPr>
              <w:t xml:space="preserve"> that </w:t>
            </w:r>
            <w:r w:rsidR="00325B53">
              <w:rPr>
                <w:rFonts w:cs="Times New Roman"/>
                <w:bCs/>
                <w:szCs w:val="24"/>
              </w:rPr>
              <w:t>integrates</w:t>
            </w:r>
            <w:r w:rsidR="00931C75" w:rsidRPr="00931C75">
              <w:rPr>
                <w:rFonts w:cs="Times New Roman"/>
                <w:bCs/>
                <w:szCs w:val="24"/>
              </w:rPr>
              <w:t xml:space="preserve"> </w:t>
            </w:r>
            <w:r w:rsidR="00325B53">
              <w:rPr>
                <w:rFonts w:cs="Times New Roman"/>
                <w:bCs/>
                <w:szCs w:val="24"/>
              </w:rPr>
              <w:t>alcohol</w:t>
            </w:r>
            <w:r w:rsidR="00931C75" w:rsidRPr="00931C75">
              <w:rPr>
                <w:rFonts w:cs="Times New Roman"/>
                <w:bCs/>
                <w:szCs w:val="24"/>
              </w:rPr>
              <w:t xml:space="preserve"> use navigation with either </w:t>
            </w:r>
            <w:r w:rsidR="00FB6264">
              <w:t>XR-NTX or O-NTX</w:t>
            </w:r>
            <w:r w:rsidR="00FB6264" w:rsidRPr="00931C75">
              <w:rPr>
                <w:rFonts w:cs="Times New Roman"/>
                <w:bCs/>
                <w:szCs w:val="24"/>
              </w:rPr>
              <w:t xml:space="preserve"> </w:t>
            </w:r>
            <w:r w:rsidR="00931C75" w:rsidRPr="00931C75">
              <w:rPr>
                <w:rFonts w:cs="Times New Roman"/>
                <w:bCs/>
                <w:szCs w:val="24"/>
              </w:rPr>
              <w:t xml:space="preserve">for patients with </w:t>
            </w:r>
            <w:r w:rsidR="00FB6264">
              <w:rPr>
                <w:rFonts w:cs="Times New Roman"/>
                <w:bCs/>
                <w:szCs w:val="24"/>
              </w:rPr>
              <w:lastRenderedPageBreak/>
              <w:t>AUD</w:t>
            </w:r>
            <w:r w:rsidR="00931C75" w:rsidRPr="00931C75">
              <w:rPr>
                <w:rFonts w:cs="Times New Roman"/>
                <w:bCs/>
                <w:szCs w:val="24"/>
              </w:rPr>
              <w:t xml:space="preserve"> as a</w:t>
            </w:r>
            <w:r w:rsidR="00DF7747">
              <w:rPr>
                <w:rFonts w:cs="Times New Roman"/>
                <w:bCs/>
                <w:szCs w:val="24"/>
              </w:rPr>
              <w:t>n</w:t>
            </w:r>
            <w:r w:rsidR="00931C75" w:rsidRPr="00931C75">
              <w:rPr>
                <w:rFonts w:cs="Times New Roman"/>
                <w:bCs/>
                <w:szCs w:val="24"/>
              </w:rPr>
              <w:t xml:space="preserve"> </w:t>
            </w:r>
            <w:r w:rsidR="00DF7747" w:rsidRPr="00931C75">
              <w:rPr>
                <w:rFonts w:cs="Times New Roman"/>
                <w:bCs/>
                <w:szCs w:val="24"/>
              </w:rPr>
              <w:t>approach</w:t>
            </w:r>
            <w:r w:rsidR="00931C75" w:rsidRPr="00931C75">
              <w:rPr>
                <w:rFonts w:cs="Times New Roman"/>
                <w:bCs/>
                <w:szCs w:val="24"/>
              </w:rPr>
              <w:t xml:space="preserve"> to </w:t>
            </w:r>
            <w:r w:rsidR="00DF7747">
              <w:rPr>
                <w:rFonts w:cs="Times New Roman"/>
                <w:bCs/>
                <w:szCs w:val="24"/>
              </w:rPr>
              <w:t>enhance</w:t>
            </w:r>
            <w:r w:rsidR="00931C75" w:rsidRPr="00931C75">
              <w:rPr>
                <w:rFonts w:cs="Times New Roman"/>
                <w:bCs/>
                <w:szCs w:val="24"/>
              </w:rPr>
              <w:t xml:space="preserve"> follow-up in addiction treatment </w:t>
            </w:r>
            <w:r w:rsidR="00DF7747">
              <w:rPr>
                <w:rFonts w:cs="Times New Roman"/>
                <w:bCs/>
                <w:szCs w:val="24"/>
              </w:rPr>
              <w:t xml:space="preserve">following </w:t>
            </w:r>
            <w:r w:rsidR="00DF7747" w:rsidRPr="00931C75">
              <w:rPr>
                <w:rFonts w:cs="Times New Roman"/>
                <w:bCs/>
                <w:szCs w:val="24"/>
              </w:rPr>
              <w:t xml:space="preserve">discharge </w:t>
            </w:r>
            <w:r w:rsidR="00DF7747">
              <w:rPr>
                <w:rFonts w:cs="Times New Roman"/>
                <w:bCs/>
                <w:szCs w:val="24"/>
              </w:rPr>
              <w:t xml:space="preserve">from the </w:t>
            </w:r>
            <w:r w:rsidR="00931C75" w:rsidRPr="00931C75">
              <w:rPr>
                <w:rFonts w:cs="Times New Roman"/>
                <w:bCs/>
                <w:szCs w:val="24"/>
              </w:rPr>
              <w:t xml:space="preserve">ED </w:t>
            </w:r>
          </w:p>
        </w:tc>
        <w:tc>
          <w:tcPr>
            <w:tcW w:w="1233" w:type="dxa"/>
          </w:tcPr>
          <w:p w14:paraId="5321E713" w14:textId="4EAFC71D" w:rsidR="00CE07A6" w:rsidRDefault="00CE07A6" w:rsidP="2D54C829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lastRenderedPageBreak/>
              <w:t xml:space="preserve">Population: </w:t>
            </w:r>
            <w:r w:rsidR="00FF7EC2" w:rsidRPr="00FF7EC2">
              <w:rPr>
                <w:rFonts w:cs="Times New Roman"/>
                <w:bCs/>
                <w:szCs w:val="24"/>
              </w:rPr>
              <w:t xml:space="preserve">Adult patients </w:t>
            </w:r>
            <w:r w:rsidR="004512A0">
              <w:rPr>
                <w:rFonts w:cs="Times New Roman"/>
                <w:bCs/>
                <w:szCs w:val="24"/>
              </w:rPr>
              <w:t xml:space="preserve">aged 18 years or older </w:t>
            </w:r>
            <w:r w:rsidR="00FF7EC2" w:rsidRPr="00FF7EC2">
              <w:rPr>
                <w:rFonts w:cs="Times New Roman"/>
                <w:bCs/>
                <w:szCs w:val="24"/>
              </w:rPr>
              <w:t>with moderate t</w:t>
            </w:r>
            <w:r>
              <w:rPr>
                <w:rFonts w:cs="Times New Roman"/>
                <w:bCs/>
                <w:szCs w:val="24"/>
              </w:rPr>
              <w:t>o severe alcohol use disorder</w:t>
            </w:r>
          </w:p>
          <w:p w14:paraId="415FE3B0" w14:textId="77777777" w:rsidR="00CE07A6" w:rsidRDefault="00CE07A6" w:rsidP="2D54C829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Size: </w:t>
            </w:r>
            <w:r>
              <w:rPr>
                <w:rFonts w:cs="Times New Roman"/>
                <w:bCs/>
                <w:i/>
                <w:szCs w:val="24"/>
              </w:rPr>
              <w:t>N</w:t>
            </w:r>
            <w:r>
              <w:rPr>
                <w:rFonts w:cs="Times New Roman"/>
                <w:bCs/>
                <w:szCs w:val="24"/>
              </w:rPr>
              <w:t>=59</w:t>
            </w:r>
          </w:p>
          <w:p w14:paraId="4FE34701" w14:textId="30B907FE" w:rsidR="00010B98" w:rsidRPr="001944A5" w:rsidRDefault="00CE07A6" w:rsidP="2D54C829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Setting: </w:t>
            </w:r>
            <w:r w:rsidR="00FF7EC2" w:rsidRPr="00FF7EC2">
              <w:rPr>
                <w:rFonts w:cs="Times New Roman"/>
                <w:bCs/>
                <w:szCs w:val="24"/>
              </w:rPr>
              <w:t>emergency department</w:t>
            </w:r>
            <w:r>
              <w:rPr>
                <w:rFonts w:cs="Times New Roman"/>
                <w:bCs/>
                <w:szCs w:val="24"/>
              </w:rPr>
              <w:t xml:space="preserve"> (ED)</w:t>
            </w:r>
          </w:p>
        </w:tc>
        <w:tc>
          <w:tcPr>
            <w:tcW w:w="1719" w:type="dxa"/>
          </w:tcPr>
          <w:p w14:paraId="5D27C522" w14:textId="0CC12FA3" w:rsidR="00010B98" w:rsidRPr="001944A5" w:rsidRDefault="00CE07A6" w:rsidP="006848D9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I</w:t>
            </w:r>
            <w:r w:rsidRPr="00CE07A6">
              <w:rPr>
                <w:rFonts w:cs="Times New Roman"/>
                <w:bCs/>
                <w:szCs w:val="24"/>
              </w:rPr>
              <w:t xml:space="preserve">nitiation of </w:t>
            </w:r>
            <w:r w:rsidR="00421233">
              <w:rPr>
                <w:rFonts w:cs="Times New Roman"/>
                <w:bCs/>
                <w:szCs w:val="24"/>
              </w:rPr>
              <w:t xml:space="preserve">once-a-month, </w:t>
            </w:r>
            <w:r w:rsidR="006848D9">
              <w:rPr>
                <w:rFonts w:cs="Times New Roman"/>
                <w:bCs/>
                <w:szCs w:val="24"/>
              </w:rPr>
              <w:t>i</w:t>
            </w:r>
            <w:r w:rsidR="006848D9" w:rsidRPr="006848D9">
              <w:rPr>
                <w:rFonts w:cs="Times New Roman"/>
                <w:bCs/>
                <w:szCs w:val="24"/>
              </w:rPr>
              <w:t xml:space="preserve">njectable extended-release </w:t>
            </w:r>
            <w:r w:rsidR="006848D9">
              <w:rPr>
                <w:rFonts w:cs="Times New Roman"/>
                <w:bCs/>
                <w:szCs w:val="24"/>
              </w:rPr>
              <w:t xml:space="preserve">or </w:t>
            </w:r>
            <w:r w:rsidR="00421233">
              <w:rPr>
                <w:rFonts w:cs="Times New Roman"/>
                <w:bCs/>
                <w:szCs w:val="24"/>
              </w:rPr>
              <w:t xml:space="preserve">daily, </w:t>
            </w:r>
            <w:r w:rsidR="006848D9">
              <w:rPr>
                <w:rFonts w:cs="Times New Roman"/>
                <w:bCs/>
                <w:szCs w:val="24"/>
              </w:rPr>
              <w:t xml:space="preserve">immediate-release </w:t>
            </w:r>
            <w:r w:rsidR="006848D9" w:rsidRPr="006848D9">
              <w:rPr>
                <w:rFonts w:cs="Times New Roman"/>
                <w:bCs/>
                <w:szCs w:val="24"/>
              </w:rPr>
              <w:t xml:space="preserve">naltrexone </w:t>
            </w:r>
            <w:r w:rsidRPr="00CE07A6">
              <w:rPr>
                <w:rFonts w:cs="Times New Roman"/>
                <w:bCs/>
                <w:szCs w:val="24"/>
              </w:rPr>
              <w:t xml:space="preserve">for </w:t>
            </w:r>
            <w:r>
              <w:rPr>
                <w:rFonts w:cs="Times New Roman"/>
                <w:bCs/>
                <w:szCs w:val="24"/>
              </w:rPr>
              <w:t>treating AUD among ED patients</w:t>
            </w:r>
          </w:p>
        </w:tc>
        <w:tc>
          <w:tcPr>
            <w:tcW w:w="1542" w:type="dxa"/>
          </w:tcPr>
          <w:p w14:paraId="59C28609" w14:textId="615A2BB2" w:rsidR="00010B98" w:rsidRPr="001944A5" w:rsidRDefault="004512A0" w:rsidP="00560802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27.8%</w:t>
            </w:r>
            <w:r w:rsidRPr="004512A0">
              <w:rPr>
                <w:rFonts w:cs="Times New Roman"/>
                <w:bCs/>
                <w:szCs w:val="24"/>
              </w:rPr>
              <w:t xml:space="preserve"> </w:t>
            </w:r>
            <w:r w:rsidR="00A67D23">
              <w:rPr>
                <w:rFonts w:cs="Times New Roman"/>
                <w:bCs/>
                <w:szCs w:val="24"/>
              </w:rPr>
              <w:t xml:space="preserve">of the patients </w:t>
            </w:r>
            <w:r w:rsidRPr="004512A0">
              <w:rPr>
                <w:rFonts w:cs="Times New Roman"/>
                <w:bCs/>
                <w:szCs w:val="24"/>
              </w:rPr>
              <w:t xml:space="preserve">who received </w:t>
            </w:r>
            <w:r w:rsidR="00A67D23">
              <w:t xml:space="preserve">XR-NTX </w:t>
            </w:r>
            <w:r w:rsidR="00A67D23" w:rsidRPr="00A67D23">
              <w:t xml:space="preserve">attended follow-up formal addiction treatment within 30 days </w:t>
            </w:r>
            <w:r w:rsidR="00560802">
              <w:t xml:space="preserve">post-discharge </w:t>
            </w:r>
            <w:r w:rsidR="00A67D23">
              <w:rPr>
                <w:rFonts w:cs="Times New Roman"/>
                <w:bCs/>
                <w:szCs w:val="24"/>
              </w:rPr>
              <w:t>compared to</w:t>
            </w:r>
            <w:r w:rsidRPr="004512A0">
              <w:rPr>
                <w:rFonts w:cs="Times New Roman"/>
                <w:bCs/>
                <w:szCs w:val="24"/>
              </w:rPr>
              <w:t xml:space="preserve"> </w:t>
            </w:r>
            <w:r w:rsidR="00A67D23">
              <w:rPr>
                <w:rFonts w:cs="Times New Roman"/>
                <w:bCs/>
                <w:szCs w:val="24"/>
              </w:rPr>
              <w:t>9.8%</w:t>
            </w:r>
            <w:r w:rsidRPr="004512A0">
              <w:rPr>
                <w:rFonts w:cs="Times New Roman"/>
                <w:bCs/>
                <w:szCs w:val="24"/>
              </w:rPr>
              <w:t xml:space="preserve"> who received </w:t>
            </w:r>
            <w:r w:rsidR="00560802">
              <w:t>O-NTX</w:t>
            </w:r>
            <w:r w:rsidRPr="004512A0">
              <w:rPr>
                <w:rFonts w:cs="Times New Roman"/>
                <w:bCs/>
                <w:szCs w:val="24"/>
              </w:rPr>
              <w:t>.</w:t>
            </w:r>
          </w:p>
        </w:tc>
        <w:tc>
          <w:tcPr>
            <w:tcW w:w="1620" w:type="dxa"/>
          </w:tcPr>
          <w:p w14:paraId="169CFB90" w14:textId="5E3F178B" w:rsidR="00010B98" w:rsidRPr="001944A5" w:rsidRDefault="00560802" w:rsidP="00905495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Adherence to</w:t>
            </w:r>
            <w:r w:rsidRPr="00560802">
              <w:rPr>
                <w:rFonts w:cs="Times New Roman"/>
                <w:bCs/>
                <w:szCs w:val="24"/>
              </w:rPr>
              <w:t xml:space="preserve"> prescribed addiction treatment within </w:t>
            </w:r>
            <w:r w:rsidR="00905495">
              <w:rPr>
                <w:rFonts w:cs="Times New Roman"/>
                <w:bCs/>
                <w:szCs w:val="24"/>
              </w:rPr>
              <w:t>1 month following</w:t>
            </w:r>
            <w:r w:rsidRPr="00560802">
              <w:rPr>
                <w:rFonts w:cs="Times New Roman"/>
                <w:bCs/>
                <w:szCs w:val="24"/>
              </w:rPr>
              <w:t xml:space="preserve"> </w:t>
            </w:r>
            <w:r w:rsidR="00905495" w:rsidRPr="00560802">
              <w:rPr>
                <w:rFonts w:cs="Times New Roman"/>
                <w:bCs/>
                <w:szCs w:val="24"/>
              </w:rPr>
              <w:t xml:space="preserve">ED </w:t>
            </w:r>
            <w:r w:rsidRPr="00560802">
              <w:rPr>
                <w:rFonts w:cs="Times New Roman"/>
                <w:bCs/>
                <w:szCs w:val="24"/>
              </w:rPr>
              <w:t xml:space="preserve">discharge </w:t>
            </w:r>
          </w:p>
        </w:tc>
        <w:tc>
          <w:tcPr>
            <w:tcW w:w="1675" w:type="dxa"/>
          </w:tcPr>
          <w:p w14:paraId="7C62EB96" w14:textId="77777777" w:rsidR="0061758F" w:rsidRDefault="001D2606" w:rsidP="0061758F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bCs/>
                <w:szCs w:val="24"/>
              </w:rPr>
              <w:t>Lack of a</w:t>
            </w:r>
            <w:r w:rsidR="00E22CAE">
              <w:rPr>
                <w:rFonts w:cs="Times New Roman"/>
                <w:bCs/>
                <w:szCs w:val="24"/>
              </w:rPr>
              <w:t xml:space="preserve"> </w:t>
            </w:r>
            <w:r w:rsidRPr="008E6169">
              <w:rPr>
                <w:rFonts w:cs="Times New Roman"/>
                <w:szCs w:val="24"/>
              </w:rPr>
              <w:t xml:space="preserve">comparative </w:t>
            </w:r>
            <w:r w:rsidR="00E22CAE">
              <w:rPr>
                <w:rFonts w:cs="Times New Roman"/>
                <w:bCs/>
                <w:szCs w:val="24"/>
              </w:rPr>
              <w:t>assess</w:t>
            </w:r>
            <w:r>
              <w:rPr>
                <w:rFonts w:cs="Times New Roman"/>
                <w:bCs/>
                <w:szCs w:val="24"/>
              </w:rPr>
              <w:t xml:space="preserve">ment </w:t>
            </w:r>
            <w:r w:rsidR="0061758F">
              <w:rPr>
                <w:rFonts w:cs="Times New Roman"/>
                <w:bCs/>
                <w:szCs w:val="24"/>
              </w:rPr>
              <w:t>regarding</w:t>
            </w:r>
            <w:r>
              <w:rPr>
                <w:rFonts w:cs="Times New Roman"/>
                <w:bCs/>
                <w:szCs w:val="24"/>
              </w:rPr>
              <w:t xml:space="preserve"> the</w:t>
            </w:r>
            <w:r w:rsidR="00E22CAE">
              <w:rPr>
                <w:rFonts w:cs="Times New Roman"/>
                <w:bCs/>
                <w:szCs w:val="24"/>
              </w:rPr>
              <w:t xml:space="preserve"> </w:t>
            </w:r>
            <w:r w:rsidR="00E22CAE" w:rsidRPr="008E6169">
              <w:rPr>
                <w:rFonts w:cs="Times New Roman"/>
                <w:szCs w:val="24"/>
              </w:rPr>
              <w:t xml:space="preserve">efficacy </w:t>
            </w:r>
            <w:r w:rsidR="0061758F">
              <w:rPr>
                <w:rFonts w:cs="Times New Roman"/>
                <w:szCs w:val="24"/>
              </w:rPr>
              <w:t>of</w:t>
            </w:r>
            <w:r w:rsidR="000328F9">
              <w:rPr>
                <w:rFonts w:cs="Times New Roman"/>
                <w:szCs w:val="24"/>
              </w:rPr>
              <w:t xml:space="preserve"> </w:t>
            </w:r>
            <w:r w:rsidR="0061758F">
              <w:rPr>
                <w:rFonts w:cs="Times New Roman"/>
                <w:szCs w:val="24"/>
              </w:rPr>
              <w:t>each</w:t>
            </w:r>
            <w:r w:rsidR="000328F9">
              <w:rPr>
                <w:rFonts w:cs="Times New Roman"/>
                <w:szCs w:val="24"/>
              </w:rPr>
              <w:t xml:space="preserve"> drug</w:t>
            </w:r>
            <w:r w:rsidR="00E22CAE" w:rsidRPr="008E6169">
              <w:rPr>
                <w:rFonts w:cs="Times New Roman"/>
                <w:szCs w:val="24"/>
              </w:rPr>
              <w:t xml:space="preserve"> formulations</w:t>
            </w:r>
            <w:r w:rsidR="0061758F">
              <w:rPr>
                <w:rFonts w:cs="Times New Roman"/>
                <w:szCs w:val="24"/>
              </w:rPr>
              <w:t>.</w:t>
            </w:r>
          </w:p>
          <w:p w14:paraId="1F6B7332" w14:textId="5285230A" w:rsidR="00010B98" w:rsidRPr="001944A5" w:rsidRDefault="00D118C3" w:rsidP="00E32387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szCs w:val="24"/>
              </w:rPr>
              <w:t>Unavailability</w:t>
            </w:r>
            <w:r w:rsidR="0061758F">
              <w:rPr>
                <w:rFonts w:cs="Times New Roman"/>
                <w:szCs w:val="24"/>
              </w:rPr>
              <w:t xml:space="preserve"> of </w:t>
            </w:r>
            <w:r>
              <w:rPr>
                <w:rFonts w:cs="Times New Roman"/>
                <w:szCs w:val="24"/>
              </w:rPr>
              <w:t>data</w:t>
            </w:r>
            <w:r w:rsidR="00E32387">
              <w:rPr>
                <w:rFonts w:cs="Times New Roman"/>
                <w:szCs w:val="24"/>
              </w:rPr>
              <w:t xml:space="preserve"> for analyzing</w:t>
            </w:r>
            <w:r>
              <w:rPr>
                <w:rFonts w:cs="Times New Roman"/>
                <w:szCs w:val="24"/>
              </w:rPr>
              <w:t xml:space="preserve"> patients who wer</w:t>
            </w:r>
            <w:r w:rsidR="00E32387">
              <w:rPr>
                <w:rFonts w:cs="Times New Roman"/>
                <w:szCs w:val="24"/>
              </w:rPr>
              <w:t>e offered treatment but refused to participate</w:t>
            </w:r>
          </w:p>
        </w:tc>
        <w:tc>
          <w:tcPr>
            <w:tcW w:w="990" w:type="dxa"/>
          </w:tcPr>
          <w:p w14:paraId="78EAE748" w14:textId="77777777" w:rsidR="00E32387" w:rsidRDefault="00E32387" w:rsidP="2D54C829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Evidence level: Level III</w:t>
            </w:r>
          </w:p>
          <w:p w14:paraId="782EFB42" w14:textId="6DBB39F2" w:rsidR="00010B98" w:rsidRPr="001944A5" w:rsidRDefault="00E32387" w:rsidP="2D54C829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Quality rating:</w:t>
            </w:r>
            <w:r w:rsidRPr="00E32387">
              <w:rPr>
                <w:rFonts w:cs="Times New Roman"/>
                <w:bCs/>
                <w:szCs w:val="24"/>
              </w:rPr>
              <w:t xml:space="preserve"> </w:t>
            </w:r>
            <w:r>
              <w:rPr>
                <w:rFonts w:cs="Times New Roman"/>
                <w:bCs/>
                <w:szCs w:val="24"/>
              </w:rPr>
              <w:t xml:space="preserve">B, </w:t>
            </w:r>
            <w:r w:rsidRPr="00E32387">
              <w:rPr>
                <w:rFonts w:cs="Times New Roman"/>
                <w:bCs/>
                <w:szCs w:val="24"/>
              </w:rPr>
              <w:t>Good Quality</w:t>
            </w:r>
          </w:p>
        </w:tc>
        <w:tc>
          <w:tcPr>
            <w:tcW w:w="692" w:type="dxa"/>
          </w:tcPr>
          <w:p w14:paraId="3D6A18B9" w14:textId="77777777" w:rsidR="00010B98" w:rsidRPr="001944A5" w:rsidRDefault="00010B98" w:rsidP="00010B98">
            <w:pPr>
              <w:rPr>
                <w:rFonts w:cs="Times New Roman"/>
                <w:szCs w:val="24"/>
              </w:rPr>
            </w:pPr>
          </w:p>
        </w:tc>
      </w:tr>
    </w:tbl>
    <w:p w14:paraId="497A6C88" w14:textId="15B16990" w:rsidR="00AC4CE8" w:rsidRPr="001944A5" w:rsidRDefault="004D445E" w:rsidP="002E6237">
      <w:pPr>
        <w:rPr>
          <w:rFonts w:cs="Times New Roman"/>
          <w:szCs w:val="24"/>
        </w:rPr>
      </w:pPr>
      <w:r w:rsidRPr="001944A5">
        <w:rPr>
          <w:rFonts w:cs="Times New Roman"/>
          <w:szCs w:val="24"/>
        </w:rPr>
        <w:br w:type="textWrapping" w:clear="all"/>
      </w:r>
    </w:p>
    <w:sectPr w:rsidR="00AC4CE8" w:rsidRPr="001944A5" w:rsidSect="00690035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5840" w:h="12240" w:orient="landscape"/>
      <w:pgMar w:top="720" w:right="720" w:bottom="72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43830" w14:textId="77777777" w:rsidR="00062237" w:rsidRDefault="00062237" w:rsidP="00F02AD1">
      <w:pPr>
        <w:spacing w:after="0" w:line="240" w:lineRule="auto"/>
      </w:pPr>
      <w:r>
        <w:separator/>
      </w:r>
    </w:p>
  </w:endnote>
  <w:endnote w:type="continuationSeparator" w:id="0">
    <w:p w14:paraId="1424F21A" w14:textId="77777777" w:rsidR="00062237" w:rsidRDefault="00062237" w:rsidP="00F02AD1">
      <w:pPr>
        <w:spacing w:after="0" w:line="240" w:lineRule="auto"/>
      </w:pPr>
      <w:r>
        <w:continuationSeparator/>
      </w:r>
    </w:p>
  </w:endnote>
  <w:endnote w:type="continuationNotice" w:id="1">
    <w:p w14:paraId="0DE078FC" w14:textId="77777777" w:rsidR="00062237" w:rsidRDefault="00062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921FA" w14:textId="2C480094" w:rsidR="00932619" w:rsidRPr="00726FF5" w:rsidRDefault="00932619" w:rsidP="00726FF5">
    <w:pPr>
      <w:pStyle w:val="Footer"/>
      <w:jc w:val="center"/>
      <w:rPr>
        <w:rFonts w:cs="Times New Roman"/>
        <w:sz w:val="20"/>
      </w:rPr>
    </w:pPr>
    <w:r>
      <w:rPr>
        <w:rFonts w:cs="Times New Roman"/>
        <w:sz w:val="20"/>
      </w:rPr>
      <w:tab/>
      <w:t xml:space="preserve">                                                                   </w:t>
    </w:r>
    <w:r w:rsidRPr="007A7B41">
      <w:rPr>
        <w:rFonts w:cs="Times New Roman"/>
        <w:sz w:val="20"/>
      </w:rPr>
      <w:t>© 202</w:t>
    </w:r>
    <w:r>
      <w:rPr>
        <w:rFonts w:cs="Times New Roman"/>
        <w:sz w:val="20"/>
      </w:rPr>
      <w:t>2</w:t>
    </w:r>
    <w:r w:rsidRPr="007A7B41">
      <w:rPr>
        <w:rFonts w:cs="Times New Roman"/>
        <w:sz w:val="20"/>
      </w:rPr>
      <w:t xml:space="preserve"> Johns Hopkins Health System/Johns Hopkins School of Nursing</w:t>
    </w:r>
    <w:r>
      <w:rPr>
        <w:rFonts w:cs="Times New Roman"/>
        <w:sz w:val="20"/>
      </w:rPr>
      <w:tab/>
    </w:r>
    <w:r>
      <w:rPr>
        <w:rFonts w:cs="Times New Roman"/>
        <w:sz w:val="20"/>
      </w:rPr>
      <w:tab/>
    </w:r>
    <w:r>
      <w:rPr>
        <w:rFonts w:cs="Times New Roman"/>
        <w:sz w:val="20"/>
      </w:rPr>
      <w:tab/>
    </w:r>
    <w:r>
      <w:rPr>
        <w:rFonts w:cs="Times New Roman"/>
        <w:sz w:val="20"/>
      </w:rPr>
      <w:tab/>
    </w:r>
    <w:r>
      <w:rPr>
        <w:rFonts w:cs="Times New Roman"/>
        <w:sz w:val="20"/>
      </w:rPr>
      <w:tab/>
    </w:r>
    <w:r w:rsidRPr="00690035">
      <w:rPr>
        <w:rFonts w:cs="Times New Roman"/>
        <w:color w:val="7F7F7F" w:themeColor="background1" w:themeShade="7F"/>
        <w:spacing w:val="60"/>
        <w:sz w:val="20"/>
      </w:rPr>
      <w:t>Page</w:t>
    </w:r>
    <w:r w:rsidRPr="00690035">
      <w:rPr>
        <w:rFonts w:cs="Times New Roman"/>
        <w:sz w:val="20"/>
      </w:rPr>
      <w:t xml:space="preserve"> | </w:t>
    </w:r>
    <w:r w:rsidRPr="00690035">
      <w:rPr>
        <w:rFonts w:cs="Times New Roman"/>
        <w:sz w:val="20"/>
      </w:rPr>
      <w:fldChar w:fldCharType="begin"/>
    </w:r>
    <w:r w:rsidRPr="00690035">
      <w:rPr>
        <w:rFonts w:cs="Times New Roman"/>
        <w:sz w:val="20"/>
      </w:rPr>
      <w:instrText xml:space="preserve"> PAGE   \* MERGEFORMAT </w:instrText>
    </w:r>
    <w:r w:rsidRPr="00690035">
      <w:rPr>
        <w:rFonts w:cs="Times New Roman"/>
        <w:sz w:val="20"/>
      </w:rPr>
      <w:fldChar w:fldCharType="separate"/>
    </w:r>
    <w:r w:rsidR="0036788B" w:rsidRPr="0036788B">
      <w:rPr>
        <w:rFonts w:cs="Times New Roman"/>
        <w:b/>
        <w:bCs/>
        <w:noProof/>
        <w:sz w:val="20"/>
      </w:rPr>
      <w:t>6</w:t>
    </w:r>
    <w:r w:rsidRPr="00690035">
      <w:rPr>
        <w:rFonts w:cs="Times New Roman"/>
        <w:b/>
        <w:bCs/>
        <w:noProof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9F59B" w14:textId="281DBE50" w:rsidR="00932619" w:rsidRPr="00726C86" w:rsidRDefault="00932619" w:rsidP="00726C86">
    <w:pPr>
      <w:pStyle w:val="Footer"/>
      <w:jc w:val="center"/>
      <w:rPr>
        <w:rFonts w:cs="Times New Roman"/>
        <w:sz w:val="20"/>
      </w:rPr>
    </w:pPr>
    <w:r>
      <w:rPr>
        <w:rFonts w:cs="Times New Roman"/>
        <w:sz w:val="20"/>
      </w:rPr>
      <w:t xml:space="preserve">                                                                  </w:t>
    </w:r>
    <w:r w:rsidRPr="007A7B41">
      <w:rPr>
        <w:rFonts w:cs="Times New Roman"/>
        <w:sz w:val="20"/>
      </w:rPr>
      <w:t>© 2021 Johns Hopkins Health System/Johns Hopkins School of Nursing</w:t>
    </w:r>
    <w:r>
      <w:rPr>
        <w:rFonts w:cs="Times New Roman"/>
        <w:sz w:val="20"/>
      </w:rPr>
      <w:tab/>
    </w:r>
    <w:r>
      <w:rPr>
        <w:rFonts w:cs="Times New Roman"/>
        <w:sz w:val="20"/>
      </w:rPr>
      <w:tab/>
    </w:r>
    <w:r>
      <w:rPr>
        <w:rFonts w:cs="Times New Roman"/>
        <w:sz w:val="20"/>
      </w:rPr>
      <w:tab/>
    </w:r>
    <w:r>
      <w:rPr>
        <w:rFonts w:cs="Times New Roman"/>
        <w:sz w:val="20"/>
      </w:rPr>
      <w:tab/>
    </w:r>
    <w:r>
      <w:rPr>
        <w:rFonts w:cs="Times New Roman"/>
        <w:sz w:val="20"/>
      </w:rPr>
      <w:tab/>
    </w:r>
    <w:r w:rsidRPr="00690035">
      <w:rPr>
        <w:rFonts w:cs="Times New Roman"/>
        <w:color w:val="7F7F7F" w:themeColor="background1" w:themeShade="7F"/>
        <w:spacing w:val="60"/>
        <w:sz w:val="20"/>
      </w:rPr>
      <w:t>Page</w:t>
    </w:r>
    <w:r w:rsidRPr="00690035">
      <w:rPr>
        <w:rFonts w:cs="Times New Roman"/>
        <w:sz w:val="20"/>
      </w:rPr>
      <w:t xml:space="preserve"> | </w:t>
    </w:r>
    <w:r w:rsidRPr="00690035">
      <w:rPr>
        <w:rFonts w:cs="Times New Roman"/>
        <w:sz w:val="20"/>
      </w:rPr>
      <w:fldChar w:fldCharType="begin"/>
    </w:r>
    <w:r w:rsidRPr="00690035">
      <w:rPr>
        <w:rFonts w:cs="Times New Roman"/>
        <w:sz w:val="20"/>
      </w:rPr>
      <w:instrText xml:space="preserve"> PAGE   \* MERGEFORMAT </w:instrText>
    </w:r>
    <w:r w:rsidRPr="00690035">
      <w:rPr>
        <w:rFonts w:cs="Times New Roman"/>
        <w:sz w:val="20"/>
      </w:rPr>
      <w:fldChar w:fldCharType="separate"/>
    </w:r>
    <w:r w:rsidR="0036788B" w:rsidRPr="0036788B">
      <w:rPr>
        <w:rFonts w:cs="Times New Roman"/>
        <w:b/>
        <w:bCs/>
        <w:noProof/>
        <w:sz w:val="20"/>
      </w:rPr>
      <w:t>1</w:t>
    </w:r>
    <w:r w:rsidRPr="00690035">
      <w:rPr>
        <w:rFonts w:cs="Times New Roman"/>
        <w:b/>
        <w:bCs/>
        <w:noProof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6BDE9A" w14:textId="77777777" w:rsidR="00062237" w:rsidRDefault="00062237" w:rsidP="00F02AD1">
      <w:pPr>
        <w:spacing w:after="0" w:line="240" w:lineRule="auto"/>
      </w:pPr>
      <w:r>
        <w:separator/>
      </w:r>
    </w:p>
  </w:footnote>
  <w:footnote w:type="continuationSeparator" w:id="0">
    <w:p w14:paraId="5C3BE6CE" w14:textId="77777777" w:rsidR="00062237" w:rsidRDefault="00062237" w:rsidP="00F02AD1">
      <w:pPr>
        <w:spacing w:after="0" w:line="240" w:lineRule="auto"/>
      </w:pPr>
      <w:r>
        <w:continuationSeparator/>
      </w:r>
    </w:p>
  </w:footnote>
  <w:footnote w:type="continuationNotice" w:id="1">
    <w:p w14:paraId="3761932C" w14:textId="77777777" w:rsidR="00062237" w:rsidRDefault="00062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E5970" w14:textId="77777777" w:rsidR="00932619" w:rsidRDefault="00932619" w:rsidP="00F02AD1">
    <w:pPr>
      <w:pStyle w:val="Header"/>
      <w:jc w:val="center"/>
    </w:pPr>
    <w:r>
      <w:t>Johns Hopkins Nursing Evidence-Based Practice</w:t>
    </w:r>
  </w:p>
  <w:p w14:paraId="621A0F80" w14:textId="40FA49C1" w:rsidR="00932619" w:rsidRDefault="00932619" w:rsidP="00F02AD1">
    <w:pPr>
      <w:pStyle w:val="Header"/>
      <w:jc w:val="center"/>
    </w:pPr>
    <w:r>
      <w:t>Individual Evidence Summary Tool (Appendix G)</w:t>
    </w:r>
  </w:p>
  <w:p w14:paraId="5CEC3AB1" w14:textId="6D948060" w:rsidR="00932619" w:rsidRDefault="00932619" w:rsidP="00F02AD1">
    <w:pPr>
      <w:pStyle w:val="Header"/>
      <w:jc w:val="center"/>
    </w:pPr>
  </w:p>
  <w:p w14:paraId="7D4CEC18" w14:textId="77777777" w:rsidR="00932619" w:rsidRDefault="00932619" w:rsidP="00F02AD1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025B9" w14:textId="24F826ED" w:rsidR="00932619" w:rsidRPr="00690035" w:rsidRDefault="00932619" w:rsidP="00652587">
    <w:pPr>
      <w:pStyle w:val="Header"/>
      <w:jc w:val="center"/>
      <w:rPr>
        <w:sz w:val="22"/>
      </w:rPr>
    </w:pPr>
    <w:r w:rsidRPr="00690035">
      <w:rPr>
        <w:sz w:val="22"/>
      </w:rPr>
      <w:t>Johns Hopkins Evidence-Based Practice Model for Nursing and Healthcare Professionals</w:t>
    </w:r>
  </w:p>
  <w:p w14:paraId="2A7F7C63" w14:textId="77777777" w:rsidR="00932619" w:rsidRDefault="00932619" w:rsidP="00690035">
    <w:pPr>
      <w:pStyle w:val="Header"/>
      <w:rPr>
        <w:sz w:val="28"/>
        <w:szCs w:val="28"/>
      </w:rPr>
    </w:pPr>
  </w:p>
  <w:p w14:paraId="0B5AD655" w14:textId="2D016B56" w:rsidR="00932619" w:rsidRDefault="00932619" w:rsidP="00690035">
    <w:pPr>
      <w:pStyle w:val="Header"/>
    </w:pPr>
    <w:r w:rsidRPr="00690035">
      <w:rPr>
        <w:sz w:val="28"/>
        <w:szCs w:val="28"/>
      </w:rPr>
      <w:t>Individual Evidence Summary Tool</w:t>
    </w:r>
    <w:r>
      <w:t xml:space="preserve"> </w:t>
    </w:r>
  </w:p>
  <w:p w14:paraId="2600E5AB" w14:textId="1E162857" w:rsidR="00932619" w:rsidRPr="00526E57" w:rsidRDefault="00932619" w:rsidP="002E6237">
    <w:pPr>
      <w:pStyle w:val="Header"/>
      <w:rPr>
        <w:rFonts w:ascii="Tahoma" w:eastAsia="Book Antiqua" w:hAnsi="Book Antiqua" w:cs="Book Antiqua"/>
        <w:sz w:val="20"/>
        <w:szCs w:val="21"/>
      </w:rPr>
    </w:pPr>
    <w:r w:rsidRPr="00690035">
      <w:rPr>
        <w:szCs w:val="24"/>
      </w:rPr>
      <w:t>Appendix G</w:t>
    </w:r>
    <w:r>
      <w:rPr>
        <w:rFonts w:ascii="Tahoma" w:eastAsia="Book Antiqua" w:hAnsi="Book Antiqua" w:cs="Book Antiqua"/>
        <w:noProof/>
        <w:sz w:val="20"/>
        <w:szCs w:val="21"/>
      </w:rPr>
      <w:t xml:space="preserve">                          </w:t>
    </w:r>
    <w:r w:rsidR="002E6237">
      <w:rPr>
        <w:rFonts w:ascii="Tahoma" w:eastAsia="Book Antiqua" w:hAnsi="Book Antiqua" w:cs="Book Antiqua"/>
        <w:noProof/>
        <w:sz w:val="20"/>
        <w:szCs w:val="21"/>
      </w:rPr>
      <w:t xml:space="preserve">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I1tjA1NDQ1NjAwszRU0lEKTi0uzszPAykwrAUAeSXG2ywAAAA="/>
  </w:docVars>
  <w:rsids>
    <w:rsidRoot w:val="00F02AD1"/>
    <w:rsid w:val="00001190"/>
    <w:rsid w:val="000051B7"/>
    <w:rsid w:val="000059DB"/>
    <w:rsid w:val="00010B98"/>
    <w:rsid w:val="00016F3E"/>
    <w:rsid w:val="000319D4"/>
    <w:rsid w:val="000328F9"/>
    <w:rsid w:val="000465F1"/>
    <w:rsid w:val="0005044D"/>
    <w:rsid w:val="000508DE"/>
    <w:rsid w:val="00053740"/>
    <w:rsid w:val="00060CF6"/>
    <w:rsid w:val="00062237"/>
    <w:rsid w:val="00077DE5"/>
    <w:rsid w:val="0008012D"/>
    <w:rsid w:val="000807C4"/>
    <w:rsid w:val="00081F7C"/>
    <w:rsid w:val="00094587"/>
    <w:rsid w:val="000A4540"/>
    <w:rsid w:val="000B33FA"/>
    <w:rsid w:val="000C4C14"/>
    <w:rsid w:val="0011287A"/>
    <w:rsid w:val="00113F59"/>
    <w:rsid w:val="001205EA"/>
    <w:rsid w:val="00125427"/>
    <w:rsid w:val="00155306"/>
    <w:rsid w:val="001944A5"/>
    <w:rsid w:val="001A6168"/>
    <w:rsid w:val="001B02EA"/>
    <w:rsid w:val="001B5BE1"/>
    <w:rsid w:val="001C5293"/>
    <w:rsid w:val="001D1017"/>
    <w:rsid w:val="001D111A"/>
    <w:rsid w:val="001D2606"/>
    <w:rsid w:val="001F244E"/>
    <w:rsid w:val="001F3861"/>
    <w:rsid w:val="001F4856"/>
    <w:rsid w:val="001F4B42"/>
    <w:rsid w:val="0020133B"/>
    <w:rsid w:val="00205C08"/>
    <w:rsid w:val="00214284"/>
    <w:rsid w:val="0022331A"/>
    <w:rsid w:val="00234B65"/>
    <w:rsid w:val="002568AB"/>
    <w:rsid w:val="00262A60"/>
    <w:rsid w:val="00270380"/>
    <w:rsid w:val="00275E60"/>
    <w:rsid w:val="00281D81"/>
    <w:rsid w:val="00287327"/>
    <w:rsid w:val="002925B6"/>
    <w:rsid w:val="002A0308"/>
    <w:rsid w:val="002C287F"/>
    <w:rsid w:val="002E6237"/>
    <w:rsid w:val="00325B53"/>
    <w:rsid w:val="003450E9"/>
    <w:rsid w:val="00361E81"/>
    <w:rsid w:val="00364149"/>
    <w:rsid w:val="0036788B"/>
    <w:rsid w:val="00394696"/>
    <w:rsid w:val="003B58F1"/>
    <w:rsid w:val="00413B05"/>
    <w:rsid w:val="0042083E"/>
    <w:rsid w:val="00421233"/>
    <w:rsid w:val="00430B11"/>
    <w:rsid w:val="00433941"/>
    <w:rsid w:val="00433D74"/>
    <w:rsid w:val="00436F73"/>
    <w:rsid w:val="004512A0"/>
    <w:rsid w:val="00460DA5"/>
    <w:rsid w:val="00465107"/>
    <w:rsid w:val="0047222F"/>
    <w:rsid w:val="004771BA"/>
    <w:rsid w:val="00477789"/>
    <w:rsid w:val="0048559C"/>
    <w:rsid w:val="004A0E54"/>
    <w:rsid w:val="004D445E"/>
    <w:rsid w:val="004D6D8D"/>
    <w:rsid w:val="004F71E7"/>
    <w:rsid w:val="00505B07"/>
    <w:rsid w:val="00507F66"/>
    <w:rsid w:val="00512402"/>
    <w:rsid w:val="005133E9"/>
    <w:rsid w:val="005225C5"/>
    <w:rsid w:val="005232D6"/>
    <w:rsid w:val="00526E57"/>
    <w:rsid w:val="00532179"/>
    <w:rsid w:val="0054057F"/>
    <w:rsid w:val="00541064"/>
    <w:rsid w:val="00560802"/>
    <w:rsid w:val="0057337B"/>
    <w:rsid w:val="005B4572"/>
    <w:rsid w:val="005C065B"/>
    <w:rsid w:val="005C0E45"/>
    <w:rsid w:val="005C127A"/>
    <w:rsid w:val="005D7C04"/>
    <w:rsid w:val="005E6396"/>
    <w:rsid w:val="005F198E"/>
    <w:rsid w:val="0060614B"/>
    <w:rsid w:val="00606175"/>
    <w:rsid w:val="006138AF"/>
    <w:rsid w:val="0061758F"/>
    <w:rsid w:val="00636978"/>
    <w:rsid w:val="00652587"/>
    <w:rsid w:val="006570E2"/>
    <w:rsid w:val="00684805"/>
    <w:rsid w:val="006848D9"/>
    <w:rsid w:val="00690035"/>
    <w:rsid w:val="006A4F63"/>
    <w:rsid w:val="006C13C4"/>
    <w:rsid w:val="006C168D"/>
    <w:rsid w:val="006C1790"/>
    <w:rsid w:val="006C25C6"/>
    <w:rsid w:val="006C4FAF"/>
    <w:rsid w:val="006D07CE"/>
    <w:rsid w:val="006F4336"/>
    <w:rsid w:val="007052A0"/>
    <w:rsid w:val="00705569"/>
    <w:rsid w:val="007100DC"/>
    <w:rsid w:val="00726C86"/>
    <w:rsid w:val="00726FF5"/>
    <w:rsid w:val="00730CAE"/>
    <w:rsid w:val="0073107A"/>
    <w:rsid w:val="00732D88"/>
    <w:rsid w:val="007629EC"/>
    <w:rsid w:val="00762A0B"/>
    <w:rsid w:val="007A18A2"/>
    <w:rsid w:val="007B149C"/>
    <w:rsid w:val="007B61EC"/>
    <w:rsid w:val="007D0167"/>
    <w:rsid w:val="007D068C"/>
    <w:rsid w:val="007F4A8E"/>
    <w:rsid w:val="007F7013"/>
    <w:rsid w:val="00820C77"/>
    <w:rsid w:val="00822687"/>
    <w:rsid w:val="008306D9"/>
    <w:rsid w:val="008375E1"/>
    <w:rsid w:val="008A2D7A"/>
    <w:rsid w:val="008A3749"/>
    <w:rsid w:val="008B02C1"/>
    <w:rsid w:val="008B309F"/>
    <w:rsid w:val="008B4464"/>
    <w:rsid w:val="008B7D44"/>
    <w:rsid w:val="008C1876"/>
    <w:rsid w:val="008D4C1C"/>
    <w:rsid w:val="008D51D8"/>
    <w:rsid w:val="008D5ED0"/>
    <w:rsid w:val="00905495"/>
    <w:rsid w:val="00907BF0"/>
    <w:rsid w:val="00931C75"/>
    <w:rsid w:val="00932619"/>
    <w:rsid w:val="00933B24"/>
    <w:rsid w:val="00976B41"/>
    <w:rsid w:val="009911CD"/>
    <w:rsid w:val="009A3E52"/>
    <w:rsid w:val="009B64E6"/>
    <w:rsid w:val="009F3E49"/>
    <w:rsid w:val="00A00B2F"/>
    <w:rsid w:val="00A346B5"/>
    <w:rsid w:val="00A52F08"/>
    <w:rsid w:val="00A67D23"/>
    <w:rsid w:val="00A87CBB"/>
    <w:rsid w:val="00A90793"/>
    <w:rsid w:val="00AC4CE8"/>
    <w:rsid w:val="00AE2CBD"/>
    <w:rsid w:val="00AE5F86"/>
    <w:rsid w:val="00AE6108"/>
    <w:rsid w:val="00AF7123"/>
    <w:rsid w:val="00AF7B4B"/>
    <w:rsid w:val="00B057AA"/>
    <w:rsid w:val="00B17B20"/>
    <w:rsid w:val="00B345D2"/>
    <w:rsid w:val="00B37DC5"/>
    <w:rsid w:val="00B41B75"/>
    <w:rsid w:val="00B4459D"/>
    <w:rsid w:val="00B50B40"/>
    <w:rsid w:val="00B612E6"/>
    <w:rsid w:val="00B85B17"/>
    <w:rsid w:val="00B86A54"/>
    <w:rsid w:val="00BE187D"/>
    <w:rsid w:val="00BF6100"/>
    <w:rsid w:val="00C00C82"/>
    <w:rsid w:val="00C03C3D"/>
    <w:rsid w:val="00C03DBB"/>
    <w:rsid w:val="00C073D3"/>
    <w:rsid w:val="00C322C9"/>
    <w:rsid w:val="00C35C3F"/>
    <w:rsid w:val="00C4042B"/>
    <w:rsid w:val="00C6086F"/>
    <w:rsid w:val="00C725FC"/>
    <w:rsid w:val="00C817A7"/>
    <w:rsid w:val="00C81980"/>
    <w:rsid w:val="00CA4B88"/>
    <w:rsid w:val="00CA5932"/>
    <w:rsid w:val="00CB74F7"/>
    <w:rsid w:val="00CE07A6"/>
    <w:rsid w:val="00CE2DE4"/>
    <w:rsid w:val="00D10F43"/>
    <w:rsid w:val="00D118C3"/>
    <w:rsid w:val="00D90E41"/>
    <w:rsid w:val="00D9117A"/>
    <w:rsid w:val="00D96D2D"/>
    <w:rsid w:val="00D96F94"/>
    <w:rsid w:val="00DF7747"/>
    <w:rsid w:val="00DF780B"/>
    <w:rsid w:val="00DF7990"/>
    <w:rsid w:val="00E06730"/>
    <w:rsid w:val="00E14E09"/>
    <w:rsid w:val="00E22CAE"/>
    <w:rsid w:val="00E24F85"/>
    <w:rsid w:val="00E27D3D"/>
    <w:rsid w:val="00E30AEC"/>
    <w:rsid w:val="00E32387"/>
    <w:rsid w:val="00E60C60"/>
    <w:rsid w:val="00E8677E"/>
    <w:rsid w:val="00E87307"/>
    <w:rsid w:val="00EA5821"/>
    <w:rsid w:val="00EB20C8"/>
    <w:rsid w:val="00EF095E"/>
    <w:rsid w:val="00EF4177"/>
    <w:rsid w:val="00EF4B90"/>
    <w:rsid w:val="00F02AD1"/>
    <w:rsid w:val="00F15C41"/>
    <w:rsid w:val="00F22131"/>
    <w:rsid w:val="00F23496"/>
    <w:rsid w:val="00F253C6"/>
    <w:rsid w:val="00F41240"/>
    <w:rsid w:val="00F41300"/>
    <w:rsid w:val="00F768DF"/>
    <w:rsid w:val="00F90CD8"/>
    <w:rsid w:val="00F9441A"/>
    <w:rsid w:val="00FA15FE"/>
    <w:rsid w:val="00FA19CF"/>
    <w:rsid w:val="00FB6264"/>
    <w:rsid w:val="00FE19F2"/>
    <w:rsid w:val="00FE22B0"/>
    <w:rsid w:val="00FE3FC4"/>
    <w:rsid w:val="00FF7EC2"/>
    <w:rsid w:val="245238B1"/>
    <w:rsid w:val="2D54C829"/>
    <w:rsid w:val="7680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25E0D"/>
  <w15:chartTrackingRefBased/>
  <w15:docId w15:val="{E9D4E178-0BDA-49F7-B0C3-3F7B7897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Normal"/>
    <w:link w:val="Heading1Char"/>
    <w:autoRedefine/>
    <w:uiPriority w:val="9"/>
    <w:qFormat/>
    <w:rsid w:val="002C287F"/>
    <w:pPr>
      <w:spacing w:before="240"/>
      <w:outlineLvl w:val="0"/>
    </w:pPr>
    <w:rPr>
      <w:rFonts w:ascii="Times New Roman" w:hAnsi="Times New Roman"/>
      <w:color w:val="000000" w:themeColor="text1"/>
      <w:sz w:val="2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B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2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2AD1"/>
  </w:style>
  <w:style w:type="paragraph" w:styleId="Footer">
    <w:name w:val="footer"/>
    <w:basedOn w:val="Normal"/>
    <w:link w:val="FooterChar"/>
    <w:uiPriority w:val="99"/>
    <w:unhideWhenUsed/>
    <w:rsid w:val="00F02A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2AD1"/>
  </w:style>
  <w:style w:type="table" w:styleId="TableGrid">
    <w:name w:val="Table Grid"/>
    <w:basedOn w:val="TableNormal"/>
    <w:uiPriority w:val="39"/>
    <w:rsid w:val="00F02A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02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2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2AD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2A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2AD1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C287F"/>
    <w:rPr>
      <w:rFonts w:eastAsiaTheme="majorEastAsia" w:cstheme="majorBidi"/>
      <w:color w:val="000000" w:themeColor="text1"/>
      <w:sz w:val="2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B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690035"/>
    <w:rPr>
      <w:color w:val="0563C1"/>
      <w:u w:val="single"/>
    </w:rPr>
  </w:style>
  <w:style w:type="character" w:styleId="PlaceholderText">
    <w:name w:val="Placeholder Text"/>
    <w:basedOn w:val="DefaultParagraphFont"/>
    <w:uiPriority w:val="99"/>
    <w:semiHidden/>
    <w:rsid w:val="003B58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9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81F52D728EF49519C6F2B789755D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A421F-D1BE-4CD7-92EC-FCDD90571A96}"/>
      </w:docPartPr>
      <w:docPartBody>
        <w:p w:rsidR="00464BCF" w:rsidRDefault="00427974" w:rsidP="00427974">
          <w:pPr>
            <w:pStyle w:val="781F52D728EF49519C6F2B789755DBC2"/>
          </w:pPr>
          <w:r>
            <w:rPr>
              <w:rStyle w:val="PlaceholderText"/>
            </w:rPr>
            <w:t>E</w:t>
          </w:r>
          <w:r w:rsidRPr="00436621">
            <w:rPr>
              <w:rStyle w:val="PlaceholderText"/>
            </w:rPr>
            <w:t>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974"/>
    <w:rsid w:val="00210307"/>
    <w:rsid w:val="00427974"/>
    <w:rsid w:val="00464BCF"/>
    <w:rsid w:val="00823D7F"/>
    <w:rsid w:val="00CA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D7F"/>
    <w:rPr>
      <w:color w:val="808080"/>
    </w:rPr>
  </w:style>
  <w:style w:type="paragraph" w:customStyle="1" w:styleId="781F52D728EF49519C6F2B789755DBC2">
    <w:name w:val="781F52D728EF49519C6F2B789755DBC2"/>
    <w:rsid w:val="00427974"/>
  </w:style>
  <w:style w:type="paragraph" w:customStyle="1" w:styleId="7146F63A24D54517970453D20F42A434">
    <w:name w:val="7146F63A24D54517970453D20F42A434"/>
    <w:rsid w:val="00427974"/>
  </w:style>
  <w:style w:type="paragraph" w:customStyle="1" w:styleId="7D78AF0613D04F958DEAE933E50AE8A2">
    <w:name w:val="7D78AF0613D04F958DEAE933E50AE8A2"/>
    <w:rsid w:val="00427974"/>
  </w:style>
  <w:style w:type="paragraph" w:customStyle="1" w:styleId="E44B19E8F61241ADB73816874BB27E08">
    <w:name w:val="E44B19E8F61241ADB73816874BB27E08"/>
    <w:rsid w:val="00823D7F"/>
  </w:style>
  <w:style w:type="paragraph" w:customStyle="1" w:styleId="9906329363F549AB8FFAE20EE70E2FD1">
    <w:name w:val="9906329363F549AB8FFAE20EE70E2FD1"/>
    <w:rsid w:val="00823D7F"/>
  </w:style>
  <w:style w:type="paragraph" w:customStyle="1" w:styleId="3950263B8BBF4A68AC7AD7D87AB4A57D">
    <w:name w:val="3950263B8BBF4A68AC7AD7D87AB4A57D"/>
    <w:rsid w:val="00823D7F"/>
  </w:style>
  <w:style w:type="paragraph" w:customStyle="1" w:styleId="B57AD7B35B09437A83B718E2F477205D">
    <w:name w:val="B57AD7B35B09437A83B718E2F477205D"/>
    <w:rsid w:val="00823D7F"/>
  </w:style>
  <w:style w:type="paragraph" w:customStyle="1" w:styleId="85A5F6B57EBD4B22A636A7AA33DF4C3A">
    <w:name w:val="85A5F6B57EBD4B22A636A7AA33DF4C3A"/>
    <w:rsid w:val="00823D7F"/>
  </w:style>
  <w:style w:type="paragraph" w:customStyle="1" w:styleId="CA72BB56C91943EBA8C2F47493C5E4E7">
    <w:name w:val="CA72BB56C91943EBA8C2F47493C5E4E7"/>
    <w:rsid w:val="00823D7F"/>
  </w:style>
  <w:style w:type="paragraph" w:customStyle="1" w:styleId="0A6B45A7EAA04B63877FBA31A22B56EA">
    <w:name w:val="0A6B45A7EAA04B63877FBA31A22B56EA"/>
    <w:rsid w:val="00823D7F"/>
  </w:style>
  <w:style w:type="paragraph" w:customStyle="1" w:styleId="2808964ABA66432C8326203F2988311F">
    <w:name w:val="2808964ABA66432C8326203F2988311F"/>
    <w:rsid w:val="00823D7F"/>
  </w:style>
  <w:style w:type="paragraph" w:customStyle="1" w:styleId="5FE054F0C4444720B695F1C5D9470D16">
    <w:name w:val="5FE054F0C4444720B695F1C5D9470D16"/>
    <w:rsid w:val="00823D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61DEF26CDC7940B4368308B914EF69" ma:contentTypeVersion="4" ma:contentTypeDescription="Create a new document." ma:contentTypeScope="" ma:versionID="bf94316b2465c3d28ef06f153a8a626a">
  <xsd:schema xmlns:xsd="http://www.w3.org/2001/XMLSchema" xmlns:xs="http://www.w3.org/2001/XMLSchema" xmlns:p="http://schemas.microsoft.com/office/2006/metadata/properties" xmlns:ns2="1c6b2243-119b-490b-8d55-e88570e5d4fa" targetNamespace="http://schemas.microsoft.com/office/2006/metadata/properties" ma:root="true" ma:fieldsID="37d2a8e1bf94974b4a496851b2683d9b" ns2:_="">
    <xsd:import namespace="1c6b2243-119b-490b-8d55-e88570e5d4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b2243-119b-490b-8d55-e88570e5d4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014D82-F993-41F8-9665-125E99B93C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BC0E5A-07C6-4B86-A6A1-028A38C8E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6b2243-119b-490b-8d55-e88570e5d4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AEAAE9-61CA-4DBC-AE3D-05AAFB7ABB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947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 Hopkins</Company>
  <LinksUpToDate>false</LinksUpToDate>
  <CharactersWithSpaces>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Maddie Whalen</dc:creator>
  <cp:keywords/>
  <dc:description/>
  <cp:lastModifiedBy>User 1</cp:lastModifiedBy>
  <cp:revision>9</cp:revision>
  <dcterms:created xsi:type="dcterms:W3CDTF">2023-11-17T18:13:00Z</dcterms:created>
  <dcterms:modified xsi:type="dcterms:W3CDTF">2023-11-17T23:17:00Z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0x0101004461DEF26CDC7940B4368308B914EF69</vt:lpwstr>
  </property>
  <property fmtid="{D5CDD505-2E9C-101B-9397-08002B2CF9AE}" pid="3" name="GrammarlyDocumentId">
    <vt:lpwstr>3e55c13fc3000dc1c6ea6a1a0f0f2e99d37f55c7c80d48117fad48fa163f91bd</vt:lpwstr>
  </property>
</Properties>
</file>