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0DDF" w:rsidRPr="00994D6C" w:rsidRDefault="005D245B" w:rsidP="00994D6C">
      <w:pPr>
        <w:spacing w:after="0" w:line="480" w:lineRule="auto"/>
        <w:jc w:val="center"/>
        <w:rPr>
          <w:rFonts w:ascii="Times New Roman" w:hAnsi="Times New Roman" w:cs="Times New Roman"/>
          <w:b/>
          <w:sz w:val="24"/>
          <w:szCs w:val="24"/>
        </w:rPr>
      </w:pPr>
      <w:r w:rsidRPr="00994D6C">
        <w:rPr>
          <w:rFonts w:ascii="Times New Roman" w:hAnsi="Times New Roman" w:cs="Times New Roman"/>
          <w:b/>
          <w:sz w:val="24"/>
          <w:szCs w:val="24"/>
        </w:rPr>
        <w:t xml:space="preserve">Response to </w:t>
      </w:r>
      <w:r w:rsidR="00DB18AF" w:rsidRPr="00994D6C">
        <w:rPr>
          <w:rFonts w:ascii="Times New Roman" w:hAnsi="Times New Roman" w:cs="Times New Roman"/>
          <w:b/>
          <w:sz w:val="24"/>
          <w:szCs w:val="24"/>
        </w:rPr>
        <w:t xml:space="preserve">Giovanna </w:t>
      </w:r>
      <w:proofErr w:type="spellStart"/>
      <w:r w:rsidR="00DB18AF" w:rsidRPr="00994D6C">
        <w:rPr>
          <w:rFonts w:ascii="Times New Roman" w:hAnsi="Times New Roman" w:cs="Times New Roman"/>
          <w:b/>
          <w:sz w:val="24"/>
          <w:szCs w:val="24"/>
        </w:rPr>
        <w:t>Giacchino</w:t>
      </w:r>
      <w:proofErr w:type="spellEnd"/>
    </w:p>
    <w:p w:rsidR="00150A9E" w:rsidRPr="00994D6C" w:rsidRDefault="000E44B8" w:rsidP="00994D6C">
      <w:pPr>
        <w:spacing w:after="0" w:line="480" w:lineRule="auto"/>
        <w:ind w:firstLine="720"/>
        <w:rPr>
          <w:rFonts w:ascii="Times New Roman" w:hAnsi="Times New Roman" w:cs="Times New Roman"/>
          <w:sz w:val="24"/>
          <w:szCs w:val="24"/>
        </w:rPr>
      </w:pPr>
      <w:r w:rsidRPr="00994D6C">
        <w:rPr>
          <w:rFonts w:ascii="Times New Roman" w:hAnsi="Times New Roman" w:cs="Times New Roman"/>
          <w:sz w:val="24"/>
          <w:szCs w:val="24"/>
        </w:rPr>
        <w:t xml:space="preserve">Hello </w:t>
      </w:r>
      <w:proofErr w:type="spellStart"/>
      <w:r w:rsidRPr="00994D6C">
        <w:rPr>
          <w:rFonts w:ascii="Times New Roman" w:hAnsi="Times New Roman" w:cs="Times New Roman"/>
          <w:sz w:val="24"/>
          <w:szCs w:val="24"/>
        </w:rPr>
        <w:t>Giacchino</w:t>
      </w:r>
      <w:proofErr w:type="spellEnd"/>
      <w:r w:rsidRPr="00994D6C">
        <w:rPr>
          <w:rFonts w:ascii="Times New Roman" w:hAnsi="Times New Roman" w:cs="Times New Roman"/>
          <w:sz w:val="24"/>
          <w:szCs w:val="24"/>
        </w:rPr>
        <w:t>, thanks for sharing a thought-provoking response to the week</w:t>
      </w:r>
      <w:r w:rsidR="00994D6C" w:rsidRPr="00994D6C">
        <w:rPr>
          <w:rFonts w:ascii="Times New Roman" w:hAnsi="Times New Roman" w:cs="Times New Roman"/>
          <w:sz w:val="24"/>
          <w:szCs w:val="24"/>
        </w:rPr>
        <w:t>'s</w:t>
      </w:r>
      <w:r w:rsidRPr="00994D6C">
        <w:rPr>
          <w:rFonts w:ascii="Times New Roman" w:hAnsi="Times New Roman" w:cs="Times New Roman"/>
          <w:sz w:val="24"/>
          <w:szCs w:val="24"/>
        </w:rPr>
        <w:t xml:space="preserve"> case study discussion.</w:t>
      </w:r>
      <w:r w:rsidR="00CB2881" w:rsidRPr="00994D6C">
        <w:rPr>
          <w:rFonts w:ascii="Times New Roman" w:hAnsi="Times New Roman" w:cs="Times New Roman"/>
          <w:sz w:val="24"/>
          <w:szCs w:val="24"/>
        </w:rPr>
        <w:t xml:space="preserve"> I find it intriguing how your monitoring plan includes an echocardiogram in 3-6 months or sooner if clinically indicated. </w:t>
      </w:r>
      <w:r w:rsidR="00994D6C" w:rsidRPr="00994D6C">
        <w:rPr>
          <w:rFonts w:ascii="Times New Roman" w:hAnsi="Times New Roman" w:cs="Times New Roman"/>
          <w:sz w:val="24"/>
          <w:szCs w:val="24"/>
        </w:rPr>
        <w:t>Regularly assessing the heart's structure and function</w:t>
      </w:r>
      <w:r w:rsidR="00CB2881" w:rsidRPr="00994D6C">
        <w:rPr>
          <w:rFonts w:ascii="Times New Roman" w:hAnsi="Times New Roman" w:cs="Times New Roman"/>
          <w:sz w:val="24"/>
          <w:szCs w:val="24"/>
        </w:rPr>
        <w:t xml:space="preserve"> can better understand the impact of anemia on the cardiovascular system and tailor treatment accordingly.</w:t>
      </w:r>
      <w:r w:rsidRPr="00994D6C">
        <w:rPr>
          <w:rFonts w:ascii="Times New Roman" w:hAnsi="Times New Roman" w:cs="Times New Roman"/>
          <w:sz w:val="24"/>
          <w:szCs w:val="24"/>
        </w:rPr>
        <w:t xml:space="preserve"> I agree </w:t>
      </w:r>
      <w:r w:rsidR="00994D6C" w:rsidRPr="00994D6C">
        <w:rPr>
          <w:rFonts w:ascii="Times New Roman" w:hAnsi="Times New Roman" w:cs="Times New Roman"/>
          <w:sz w:val="24"/>
          <w:szCs w:val="24"/>
        </w:rPr>
        <w:t>tha</w:t>
      </w:r>
      <w:r w:rsidRPr="00994D6C">
        <w:rPr>
          <w:rFonts w:ascii="Times New Roman" w:hAnsi="Times New Roman" w:cs="Times New Roman"/>
          <w:sz w:val="24"/>
          <w:szCs w:val="24"/>
        </w:rPr>
        <w:t>t early identification and management of iron deficiency anemia in patients with non</w:t>
      </w:r>
      <w:r w:rsidR="00E87504" w:rsidRPr="00994D6C">
        <w:rPr>
          <w:rFonts w:ascii="Times New Roman" w:hAnsi="Times New Roman" w:cs="Times New Roman"/>
          <w:sz w:val="24"/>
          <w:szCs w:val="24"/>
        </w:rPr>
        <w:t>-</w:t>
      </w:r>
      <w:r w:rsidRPr="00994D6C">
        <w:rPr>
          <w:rFonts w:ascii="Times New Roman" w:hAnsi="Times New Roman" w:cs="Times New Roman"/>
          <w:sz w:val="24"/>
          <w:szCs w:val="24"/>
        </w:rPr>
        <w:t>dialysis-dependent chronic kidney disease is crucial in improving patient outcomes. It would be beneficial to incorporate regular iron studies, such as serum ferritin and transferrin saturation, into the monitoring plan</w:t>
      </w:r>
      <w:r w:rsidR="006A4211" w:rsidRPr="00994D6C">
        <w:rPr>
          <w:rFonts w:ascii="Times New Roman" w:hAnsi="Times New Roman" w:cs="Times New Roman"/>
          <w:sz w:val="24"/>
          <w:szCs w:val="24"/>
        </w:rPr>
        <w:t xml:space="preserve"> (</w:t>
      </w:r>
      <w:proofErr w:type="spellStart"/>
      <w:r w:rsidR="00B60D8D" w:rsidRPr="00994D6C">
        <w:rPr>
          <w:rFonts w:ascii="Times New Roman" w:hAnsi="Times New Roman" w:cs="Times New Roman"/>
          <w:color w:val="212121"/>
          <w:sz w:val="24"/>
          <w:szCs w:val="24"/>
          <w:shd w:val="clear" w:color="auto" w:fill="FFFFFF"/>
        </w:rPr>
        <w:t>Balendran</w:t>
      </w:r>
      <w:proofErr w:type="spellEnd"/>
      <w:r w:rsidR="00346796" w:rsidRPr="00994D6C">
        <w:rPr>
          <w:rFonts w:ascii="Times New Roman" w:hAnsi="Times New Roman" w:cs="Times New Roman"/>
          <w:color w:val="212121"/>
          <w:sz w:val="24"/>
          <w:szCs w:val="24"/>
          <w:shd w:val="clear" w:color="auto" w:fill="FFFFFF"/>
        </w:rPr>
        <w:t xml:space="preserve"> </w:t>
      </w:r>
      <w:r w:rsidR="00B60D8D" w:rsidRPr="00994D6C">
        <w:rPr>
          <w:rFonts w:ascii="Times New Roman" w:hAnsi="Times New Roman" w:cs="Times New Roman"/>
          <w:color w:val="212121"/>
          <w:sz w:val="24"/>
          <w:szCs w:val="24"/>
          <w:shd w:val="clear" w:color="auto" w:fill="FFFFFF"/>
        </w:rPr>
        <w:t>&amp; Forsyth, 2021</w:t>
      </w:r>
      <w:r w:rsidR="006A4211" w:rsidRPr="00994D6C">
        <w:rPr>
          <w:rFonts w:ascii="Times New Roman" w:hAnsi="Times New Roman" w:cs="Times New Roman"/>
          <w:sz w:val="24"/>
          <w:szCs w:val="24"/>
        </w:rPr>
        <w:t>)</w:t>
      </w:r>
      <w:r w:rsidRPr="00994D6C">
        <w:rPr>
          <w:rFonts w:ascii="Times New Roman" w:hAnsi="Times New Roman" w:cs="Times New Roman"/>
          <w:sz w:val="24"/>
          <w:szCs w:val="24"/>
        </w:rPr>
        <w:t>. These additional tests can provide valuable information on iron stores and help guide appropriate iron supplementation if necessary. </w:t>
      </w:r>
      <w:r w:rsidR="00BE14CC" w:rsidRPr="00994D6C">
        <w:rPr>
          <w:rFonts w:ascii="Times New Roman" w:hAnsi="Times New Roman" w:cs="Times New Roman"/>
          <w:sz w:val="24"/>
          <w:szCs w:val="24"/>
        </w:rPr>
        <w:t> </w:t>
      </w:r>
      <w:r w:rsidR="00994D6C" w:rsidRPr="00994D6C">
        <w:rPr>
          <w:rFonts w:ascii="Times New Roman" w:hAnsi="Times New Roman" w:cs="Times New Roman"/>
          <w:sz w:val="24"/>
          <w:szCs w:val="24"/>
        </w:rPr>
        <w:t xml:space="preserve">I </w:t>
      </w:r>
      <w:r w:rsidR="00BE14CC" w:rsidRPr="00994D6C">
        <w:rPr>
          <w:rFonts w:ascii="Times New Roman" w:hAnsi="Times New Roman" w:cs="Times New Roman"/>
          <w:sz w:val="24"/>
          <w:szCs w:val="24"/>
        </w:rPr>
        <w:t xml:space="preserve">agree with </w:t>
      </w:r>
      <w:r w:rsidR="00994D6C" w:rsidRPr="00994D6C">
        <w:rPr>
          <w:rFonts w:ascii="Times New Roman" w:hAnsi="Times New Roman" w:cs="Times New Roman"/>
          <w:sz w:val="24"/>
          <w:szCs w:val="24"/>
        </w:rPr>
        <w:t>your</w:t>
      </w:r>
      <w:r w:rsidR="00BE14CC" w:rsidRPr="00994D6C">
        <w:rPr>
          <w:rFonts w:ascii="Times New Roman" w:hAnsi="Times New Roman" w:cs="Times New Roman"/>
          <w:sz w:val="24"/>
          <w:szCs w:val="24"/>
        </w:rPr>
        <w:t xml:space="preserve"> monitoring plan, as it covers the essential aspects of monitoring chronic kidney disease. However, I recommend including urine albumin-to-creatinine ratio (UACR) testing in the monitoring plan. UACR is a valuable marker for detecting early kidney damage and assessing the progression of chronic kidney disease</w:t>
      </w:r>
      <w:r w:rsidR="00CF5452" w:rsidRPr="00994D6C">
        <w:rPr>
          <w:rFonts w:ascii="Times New Roman" w:hAnsi="Times New Roman" w:cs="Times New Roman"/>
          <w:sz w:val="24"/>
          <w:szCs w:val="24"/>
        </w:rPr>
        <w:t xml:space="preserve"> (</w:t>
      </w:r>
      <w:proofErr w:type="spellStart"/>
      <w:r w:rsidR="00CF5452" w:rsidRPr="00994D6C">
        <w:rPr>
          <w:rFonts w:ascii="Times New Roman" w:hAnsi="Times New Roman" w:cs="Times New Roman"/>
          <w:color w:val="212121"/>
          <w:sz w:val="24"/>
          <w:szCs w:val="24"/>
          <w:shd w:val="clear" w:color="auto" w:fill="FFFFFF"/>
        </w:rPr>
        <w:t>Christofides</w:t>
      </w:r>
      <w:proofErr w:type="spellEnd"/>
      <w:r w:rsidR="00CF5452" w:rsidRPr="00994D6C">
        <w:rPr>
          <w:rFonts w:ascii="Times New Roman" w:hAnsi="Times New Roman" w:cs="Times New Roman"/>
          <w:color w:val="212121"/>
          <w:sz w:val="24"/>
          <w:szCs w:val="24"/>
          <w:shd w:val="clear" w:color="auto" w:fill="FFFFFF"/>
        </w:rPr>
        <w:t xml:space="preserve"> &amp; Desai, 2021</w:t>
      </w:r>
      <w:r w:rsidR="00CF5452" w:rsidRPr="00994D6C">
        <w:rPr>
          <w:rFonts w:ascii="Times New Roman" w:hAnsi="Times New Roman" w:cs="Times New Roman"/>
          <w:sz w:val="24"/>
          <w:szCs w:val="24"/>
        </w:rPr>
        <w:t>)</w:t>
      </w:r>
      <w:r w:rsidR="00BE14CC" w:rsidRPr="00994D6C">
        <w:rPr>
          <w:rFonts w:ascii="Times New Roman" w:hAnsi="Times New Roman" w:cs="Times New Roman"/>
          <w:sz w:val="24"/>
          <w:szCs w:val="24"/>
        </w:rPr>
        <w:t>. Regular UACR testing can provide additional information on the patient's renal function and help guide appropriate management strategies.</w:t>
      </w:r>
      <w:r w:rsidR="00756C54" w:rsidRPr="00994D6C">
        <w:rPr>
          <w:rFonts w:ascii="Times New Roman" w:hAnsi="Times New Roman" w:cs="Times New Roman"/>
          <w:sz w:val="24"/>
          <w:szCs w:val="24"/>
        </w:rPr>
        <w:t xml:space="preserve"> </w:t>
      </w:r>
      <w:proofErr w:type="spellStart"/>
      <w:r w:rsidR="003E060A" w:rsidRPr="00994D6C">
        <w:rPr>
          <w:rFonts w:ascii="Times New Roman" w:hAnsi="Times New Roman" w:cs="Times New Roman"/>
          <w:sz w:val="24"/>
          <w:szCs w:val="24"/>
        </w:rPr>
        <w:t>Giacchino</w:t>
      </w:r>
      <w:proofErr w:type="spellEnd"/>
      <w:r w:rsidR="003E060A" w:rsidRPr="00994D6C">
        <w:rPr>
          <w:rFonts w:ascii="Times New Roman" w:hAnsi="Times New Roman" w:cs="Times New Roman"/>
          <w:sz w:val="24"/>
          <w:szCs w:val="24"/>
        </w:rPr>
        <w:t>, w</w:t>
      </w:r>
      <w:r w:rsidR="00756C54" w:rsidRPr="00994D6C">
        <w:rPr>
          <w:rFonts w:ascii="Times New Roman" w:hAnsi="Times New Roman" w:cs="Times New Roman"/>
          <w:sz w:val="24"/>
          <w:szCs w:val="24"/>
        </w:rPr>
        <w:t xml:space="preserve">hat are the potential consequences of not addressing iron deficiency anemia in patients with </w:t>
      </w:r>
      <w:proofErr w:type="spellStart"/>
      <w:r w:rsidR="00756C54" w:rsidRPr="00994D6C">
        <w:rPr>
          <w:rFonts w:ascii="Times New Roman" w:hAnsi="Times New Roman" w:cs="Times New Roman"/>
          <w:sz w:val="24"/>
          <w:szCs w:val="24"/>
        </w:rPr>
        <w:t>nondialysis</w:t>
      </w:r>
      <w:proofErr w:type="spellEnd"/>
      <w:r w:rsidR="00756C54" w:rsidRPr="00994D6C">
        <w:rPr>
          <w:rFonts w:ascii="Times New Roman" w:hAnsi="Times New Roman" w:cs="Times New Roman"/>
          <w:sz w:val="24"/>
          <w:szCs w:val="24"/>
        </w:rPr>
        <w:t>-dependent chronic kidney disease? </w:t>
      </w:r>
      <w:bookmarkStart w:id="0" w:name="_GoBack"/>
      <w:bookmarkEnd w:id="0"/>
    </w:p>
    <w:p w:rsidR="005D245B" w:rsidRPr="00994D6C" w:rsidRDefault="005D245B" w:rsidP="00994D6C">
      <w:pPr>
        <w:spacing w:after="0" w:line="480" w:lineRule="auto"/>
        <w:jc w:val="center"/>
        <w:rPr>
          <w:rFonts w:ascii="Times New Roman" w:hAnsi="Times New Roman" w:cs="Times New Roman"/>
          <w:b/>
          <w:sz w:val="24"/>
          <w:szCs w:val="24"/>
        </w:rPr>
      </w:pPr>
      <w:r w:rsidRPr="00994D6C">
        <w:rPr>
          <w:rFonts w:ascii="Times New Roman" w:hAnsi="Times New Roman" w:cs="Times New Roman"/>
          <w:b/>
          <w:sz w:val="24"/>
          <w:szCs w:val="24"/>
        </w:rPr>
        <w:t>References</w:t>
      </w:r>
    </w:p>
    <w:p w:rsidR="00346796" w:rsidRPr="00994D6C" w:rsidRDefault="00346796" w:rsidP="00994D6C">
      <w:pPr>
        <w:spacing w:after="0" w:line="480" w:lineRule="auto"/>
        <w:ind w:left="720" w:hanging="720"/>
        <w:rPr>
          <w:rFonts w:ascii="Times New Roman" w:hAnsi="Times New Roman" w:cs="Times New Roman"/>
          <w:color w:val="212121"/>
          <w:sz w:val="24"/>
          <w:szCs w:val="24"/>
          <w:shd w:val="clear" w:color="auto" w:fill="FFFFFF"/>
        </w:rPr>
      </w:pPr>
      <w:proofErr w:type="spellStart"/>
      <w:r w:rsidRPr="00994D6C">
        <w:rPr>
          <w:rFonts w:ascii="Times New Roman" w:hAnsi="Times New Roman" w:cs="Times New Roman"/>
          <w:color w:val="212121"/>
          <w:sz w:val="24"/>
          <w:szCs w:val="24"/>
          <w:shd w:val="clear" w:color="auto" w:fill="FFFFFF"/>
        </w:rPr>
        <w:t>Balendran</w:t>
      </w:r>
      <w:proofErr w:type="spellEnd"/>
      <w:r w:rsidRPr="00994D6C">
        <w:rPr>
          <w:rFonts w:ascii="Times New Roman" w:hAnsi="Times New Roman" w:cs="Times New Roman"/>
          <w:color w:val="212121"/>
          <w:sz w:val="24"/>
          <w:szCs w:val="24"/>
          <w:shd w:val="clear" w:color="auto" w:fill="FFFFFF"/>
        </w:rPr>
        <w:t>, S., &amp; Forsyth, C. (2021). Non-anemic iron deficiency. </w:t>
      </w:r>
      <w:r w:rsidRPr="00994D6C">
        <w:rPr>
          <w:rFonts w:ascii="Times New Roman" w:hAnsi="Times New Roman" w:cs="Times New Roman"/>
          <w:i/>
          <w:iCs/>
          <w:color w:val="212121"/>
          <w:sz w:val="24"/>
          <w:szCs w:val="24"/>
          <w:shd w:val="clear" w:color="auto" w:fill="FFFFFF"/>
        </w:rPr>
        <w:t>Australian prescriber</w:t>
      </w:r>
      <w:r w:rsidRPr="00994D6C">
        <w:rPr>
          <w:rFonts w:ascii="Times New Roman" w:hAnsi="Times New Roman" w:cs="Times New Roman"/>
          <w:color w:val="212121"/>
          <w:sz w:val="24"/>
          <w:szCs w:val="24"/>
          <w:shd w:val="clear" w:color="auto" w:fill="FFFFFF"/>
        </w:rPr>
        <w:t>, </w:t>
      </w:r>
      <w:r w:rsidRPr="00994D6C">
        <w:rPr>
          <w:rFonts w:ascii="Times New Roman" w:hAnsi="Times New Roman" w:cs="Times New Roman"/>
          <w:i/>
          <w:iCs/>
          <w:color w:val="212121"/>
          <w:sz w:val="24"/>
          <w:szCs w:val="24"/>
          <w:shd w:val="clear" w:color="auto" w:fill="FFFFFF"/>
        </w:rPr>
        <w:t>44</w:t>
      </w:r>
      <w:r w:rsidRPr="00994D6C">
        <w:rPr>
          <w:rFonts w:ascii="Times New Roman" w:hAnsi="Times New Roman" w:cs="Times New Roman"/>
          <w:color w:val="212121"/>
          <w:sz w:val="24"/>
          <w:szCs w:val="24"/>
          <w:shd w:val="clear" w:color="auto" w:fill="FFFFFF"/>
        </w:rPr>
        <w:t xml:space="preserve">(6), 193–196. </w:t>
      </w:r>
      <w:hyperlink r:id="rId4" w:history="1">
        <w:r w:rsidRPr="00994D6C">
          <w:rPr>
            <w:rStyle w:val="Hyperlink"/>
            <w:rFonts w:ascii="Times New Roman" w:hAnsi="Times New Roman" w:cs="Times New Roman"/>
            <w:sz w:val="24"/>
            <w:szCs w:val="24"/>
            <w:shd w:val="clear" w:color="auto" w:fill="FFFFFF"/>
          </w:rPr>
          <w:t>https://doi.org/10.18773/austprescr.2021.052</w:t>
        </w:r>
      </w:hyperlink>
      <w:r w:rsidRPr="00994D6C">
        <w:rPr>
          <w:rFonts w:ascii="Times New Roman" w:hAnsi="Times New Roman" w:cs="Times New Roman"/>
          <w:color w:val="212121"/>
          <w:sz w:val="24"/>
          <w:szCs w:val="24"/>
          <w:shd w:val="clear" w:color="auto" w:fill="FFFFFF"/>
        </w:rPr>
        <w:t xml:space="preserve"> </w:t>
      </w:r>
    </w:p>
    <w:p w:rsidR="00CF5452" w:rsidRPr="00994D6C" w:rsidRDefault="00CF5452" w:rsidP="00994D6C">
      <w:pPr>
        <w:spacing w:after="0" w:line="480" w:lineRule="auto"/>
        <w:ind w:left="720" w:hanging="720"/>
        <w:rPr>
          <w:rFonts w:ascii="Times New Roman" w:hAnsi="Times New Roman" w:cs="Times New Roman"/>
          <w:sz w:val="24"/>
          <w:szCs w:val="24"/>
        </w:rPr>
      </w:pPr>
      <w:proofErr w:type="spellStart"/>
      <w:r w:rsidRPr="00994D6C">
        <w:rPr>
          <w:rFonts w:ascii="Times New Roman" w:hAnsi="Times New Roman" w:cs="Times New Roman"/>
          <w:color w:val="212121"/>
          <w:sz w:val="24"/>
          <w:szCs w:val="24"/>
          <w:shd w:val="clear" w:color="auto" w:fill="FFFFFF"/>
        </w:rPr>
        <w:t>Christofides</w:t>
      </w:r>
      <w:proofErr w:type="spellEnd"/>
      <w:r w:rsidRPr="00994D6C">
        <w:rPr>
          <w:rFonts w:ascii="Times New Roman" w:hAnsi="Times New Roman" w:cs="Times New Roman"/>
          <w:color w:val="212121"/>
          <w:sz w:val="24"/>
          <w:szCs w:val="24"/>
          <w:shd w:val="clear" w:color="auto" w:fill="FFFFFF"/>
        </w:rPr>
        <w:t xml:space="preserve">, E. A., &amp; Desai, N. (2021). Optimal Early Diagnosis and Monitoring of Diabetic Kidney Disease in Type 2 Diabetes Mellitus: Addressing the Barriers to Albuminuria </w:t>
      </w:r>
      <w:r w:rsidRPr="00994D6C">
        <w:rPr>
          <w:rFonts w:ascii="Times New Roman" w:hAnsi="Times New Roman" w:cs="Times New Roman"/>
          <w:color w:val="212121"/>
          <w:sz w:val="24"/>
          <w:szCs w:val="24"/>
          <w:shd w:val="clear" w:color="auto" w:fill="FFFFFF"/>
        </w:rPr>
        <w:lastRenderedPageBreak/>
        <w:t>Testing. </w:t>
      </w:r>
      <w:r w:rsidRPr="00994D6C">
        <w:rPr>
          <w:rFonts w:ascii="Times New Roman" w:hAnsi="Times New Roman" w:cs="Times New Roman"/>
          <w:i/>
          <w:iCs/>
          <w:color w:val="212121"/>
          <w:sz w:val="24"/>
          <w:szCs w:val="24"/>
          <w:shd w:val="clear" w:color="auto" w:fill="FFFFFF"/>
        </w:rPr>
        <w:t>Journal of primary care &amp; community health</w:t>
      </w:r>
      <w:r w:rsidRPr="00994D6C">
        <w:rPr>
          <w:rFonts w:ascii="Times New Roman" w:hAnsi="Times New Roman" w:cs="Times New Roman"/>
          <w:color w:val="212121"/>
          <w:sz w:val="24"/>
          <w:szCs w:val="24"/>
          <w:shd w:val="clear" w:color="auto" w:fill="FFFFFF"/>
        </w:rPr>
        <w:t>, </w:t>
      </w:r>
      <w:r w:rsidRPr="00994D6C">
        <w:rPr>
          <w:rFonts w:ascii="Times New Roman" w:hAnsi="Times New Roman" w:cs="Times New Roman"/>
          <w:i/>
          <w:iCs/>
          <w:color w:val="212121"/>
          <w:sz w:val="24"/>
          <w:szCs w:val="24"/>
          <w:shd w:val="clear" w:color="auto" w:fill="FFFFFF"/>
        </w:rPr>
        <w:t>12</w:t>
      </w:r>
      <w:r w:rsidRPr="00994D6C">
        <w:rPr>
          <w:rFonts w:ascii="Times New Roman" w:hAnsi="Times New Roman" w:cs="Times New Roman"/>
          <w:color w:val="212121"/>
          <w:sz w:val="24"/>
          <w:szCs w:val="24"/>
          <w:shd w:val="clear" w:color="auto" w:fill="FFFFFF"/>
        </w:rPr>
        <w:t xml:space="preserve">, 21501327211003683. </w:t>
      </w:r>
      <w:hyperlink r:id="rId5" w:history="1">
        <w:r w:rsidRPr="00994D6C">
          <w:rPr>
            <w:rStyle w:val="Hyperlink"/>
            <w:rFonts w:ascii="Times New Roman" w:hAnsi="Times New Roman" w:cs="Times New Roman"/>
            <w:sz w:val="24"/>
            <w:szCs w:val="24"/>
            <w:shd w:val="clear" w:color="auto" w:fill="FFFFFF"/>
          </w:rPr>
          <w:t>https://doi.org/10.1177/21501327211003683</w:t>
        </w:r>
      </w:hyperlink>
      <w:r w:rsidRPr="00994D6C">
        <w:rPr>
          <w:rFonts w:ascii="Times New Roman" w:hAnsi="Times New Roman" w:cs="Times New Roman"/>
          <w:color w:val="212121"/>
          <w:sz w:val="24"/>
          <w:szCs w:val="24"/>
          <w:shd w:val="clear" w:color="auto" w:fill="FFFFFF"/>
        </w:rPr>
        <w:t xml:space="preserve"> </w:t>
      </w:r>
    </w:p>
    <w:p w:rsidR="005D245B" w:rsidRPr="00994D6C" w:rsidRDefault="005D245B" w:rsidP="00994D6C">
      <w:pPr>
        <w:spacing w:after="0" w:line="480" w:lineRule="auto"/>
        <w:jc w:val="center"/>
        <w:rPr>
          <w:rFonts w:ascii="Times New Roman" w:hAnsi="Times New Roman" w:cs="Times New Roman"/>
          <w:b/>
          <w:sz w:val="24"/>
          <w:szCs w:val="24"/>
        </w:rPr>
      </w:pPr>
      <w:r w:rsidRPr="00994D6C">
        <w:rPr>
          <w:rFonts w:ascii="Times New Roman" w:hAnsi="Times New Roman" w:cs="Times New Roman"/>
          <w:b/>
          <w:sz w:val="24"/>
          <w:szCs w:val="24"/>
        </w:rPr>
        <w:t xml:space="preserve">Response to </w:t>
      </w:r>
      <w:r w:rsidR="00AB407C" w:rsidRPr="00994D6C">
        <w:rPr>
          <w:rFonts w:ascii="Times New Roman" w:hAnsi="Times New Roman" w:cs="Times New Roman"/>
          <w:b/>
          <w:sz w:val="24"/>
          <w:szCs w:val="24"/>
        </w:rPr>
        <w:t xml:space="preserve">Nicole </w:t>
      </w:r>
      <w:proofErr w:type="spellStart"/>
      <w:r w:rsidR="00AB407C" w:rsidRPr="00994D6C">
        <w:rPr>
          <w:rFonts w:ascii="Times New Roman" w:hAnsi="Times New Roman" w:cs="Times New Roman"/>
          <w:b/>
          <w:sz w:val="24"/>
          <w:szCs w:val="24"/>
        </w:rPr>
        <w:t>Lemboyski</w:t>
      </w:r>
      <w:proofErr w:type="spellEnd"/>
    </w:p>
    <w:p w:rsidR="00C6629A" w:rsidRPr="00994D6C" w:rsidRDefault="00C6629A" w:rsidP="00994D6C">
      <w:pPr>
        <w:spacing w:after="0" w:line="480" w:lineRule="auto"/>
        <w:ind w:firstLine="720"/>
        <w:rPr>
          <w:rFonts w:ascii="Times New Roman" w:hAnsi="Times New Roman" w:cs="Times New Roman"/>
          <w:sz w:val="24"/>
          <w:szCs w:val="24"/>
        </w:rPr>
      </w:pPr>
      <w:r w:rsidRPr="00994D6C">
        <w:rPr>
          <w:rFonts w:ascii="Times New Roman" w:hAnsi="Times New Roman" w:cs="Times New Roman"/>
          <w:sz w:val="24"/>
          <w:szCs w:val="24"/>
        </w:rPr>
        <w:t xml:space="preserve">Hello </w:t>
      </w:r>
      <w:proofErr w:type="spellStart"/>
      <w:r w:rsidRPr="00994D6C">
        <w:rPr>
          <w:rFonts w:ascii="Times New Roman" w:hAnsi="Times New Roman" w:cs="Times New Roman"/>
          <w:sz w:val="24"/>
          <w:szCs w:val="24"/>
        </w:rPr>
        <w:t>Lemb</w:t>
      </w:r>
      <w:r w:rsidR="004A0BB1" w:rsidRPr="00994D6C">
        <w:rPr>
          <w:rFonts w:ascii="Times New Roman" w:hAnsi="Times New Roman" w:cs="Times New Roman"/>
          <w:sz w:val="24"/>
          <w:szCs w:val="24"/>
        </w:rPr>
        <w:t>oyski</w:t>
      </w:r>
      <w:proofErr w:type="spellEnd"/>
      <w:r w:rsidR="004A0BB1" w:rsidRPr="00994D6C">
        <w:rPr>
          <w:rFonts w:ascii="Times New Roman" w:hAnsi="Times New Roman" w:cs="Times New Roman"/>
          <w:sz w:val="24"/>
          <w:szCs w:val="24"/>
        </w:rPr>
        <w:t xml:space="preserve">, thanks for sharing such an informative case study discussion post response </w:t>
      </w:r>
      <w:r w:rsidR="008E04FF" w:rsidRPr="00994D6C">
        <w:rPr>
          <w:rFonts w:ascii="Times New Roman" w:hAnsi="Times New Roman" w:cs="Times New Roman"/>
          <w:sz w:val="24"/>
          <w:szCs w:val="24"/>
        </w:rPr>
        <w:t>on a woman with diabetes and chronic kidney disease (CKD) stage 4</w:t>
      </w:r>
      <w:r w:rsidR="00DC318B" w:rsidRPr="00994D6C">
        <w:rPr>
          <w:rFonts w:ascii="Times New Roman" w:hAnsi="Times New Roman" w:cs="Times New Roman"/>
          <w:sz w:val="24"/>
          <w:szCs w:val="24"/>
        </w:rPr>
        <w:t xml:space="preserve">. </w:t>
      </w:r>
      <w:r w:rsidR="00A05232" w:rsidRPr="00994D6C">
        <w:rPr>
          <w:rFonts w:ascii="Times New Roman" w:hAnsi="Times New Roman" w:cs="Times New Roman"/>
          <w:sz w:val="24"/>
          <w:szCs w:val="24"/>
        </w:rPr>
        <w:t> I</w:t>
      </w:r>
      <w:r w:rsidR="00994D6C" w:rsidRPr="00994D6C">
        <w:rPr>
          <w:rFonts w:ascii="Times New Roman" w:hAnsi="Times New Roman" w:cs="Times New Roman"/>
          <w:sz w:val="24"/>
          <w:szCs w:val="24"/>
        </w:rPr>
        <w:t>nterestingly,</w:t>
      </w:r>
      <w:r w:rsidR="00A05232" w:rsidRPr="00994D6C">
        <w:rPr>
          <w:rFonts w:ascii="Times New Roman" w:hAnsi="Times New Roman" w:cs="Times New Roman"/>
          <w:sz w:val="24"/>
          <w:szCs w:val="24"/>
        </w:rPr>
        <w:t xml:space="preserve"> your plan includes monitoring H&amp;H levels, kidney function, and electrolytes every four weeks until the </w:t>
      </w:r>
      <w:r w:rsidR="00994D6C" w:rsidRPr="00994D6C">
        <w:rPr>
          <w:rFonts w:ascii="Times New Roman" w:hAnsi="Times New Roman" w:cs="Times New Roman"/>
          <w:sz w:val="24"/>
          <w:szCs w:val="24"/>
        </w:rPr>
        <w:t>hemoglobin goal</w:t>
      </w:r>
      <w:r w:rsidR="00A05232" w:rsidRPr="00994D6C">
        <w:rPr>
          <w:rFonts w:ascii="Times New Roman" w:hAnsi="Times New Roman" w:cs="Times New Roman"/>
          <w:sz w:val="24"/>
          <w:szCs w:val="24"/>
        </w:rPr>
        <w:t xml:space="preserve"> is </w:t>
      </w:r>
      <w:r w:rsidR="00994D6C" w:rsidRPr="00994D6C">
        <w:rPr>
          <w:rFonts w:ascii="Times New Roman" w:hAnsi="Times New Roman" w:cs="Times New Roman"/>
          <w:sz w:val="24"/>
          <w:szCs w:val="24"/>
        </w:rPr>
        <w:t>ten</w:t>
      </w:r>
      <w:r w:rsidR="00A05232" w:rsidRPr="00994D6C">
        <w:rPr>
          <w:rFonts w:ascii="Times New Roman" w:hAnsi="Times New Roman" w:cs="Times New Roman"/>
          <w:sz w:val="24"/>
          <w:szCs w:val="24"/>
        </w:rPr>
        <w:t xml:space="preserve"> or above. This comprehensive approach ensures that the patient's progress is closely </w:t>
      </w:r>
      <w:proofErr w:type="gramStart"/>
      <w:r w:rsidR="00A05232" w:rsidRPr="00994D6C">
        <w:rPr>
          <w:rFonts w:ascii="Times New Roman" w:hAnsi="Times New Roman" w:cs="Times New Roman"/>
          <w:sz w:val="24"/>
          <w:szCs w:val="24"/>
        </w:rPr>
        <w:t>monitored</w:t>
      </w:r>
      <w:proofErr w:type="gramEnd"/>
      <w:r w:rsidR="00A05232" w:rsidRPr="00994D6C">
        <w:rPr>
          <w:rFonts w:ascii="Times New Roman" w:hAnsi="Times New Roman" w:cs="Times New Roman"/>
          <w:sz w:val="24"/>
          <w:szCs w:val="24"/>
        </w:rPr>
        <w:t xml:space="preserve"> and potential complications or imbalances can be addressed </w:t>
      </w:r>
      <w:r w:rsidR="00994D6C" w:rsidRPr="00994D6C">
        <w:rPr>
          <w:rFonts w:ascii="Times New Roman" w:hAnsi="Times New Roman" w:cs="Times New Roman"/>
          <w:sz w:val="24"/>
          <w:szCs w:val="24"/>
        </w:rPr>
        <w:t>promptly</w:t>
      </w:r>
      <w:r w:rsidR="00B27B99" w:rsidRPr="00994D6C">
        <w:rPr>
          <w:rFonts w:ascii="Times New Roman" w:hAnsi="Times New Roman" w:cs="Times New Roman"/>
          <w:sz w:val="24"/>
          <w:szCs w:val="24"/>
        </w:rPr>
        <w:t xml:space="preserve"> (</w:t>
      </w:r>
      <w:r w:rsidR="007D5407" w:rsidRPr="00994D6C">
        <w:rPr>
          <w:rFonts w:ascii="Times New Roman" w:hAnsi="Times New Roman" w:cs="Times New Roman"/>
          <w:sz w:val="24"/>
          <w:szCs w:val="24"/>
        </w:rPr>
        <w:t>Mansoor et al., 2021</w:t>
      </w:r>
      <w:r w:rsidR="00B27B99" w:rsidRPr="00994D6C">
        <w:rPr>
          <w:rFonts w:ascii="Times New Roman" w:hAnsi="Times New Roman" w:cs="Times New Roman"/>
          <w:sz w:val="24"/>
          <w:szCs w:val="24"/>
        </w:rPr>
        <w:t>)</w:t>
      </w:r>
      <w:r w:rsidR="00A05232" w:rsidRPr="00994D6C">
        <w:rPr>
          <w:rFonts w:ascii="Times New Roman" w:hAnsi="Times New Roman" w:cs="Times New Roman"/>
          <w:sz w:val="24"/>
          <w:szCs w:val="24"/>
        </w:rPr>
        <w:t>. Additionally, it would be beneficial to educate the patient about the importance of adhering to their medication schedule and dietary recommendations to optimize their chances of reaching the desired hemoglobin level</w:t>
      </w:r>
      <w:r w:rsidR="00B54965" w:rsidRPr="00994D6C">
        <w:rPr>
          <w:rFonts w:ascii="Times New Roman" w:hAnsi="Times New Roman" w:cs="Times New Roman"/>
          <w:sz w:val="24"/>
          <w:szCs w:val="24"/>
        </w:rPr>
        <w:t xml:space="preserve"> (Base et al., 2019)</w:t>
      </w:r>
      <w:r w:rsidR="00A05232" w:rsidRPr="00994D6C">
        <w:rPr>
          <w:rFonts w:ascii="Times New Roman" w:hAnsi="Times New Roman" w:cs="Times New Roman"/>
          <w:sz w:val="24"/>
          <w:szCs w:val="24"/>
        </w:rPr>
        <w:t>. </w:t>
      </w:r>
      <w:r w:rsidR="00F2309D" w:rsidRPr="00994D6C">
        <w:rPr>
          <w:rFonts w:ascii="Times New Roman" w:hAnsi="Times New Roman" w:cs="Times New Roman"/>
          <w:sz w:val="24"/>
          <w:szCs w:val="24"/>
        </w:rPr>
        <w:t xml:space="preserve">It is </w:t>
      </w:r>
      <w:r w:rsidR="00994D6C" w:rsidRPr="00994D6C">
        <w:rPr>
          <w:rFonts w:ascii="Times New Roman" w:hAnsi="Times New Roman" w:cs="Times New Roman"/>
          <w:sz w:val="24"/>
          <w:szCs w:val="24"/>
        </w:rPr>
        <w:t>essential</w:t>
      </w:r>
      <w:r w:rsidR="00F2309D" w:rsidRPr="00994D6C">
        <w:rPr>
          <w:rFonts w:ascii="Times New Roman" w:hAnsi="Times New Roman" w:cs="Times New Roman"/>
          <w:sz w:val="24"/>
          <w:szCs w:val="24"/>
        </w:rPr>
        <w:t xml:space="preserve"> to consult a registered dietitian to gather more information regarding the patient's specific dietary needs and to create a personalized meal plan that supports their overall health and addresses any nutrient deficiencies. Additionally, discussing the potential side effects of the medication with the patient is crucial to ensure they are aware of any possible adverse reactions and can promptly report them to their healthcare provider. </w:t>
      </w:r>
      <w:proofErr w:type="spellStart"/>
      <w:r w:rsidR="00BC5FB0" w:rsidRPr="00994D6C">
        <w:rPr>
          <w:rFonts w:ascii="Times New Roman" w:hAnsi="Times New Roman" w:cs="Times New Roman"/>
          <w:sz w:val="24"/>
          <w:szCs w:val="24"/>
        </w:rPr>
        <w:t>Lemboyski</w:t>
      </w:r>
      <w:proofErr w:type="spellEnd"/>
      <w:r w:rsidR="00BC5FB0" w:rsidRPr="00994D6C">
        <w:rPr>
          <w:rFonts w:ascii="Times New Roman" w:hAnsi="Times New Roman" w:cs="Times New Roman"/>
          <w:sz w:val="24"/>
          <w:szCs w:val="24"/>
        </w:rPr>
        <w:t>, what dietary changes should the patient incorporate in the second week? </w:t>
      </w:r>
    </w:p>
    <w:p w:rsidR="005D245B" w:rsidRPr="00994D6C" w:rsidRDefault="005D245B" w:rsidP="00994D6C">
      <w:pPr>
        <w:spacing w:after="0" w:line="480" w:lineRule="auto"/>
        <w:jc w:val="center"/>
        <w:rPr>
          <w:rFonts w:ascii="Times New Roman" w:hAnsi="Times New Roman" w:cs="Times New Roman"/>
          <w:b/>
          <w:sz w:val="24"/>
          <w:szCs w:val="24"/>
        </w:rPr>
      </w:pPr>
      <w:r w:rsidRPr="00994D6C">
        <w:rPr>
          <w:rFonts w:ascii="Times New Roman" w:hAnsi="Times New Roman" w:cs="Times New Roman"/>
          <w:b/>
          <w:sz w:val="24"/>
          <w:szCs w:val="24"/>
        </w:rPr>
        <w:t>References</w:t>
      </w:r>
    </w:p>
    <w:p w:rsidR="00B54965" w:rsidRPr="00994D6C" w:rsidRDefault="00B54965" w:rsidP="00994D6C">
      <w:pPr>
        <w:pBdr>
          <w:bottom w:val="single" w:sz="4" w:space="1" w:color="auto"/>
        </w:pBdr>
        <w:spacing w:after="0" w:line="480" w:lineRule="auto"/>
        <w:ind w:left="720" w:hanging="720"/>
        <w:rPr>
          <w:rFonts w:ascii="Times New Roman" w:hAnsi="Times New Roman" w:cs="Times New Roman"/>
          <w:sz w:val="24"/>
          <w:szCs w:val="24"/>
        </w:rPr>
      </w:pPr>
      <w:proofErr w:type="spellStart"/>
      <w:r w:rsidRPr="00994D6C">
        <w:rPr>
          <w:rFonts w:ascii="Times New Roman" w:hAnsi="Times New Roman" w:cs="Times New Roman"/>
          <w:color w:val="212121"/>
          <w:sz w:val="24"/>
          <w:szCs w:val="24"/>
          <w:shd w:val="clear" w:color="auto" w:fill="FFFFFF"/>
        </w:rPr>
        <w:t>Basu</w:t>
      </w:r>
      <w:proofErr w:type="spellEnd"/>
      <w:r w:rsidRPr="00994D6C">
        <w:rPr>
          <w:rFonts w:ascii="Times New Roman" w:hAnsi="Times New Roman" w:cs="Times New Roman"/>
          <w:color w:val="212121"/>
          <w:sz w:val="24"/>
          <w:szCs w:val="24"/>
          <w:shd w:val="clear" w:color="auto" w:fill="FFFFFF"/>
        </w:rPr>
        <w:t>, S., Garg, S., Sharma, N., &amp; Singh, M. M. (2019). Improving the assessment of medication adherence: Challenges and considerations with a focus on low-resource settings. </w:t>
      </w:r>
      <w:r w:rsidRPr="00994D6C">
        <w:rPr>
          <w:rFonts w:ascii="Times New Roman" w:hAnsi="Times New Roman" w:cs="Times New Roman"/>
          <w:i/>
          <w:iCs/>
          <w:color w:val="212121"/>
          <w:sz w:val="24"/>
          <w:szCs w:val="24"/>
          <w:shd w:val="clear" w:color="auto" w:fill="FFFFFF"/>
        </w:rPr>
        <w:t xml:space="preserve">Ci ji </w:t>
      </w:r>
      <w:proofErr w:type="spellStart"/>
      <w:r w:rsidRPr="00994D6C">
        <w:rPr>
          <w:rFonts w:ascii="Times New Roman" w:hAnsi="Times New Roman" w:cs="Times New Roman"/>
          <w:i/>
          <w:iCs/>
          <w:color w:val="212121"/>
          <w:sz w:val="24"/>
          <w:szCs w:val="24"/>
          <w:shd w:val="clear" w:color="auto" w:fill="FFFFFF"/>
        </w:rPr>
        <w:t>yi</w:t>
      </w:r>
      <w:proofErr w:type="spellEnd"/>
      <w:r w:rsidRPr="00994D6C">
        <w:rPr>
          <w:rFonts w:ascii="Times New Roman" w:hAnsi="Times New Roman" w:cs="Times New Roman"/>
          <w:i/>
          <w:iCs/>
          <w:color w:val="212121"/>
          <w:sz w:val="24"/>
          <w:szCs w:val="24"/>
          <w:shd w:val="clear" w:color="auto" w:fill="FFFFFF"/>
        </w:rPr>
        <w:t xml:space="preserve"> </w:t>
      </w:r>
      <w:proofErr w:type="spellStart"/>
      <w:r w:rsidRPr="00994D6C">
        <w:rPr>
          <w:rFonts w:ascii="Times New Roman" w:hAnsi="Times New Roman" w:cs="Times New Roman"/>
          <w:i/>
          <w:iCs/>
          <w:color w:val="212121"/>
          <w:sz w:val="24"/>
          <w:szCs w:val="24"/>
          <w:shd w:val="clear" w:color="auto" w:fill="FFFFFF"/>
        </w:rPr>
        <w:t>xue</w:t>
      </w:r>
      <w:proofErr w:type="spellEnd"/>
      <w:r w:rsidRPr="00994D6C">
        <w:rPr>
          <w:rFonts w:ascii="Times New Roman" w:hAnsi="Times New Roman" w:cs="Times New Roman"/>
          <w:i/>
          <w:iCs/>
          <w:color w:val="212121"/>
          <w:sz w:val="24"/>
          <w:szCs w:val="24"/>
          <w:shd w:val="clear" w:color="auto" w:fill="FFFFFF"/>
        </w:rPr>
        <w:t xml:space="preserve"> za </w:t>
      </w:r>
      <w:proofErr w:type="spellStart"/>
      <w:r w:rsidRPr="00994D6C">
        <w:rPr>
          <w:rFonts w:ascii="Times New Roman" w:hAnsi="Times New Roman" w:cs="Times New Roman"/>
          <w:i/>
          <w:iCs/>
          <w:color w:val="212121"/>
          <w:sz w:val="24"/>
          <w:szCs w:val="24"/>
          <w:shd w:val="clear" w:color="auto" w:fill="FFFFFF"/>
        </w:rPr>
        <w:t>zhi</w:t>
      </w:r>
      <w:proofErr w:type="spellEnd"/>
      <w:r w:rsidRPr="00994D6C">
        <w:rPr>
          <w:rFonts w:ascii="Times New Roman" w:hAnsi="Times New Roman" w:cs="Times New Roman"/>
          <w:i/>
          <w:iCs/>
          <w:color w:val="212121"/>
          <w:sz w:val="24"/>
          <w:szCs w:val="24"/>
          <w:shd w:val="clear" w:color="auto" w:fill="FFFFFF"/>
        </w:rPr>
        <w:t xml:space="preserve"> = Tzu-chi medical journal</w:t>
      </w:r>
      <w:r w:rsidRPr="00994D6C">
        <w:rPr>
          <w:rFonts w:ascii="Times New Roman" w:hAnsi="Times New Roman" w:cs="Times New Roman"/>
          <w:color w:val="212121"/>
          <w:sz w:val="24"/>
          <w:szCs w:val="24"/>
          <w:shd w:val="clear" w:color="auto" w:fill="FFFFFF"/>
        </w:rPr>
        <w:t>, </w:t>
      </w:r>
      <w:r w:rsidRPr="00994D6C">
        <w:rPr>
          <w:rFonts w:ascii="Times New Roman" w:hAnsi="Times New Roman" w:cs="Times New Roman"/>
          <w:i/>
          <w:iCs/>
          <w:color w:val="212121"/>
          <w:sz w:val="24"/>
          <w:szCs w:val="24"/>
          <w:shd w:val="clear" w:color="auto" w:fill="FFFFFF"/>
        </w:rPr>
        <w:t>31</w:t>
      </w:r>
      <w:r w:rsidRPr="00994D6C">
        <w:rPr>
          <w:rFonts w:ascii="Times New Roman" w:hAnsi="Times New Roman" w:cs="Times New Roman"/>
          <w:color w:val="212121"/>
          <w:sz w:val="24"/>
          <w:szCs w:val="24"/>
          <w:shd w:val="clear" w:color="auto" w:fill="FFFFFF"/>
        </w:rPr>
        <w:t xml:space="preserve">(2), 73–80. </w:t>
      </w:r>
      <w:hyperlink r:id="rId6" w:history="1">
        <w:r w:rsidRPr="00994D6C">
          <w:rPr>
            <w:rStyle w:val="Hyperlink"/>
            <w:rFonts w:ascii="Times New Roman" w:hAnsi="Times New Roman" w:cs="Times New Roman"/>
            <w:sz w:val="24"/>
            <w:szCs w:val="24"/>
            <w:shd w:val="clear" w:color="auto" w:fill="FFFFFF"/>
          </w:rPr>
          <w:t>https://doi.org/10.4103/tcmj.tcmj_177_18</w:t>
        </w:r>
      </w:hyperlink>
      <w:r w:rsidRPr="00994D6C">
        <w:rPr>
          <w:rFonts w:ascii="Times New Roman" w:hAnsi="Times New Roman" w:cs="Times New Roman"/>
          <w:color w:val="212121"/>
          <w:sz w:val="24"/>
          <w:szCs w:val="24"/>
          <w:shd w:val="clear" w:color="auto" w:fill="FFFFFF"/>
        </w:rPr>
        <w:t xml:space="preserve"> </w:t>
      </w:r>
    </w:p>
    <w:p w:rsidR="00B54965" w:rsidRPr="00994D6C" w:rsidRDefault="00B54965" w:rsidP="00994D6C">
      <w:pPr>
        <w:pBdr>
          <w:bottom w:val="single" w:sz="4" w:space="1" w:color="auto"/>
        </w:pBdr>
        <w:spacing w:after="0" w:line="480" w:lineRule="auto"/>
        <w:ind w:left="720" w:hanging="720"/>
        <w:rPr>
          <w:rFonts w:ascii="Times New Roman" w:hAnsi="Times New Roman" w:cs="Times New Roman"/>
          <w:color w:val="212121"/>
          <w:sz w:val="24"/>
          <w:szCs w:val="24"/>
          <w:shd w:val="clear" w:color="auto" w:fill="FFFFFF"/>
        </w:rPr>
      </w:pPr>
      <w:r w:rsidRPr="00994D6C">
        <w:rPr>
          <w:rFonts w:ascii="Times New Roman" w:hAnsi="Times New Roman" w:cs="Times New Roman"/>
          <w:color w:val="212121"/>
          <w:sz w:val="24"/>
          <w:szCs w:val="24"/>
          <w:shd w:val="clear" w:color="auto" w:fill="FFFFFF"/>
        </w:rPr>
        <w:lastRenderedPageBreak/>
        <w:t xml:space="preserve">Mansoor, F., Bai, P., Kaur, N., Sultan, S., Sharma, S., </w:t>
      </w:r>
      <w:proofErr w:type="spellStart"/>
      <w:r w:rsidRPr="00994D6C">
        <w:rPr>
          <w:rFonts w:ascii="Times New Roman" w:hAnsi="Times New Roman" w:cs="Times New Roman"/>
          <w:color w:val="212121"/>
          <w:sz w:val="24"/>
          <w:szCs w:val="24"/>
          <w:shd w:val="clear" w:color="auto" w:fill="FFFFFF"/>
        </w:rPr>
        <w:t>Dilip</w:t>
      </w:r>
      <w:proofErr w:type="spellEnd"/>
      <w:r w:rsidRPr="00994D6C">
        <w:rPr>
          <w:rFonts w:ascii="Times New Roman" w:hAnsi="Times New Roman" w:cs="Times New Roman"/>
          <w:color w:val="212121"/>
          <w:sz w:val="24"/>
          <w:szCs w:val="24"/>
          <w:shd w:val="clear" w:color="auto" w:fill="FFFFFF"/>
        </w:rPr>
        <w:t xml:space="preserve">, A., </w:t>
      </w:r>
      <w:proofErr w:type="spellStart"/>
      <w:r w:rsidRPr="00994D6C">
        <w:rPr>
          <w:rFonts w:ascii="Times New Roman" w:hAnsi="Times New Roman" w:cs="Times New Roman"/>
          <w:color w:val="212121"/>
          <w:sz w:val="24"/>
          <w:szCs w:val="24"/>
          <w:shd w:val="clear" w:color="auto" w:fill="FFFFFF"/>
        </w:rPr>
        <w:t>Kammawal</w:t>
      </w:r>
      <w:proofErr w:type="spellEnd"/>
      <w:r w:rsidRPr="00994D6C">
        <w:rPr>
          <w:rFonts w:ascii="Times New Roman" w:hAnsi="Times New Roman" w:cs="Times New Roman"/>
          <w:color w:val="212121"/>
          <w:sz w:val="24"/>
          <w:szCs w:val="24"/>
          <w:shd w:val="clear" w:color="auto" w:fill="FFFFFF"/>
        </w:rPr>
        <w:t xml:space="preserve">, Y., Shahid, S., &amp; Rizwan, A. (2021). Evaluation of Serum Electrolyte Levels in Patients </w:t>
      </w:r>
      <w:proofErr w:type="gramStart"/>
      <w:r w:rsidRPr="00994D6C">
        <w:rPr>
          <w:rFonts w:ascii="Times New Roman" w:hAnsi="Times New Roman" w:cs="Times New Roman"/>
          <w:color w:val="212121"/>
          <w:sz w:val="24"/>
          <w:szCs w:val="24"/>
          <w:shd w:val="clear" w:color="auto" w:fill="FFFFFF"/>
        </w:rPr>
        <w:t>With</w:t>
      </w:r>
      <w:proofErr w:type="gramEnd"/>
      <w:r w:rsidRPr="00994D6C">
        <w:rPr>
          <w:rFonts w:ascii="Times New Roman" w:hAnsi="Times New Roman" w:cs="Times New Roman"/>
          <w:color w:val="212121"/>
          <w:sz w:val="24"/>
          <w:szCs w:val="24"/>
          <w:shd w:val="clear" w:color="auto" w:fill="FFFFFF"/>
        </w:rPr>
        <w:t xml:space="preserve"> Anemia. </w:t>
      </w:r>
      <w:proofErr w:type="spellStart"/>
      <w:r w:rsidRPr="00994D6C">
        <w:rPr>
          <w:rFonts w:ascii="Times New Roman" w:hAnsi="Times New Roman" w:cs="Times New Roman"/>
          <w:i/>
          <w:iCs/>
          <w:color w:val="212121"/>
          <w:sz w:val="24"/>
          <w:szCs w:val="24"/>
          <w:shd w:val="clear" w:color="auto" w:fill="FFFFFF"/>
        </w:rPr>
        <w:t>Cureus</w:t>
      </w:r>
      <w:proofErr w:type="spellEnd"/>
      <w:r w:rsidRPr="00994D6C">
        <w:rPr>
          <w:rFonts w:ascii="Times New Roman" w:hAnsi="Times New Roman" w:cs="Times New Roman"/>
          <w:color w:val="212121"/>
          <w:sz w:val="24"/>
          <w:szCs w:val="24"/>
          <w:shd w:val="clear" w:color="auto" w:fill="FFFFFF"/>
        </w:rPr>
        <w:t>, </w:t>
      </w:r>
      <w:r w:rsidRPr="00994D6C">
        <w:rPr>
          <w:rFonts w:ascii="Times New Roman" w:hAnsi="Times New Roman" w:cs="Times New Roman"/>
          <w:i/>
          <w:iCs/>
          <w:color w:val="212121"/>
          <w:sz w:val="24"/>
          <w:szCs w:val="24"/>
          <w:shd w:val="clear" w:color="auto" w:fill="FFFFFF"/>
        </w:rPr>
        <w:t>13</w:t>
      </w:r>
      <w:r w:rsidRPr="00994D6C">
        <w:rPr>
          <w:rFonts w:ascii="Times New Roman" w:hAnsi="Times New Roman" w:cs="Times New Roman"/>
          <w:color w:val="212121"/>
          <w:sz w:val="24"/>
          <w:szCs w:val="24"/>
          <w:shd w:val="clear" w:color="auto" w:fill="FFFFFF"/>
        </w:rPr>
        <w:t xml:space="preserve">(10), e18417. </w:t>
      </w:r>
      <w:hyperlink r:id="rId7" w:history="1">
        <w:r w:rsidRPr="00994D6C">
          <w:rPr>
            <w:rStyle w:val="Hyperlink"/>
            <w:rFonts w:ascii="Times New Roman" w:hAnsi="Times New Roman" w:cs="Times New Roman"/>
            <w:sz w:val="24"/>
            <w:szCs w:val="24"/>
            <w:shd w:val="clear" w:color="auto" w:fill="FFFFFF"/>
          </w:rPr>
          <w:t>https://doi.org/10.7759/cureus.18417</w:t>
        </w:r>
      </w:hyperlink>
      <w:r w:rsidRPr="00994D6C">
        <w:rPr>
          <w:rFonts w:ascii="Times New Roman" w:hAnsi="Times New Roman" w:cs="Times New Roman"/>
          <w:color w:val="212121"/>
          <w:sz w:val="24"/>
          <w:szCs w:val="24"/>
          <w:shd w:val="clear" w:color="auto" w:fill="FFFFFF"/>
        </w:rPr>
        <w:t xml:space="preserve"> </w:t>
      </w:r>
    </w:p>
    <w:sectPr w:rsidR="00B54965" w:rsidRPr="00994D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WyNDA3MjK1NANShko6SsGpxcWZ+XkgBYa1ALvhW5wsAAAA"/>
  </w:docVars>
  <w:rsids>
    <w:rsidRoot w:val="00CF0DDF"/>
    <w:rsid w:val="000E44B8"/>
    <w:rsid w:val="00150A9E"/>
    <w:rsid w:val="00346796"/>
    <w:rsid w:val="003E060A"/>
    <w:rsid w:val="004A0BB1"/>
    <w:rsid w:val="005D245B"/>
    <w:rsid w:val="005F13A2"/>
    <w:rsid w:val="0060504C"/>
    <w:rsid w:val="006A4211"/>
    <w:rsid w:val="00756C54"/>
    <w:rsid w:val="007D5407"/>
    <w:rsid w:val="008E04FF"/>
    <w:rsid w:val="00994D6C"/>
    <w:rsid w:val="00A05232"/>
    <w:rsid w:val="00AB221B"/>
    <w:rsid w:val="00AB407C"/>
    <w:rsid w:val="00B27B99"/>
    <w:rsid w:val="00B32C8D"/>
    <w:rsid w:val="00B54965"/>
    <w:rsid w:val="00B60D8D"/>
    <w:rsid w:val="00BC5FB0"/>
    <w:rsid w:val="00BE14CC"/>
    <w:rsid w:val="00C6629A"/>
    <w:rsid w:val="00CB2881"/>
    <w:rsid w:val="00CF0DDF"/>
    <w:rsid w:val="00CF5452"/>
    <w:rsid w:val="00DB18AF"/>
    <w:rsid w:val="00DC318B"/>
    <w:rsid w:val="00E60199"/>
    <w:rsid w:val="00E87504"/>
    <w:rsid w:val="00F23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BB4C"/>
  <w15:chartTrackingRefBased/>
  <w15:docId w15:val="{CD8CD376-C9FA-432F-9E6B-5FBDAF8FF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6796"/>
    <w:rPr>
      <w:color w:val="0563C1" w:themeColor="hyperlink"/>
      <w:u w:val="single"/>
    </w:rPr>
  </w:style>
  <w:style w:type="character" w:styleId="UnresolvedMention">
    <w:name w:val="Unresolved Mention"/>
    <w:basedOn w:val="DefaultParagraphFont"/>
    <w:uiPriority w:val="99"/>
    <w:semiHidden/>
    <w:unhideWhenUsed/>
    <w:rsid w:val="00346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7759/cureus.184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4103/tcmj.tcmj_177_18" TargetMode="External"/><Relationship Id="rId5" Type="http://schemas.openxmlformats.org/officeDocument/2006/relationships/hyperlink" Target="https://doi.org/10.1177/21501327211003683" TargetMode="External"/><Relationship Id="rId4" Type="http://schemas.openxmlformats.org/officeDocument/2006/relationships/hyperlink" Target="https://doi.org/10.18773/austprescr.2021.052"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dcterms:created xsi:type="dcterms:W3CDTF">2023-11-24T08:15:00Z</dcterms:created>
  <dcterms:modified xsi:type="dcterms:W3CDTF">2023-11-24T09:16:00Z</dcterms:modified>
</cp:coreProperties>
</file>