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188" w:rsidRDefault="00B032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Response to Ashley</w:t>
      </w:r>
    </w:p>
    <w:p w:rsidR="00B03264" w:rsidRDefault="00B032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Ashley for sharing your insights about the medication dilution protocol for cervical ripening. </w:t>
      </w:r>
      <w:r w:rsidR="00C1053A">
        <w:rPr>
          <w:rFonts w:ascii="Times New Roman" w:hAnsi="Times New Roman" w:cs="Times New Roman"/>
          <w:sz w:val="24"/>
          <w:szCs w:val="24"/>
        </w:rPr>
        <w:t xml:space="preserve">I acknowledge that medication </w:t>
      </w:r>
      <w:r w:rsidR="00527EAD">
        <w:rPr>
          <w:rFonts w:ascii="Times New Roman" w:hAnsi="Times New Roman" w:cs="Times New Roman"/>
          <w:sz w:val="24"/>
          <w:szCs w:val="24"/>
        </w:rPr>
        <w:t>dilution</w:t>
      </w:r>
      <w:r w:rsidR="00C1053A">
        <w:rPr>
          <w:rFonts w:ascii="Times New Roman" w:hAnsi="Times New Roman" w:cs="Times New Roman"/>
          <w:sz w:val="24"/>
          <w:szCs w:val="24"/>
        </w:rPr>
        <w:t xml:space="preserve"> </w:t>
      </w:r>
      <w:r w:rsidR="00527EAD">
        <w:rPr>
          <w:rFonts w:ascii="Times New Roman" w:hAnsi="Times New Roman" w:cs="Times New Roman"/>
          <w:sz w:val="24"/>
          <w:szCs w:val="24"/>
        </w:rPr>
        <w:t xml:space="preserve">for intravenous administration </w:t>
      </w:r>
      <w:r w:rsidR="00C1053A">
        <w:rPr>
          <w:rFonts w:ascii="Times New Roman" w:hAnsi="Times New Roman" w:cs="Times New Roman"/>
          <w:sz w:val="24"/>
          <w:szCs w:val="24"/>
        </w:rPr>
        <w:t xml:space="preserve">is among the </w:t>
      </w:r>
      <w:r w:rsidR="00527EAD">
        <w:rPr>
          <w:rFonts w:ascii="Times New Roman" w:hAnsi="Times New Roman" w:cs="Times New Roman"/>
          <w:sz w:val="24"/>
          <w:szCs w:val="24"/>
        </w:rPr>
        <w:t xml:space="preserve">challenging areas in clinical practice. Current evidence ascertains </w:t>
      </w:r>
      <w:r w:rsidR="007344AC">
        <w:rPr>
          <w:rFonts w:ascii="Times New Roman" w:hAnsi="Times New Roman" w:cs="Times New Roman"/>
          <w:sz w:val="24"/>
          <w:szCs w:val="24"/>
        </w:rPr>
        <w:t xml:space="preserve">that preparation errors, including failures in dilution, </w:t>
      </w:r>
      <w:r w:rsidR="002E5563">
        <w:rPr>
          <w:rFonts w:ascii="Times New Roman" w:hAnsi="Times New Roman" w:cs="Times New Roman"/>
          <w:sz w:val="24"/>
          <w:szCs w:val="24"/>
        </w:rPr>
        <w:t>contribute significantly to medication errors (</w:t>
      </w:r>
      <w:proofErr w:type="spellStart"/>
      <w:r w:rsidR="007D7B79">
        <w:rPr>
          <w:rFonts w:ascii="Times New Roman" w:hAnsi="Times New Roman" w:cs="Times New Roman"/>
          <w:sz w:val="24"/>
          <w:szCs w:val="24"/>
        </w:rPr>
        <w:t>Jessurun</w:t>
      </w:r>
      <w:proofErr w:type="spellEnd"/>
      <w:r w:rsidR="007D7B79">
        <w:rPr>
          <w:rFonts w:ascii="Times New Roman" w:hAnsi="Times New Roman" w:cs="Times New Roman"/>
          <w:sz w:val="24"/>
          <w:szCs w:val="24"/>
        </w:rPr>
        <w:t xml:space="preserve"> &amp; Maria </w:t>
      </w:r>
      <w:proofErr w:type="spellStart"/>
      <w:r w:rsidR="007D7B79">
        <w:rPr>
          <w:rFonts w:ascii="Times New Roman" w:hAnsi="Times New Roman" w:cs="Times New Roman"/>
          <w:sz w:val="24"/>
          <w:szCs w:val="24"/>
        </w:rPr>
        <w:t>Hunfeld</w:t>
      </w:r>
      <w:proofErr w:type="spellEnd"/>
      <w:r w:rsidR="007D7B79">
        <w:rPr>
          <w:rFonts w:ascii="Times New Roman" w:hAnsi="Times New Roman" w:cs="Times New Roman"/>
          <w:sz w:val="24"/>
          <w:szCs w:val="24"/>
        </w:rPr>
        <w:t>, 2022; Mendes et al., 2018</w:t>
      </w:r>
      <w:r w:rsidR="002E5563">
        <w:rPr>
          <w:rFonts w:ascii="Times New Roman" w:hAnsi="Times New Roman" w:cs="Times New Roman"/>
          <w:sz w:val="24"/>
          <w:szCs w:val="24"/>
        </w:rPr>
        <w:t xml:space="preserve">). The errors have a significant impact on patient safety and quality of care provided. </w:t>
      </w:r>
      <w:r w:rsidR="005B0376">
        <w:rPr>
          <w:rFonts w:ascii="Times New Roman" w:hAnsi="Times New Roman" w:cs="Times New Roman"/>
          <w:sz w:val="24"/>
          <w:szCs w:val="24"/>
        </w:rPr>
        <w:t>The breakdown below illustrates my SWOT analysis regarding the clinical problem you identified.</w:t>
      </w:r>
    </w:p>
    <w:p w:rsidR="005B0376" w:rsidRDefault="005B037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Strengths:</w:t>
      </w:r>
    </w:p>
    <w:p w:rsidR="005B0376" w:rsidRDefault="00E050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Improved patient safety and care quality: Changing the medication preparation protocol </w:t>
      </w:r>
      <w:r w:rsidR="00181E34">
        <w:rPr>
          <w:rFonts w:ascii="Times New Roman" w:hAnsi="Times New Roman" w:cs="Times New Roman"/>
          <w:sz w:val="24"/>
          <w:szCs w:val="24"/>
        </w:rPr>
        <w:t>is critical to preventing undue risk for patients</w:t>
      </w:r>
      <w:r w:rsidR="009D1EFD">
        <w:rPr>
          <w:rFonts w:ascii="Times New Roman" w:hAnsi="Times New Roman" w:cs="Times New Roman"/>
          <w:sz w:val="24"/>
          <w:szCs w:val="24"/>
        </w:rPr>
        <w:t xml:space="preserve"> and enhancing patient safety and care quality</w:t>
      </w:r>
      <w:r w:rsidR="00181E3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D711B">
        <w:rPr>
          <w:rFonts w:ascii="Times New Roman" w:hAnsi="Times New Roman" w:cs="Times New Roman"/>
          <w:sz w:val="24"/>
          <w:szCs w:val="24"/>
        </w:rPr>
        <w:t>Gri</w:t>
      </w:r>
      <w:r w:rsidR="007D7B79">
        <w:rPr>
          <w:rFonts w:ascii="Times New Roman" w:hAnsi="Times New Roman" w:cs="Times New Roman"/>
          <w:sz w:val="24"/>
          <w:szCs w:val="24"/>
        </w:rPr>
        <w:t>ssinger</w:t>
      </w:r>
      <w:proofErr w:type="spellEnd"/>
      <w:r w:rsidR="007D7B79">
        <w:rPr>
          <w:rFonts w:ascii="Times New Roman" w:hAnsi="Times New Roman" w:cs="Times New Roman"/>
          <w:sz w:val="24"/>
          <w:szCs w:val="24"/>
        </w:rPr>
        <w:t>, 2018</w:t>
      </w:r>
      <w:r w:rsidR="00181E34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81E34" w:rsidRDefault="002075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Clinical awareness: </w:t>
      </w:r>
      <w:r w:rsidR="009D1EFD">
        <w:rPr>
          <w:rFonts w:ascii="Times New Roman" w:hAnsi="Times New Roman" w:cs="Times New Roman"/>
          <w:sz w:val="24"/>
          <w:szCs w:val="24"/>
        </w:rPr>
        <w:t>Evaluating the abandoned and current protocol would enhance clinical awareness about medication errors and their impact (</w:t>
      </w:r>
      <w:proofErr w:type="spellStart"/>
      <w:r w:rsidR="00C4695A">
        <w:rPr>
          <w:rFonts w:ascii="Times New Roman" w:hAnsi="Times New Roman" w:cs="Times New Roman"/>
          <w:sz w:val="24"/>
          <w:szCs w:val="24"/>
        </w:rPr>
        <w:t>Sewal</w:t>
      </w:r>
      <w:proofErr w:type="spellEnd"/>
      <w:r w:rsidR="00C4695A">
        <w:rPr>
          <w:rFonts w:ascii="Times New Roman" w:hAnsi="Times New Roman" w:cs="Times New Roman"/>
          <w:sz w:val="24"/>
          <w:szCs w:val="24"/>
        </w:rPr>
        <w:t xml:space="preserve"> et al., 2019</w:t>
      </w:r>
      <w:r w:rsidR="009D1EF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A265A" w:rsidRDefault="002A265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Weaknesses</w:t>
      </w:r>
    </w:p>
    <w:p w:rsidR="002A265A" w:rsidRDefault="002A26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 for training: The changes in protocols would require continuous training to ensure all clinici</w:t>
      </w:r>
      <w:r w:rsidR="00FD4279">
        <w:rPr>
          <w:rFonts w:ascii="Times New Roman" w:hAnsi="Times New Roman" w:cs="Times New Roman"/>
          <w:sz w:val="24"/>
          <w:szCs w:val="24"/>
        </w:rPr>
        <w:t>ans understand the new approach (</w:t>
      </w:r>
      <w:proofErr w:type="spellStart"/>
      <w:r w:rsidR="00C4695A">
        <w:rPr>
          <w:rFonts w:ascii="Times New Roman" w:hAnsi="Times New Roman" w:cs="Times New Roman"/>
          <w:sz w:val="24"/>
          <w:szCs w:val="24"/>
        </w:rPr>
        <w:t>Mutair</w:t>
      </w:r>
      <w:proofErr w:type="spellEnd"/>
      <w:r w:rsidR="00C4695A">
        <w:rPr>
          <w:rFonts w:ascii="Times New Roman" w:hAnsi="Times New Roman" w:cs="Times New Roman"/>
          <w:sz w:val="24"/>
          <w:szCs w:val="24"/>
        </w:rPr>
        <w:t xml:space="preserve"> et al., 2021</w:t>
      </w:r>
      <w:r w:rsidR="00FD4279">
        <w:rPr>
          <w:rFonts w:ascii="Times New Roman" w:hAnsi="Times New Roman" w:cs="Times New Roman"/>
          <w:sz w:val="24"/>
          <w:szCs w:val="24"/>
        </w:rPr>
        <w:t>).</w:t>
      </w:r>
    </w:p>
    <w:p w:rsidR="00FD4279" w:rsidRDefault="00FD42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Workflow disruptions: The time required to train clinicians may disrupt the workflow as they align their practice to the state and national standards.</w:t>
      </w:r>
    </w:p>
    <w:p w:rsidR="00FD4279" w:rsidRDefault="00FD427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Opportunities:</w:t>
      </w:r>
    </w:p>
    <w:p w:rsidR="00FD4279" w:rsidRDefault="004F33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Existence of state policies: The existing policies from the Arizona Perinatal Trust could significantly help the hospital in aligning its practices with the state standards. </w:t>
      </w:r>
      <w:r w:rsidR="00F64243">
        <w:rPr>
          <w:rFonts w:ascii="Times New Roman" w:hAnsi="Times New Roman" w:cs="Times New Roman"/>
          <w:sz w:val="24"/>
          <w:szCs w:val="24"/>
        </w:rPr>
        <w:t xml:space="preserve">In turn, this would </w:t>
      </w:r>
      <w:r w:rsidR="00F64243">
        <w:rPr>
          <w:rFonts w:ascii="Times New Roman" w:hAnsi="Times New Roman" w:cs="Times New Roman"/>
          <w:sz w:val="24"/>
          <w:szCs w:val="24"/>
        </w:rPr>
        <w:lastRenderedPageBreak/>
        <w:t>support the implementation of evidence-based misoprostol dosage without compromising patient safety (</w:t>
      </w:r>
      <w:proofErr w:type="spellStart"/>
      <w:r w:rsidR="00C4695A">
        <w:rPr>
          <w:rFonts w:ascii="Times New Roman" w:hAnsi="Times New Roman" w:cs="Times New Roman"/>
          <w:sz w:val="24"/>
          <w:szCs w:val="24"/>
        </w:rPr>
        <w:t>Zakama</w:t>
      </w:r>
      <w:proofErr w:type="spellEnd"/>
      <w:r w:rsidR="00C4695A">
        <w:rPr>
          <w:rFonts w:ascii="Times New Roman" w:hAnsi="Times New Roman" w:cs="Times New Roman"/>
          <w:sz w:val="24"/>
          <w:szCs w:val="24"/>
        </w:rPr>
        <w:t xml:space="preserve"> et al., 2020</w:t>
      </w:r>
      <w:r w:rsidR="00F6424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64243" w:rsidRDefault="00BC34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Evaluation of outcomes: The adoption of a new protocol could offer insights about its effectiveness against the previous approach to determine its </w:t>
      </w:r>
      <w:r w:rsidR="001D2ED5">
        <w:rPr>
          <w:rFonts w:ascii="Times New Roman" w:hAnsi="Times New Roman" w:cs="Times New Roman"/>
          <w:sz w:val="24"/>
          <w:szCs w:val="24"/>
        </w:rPr>
        <w:t>effectiveness.</w:t>
      </w:r>
    </w:p>
    <w:p w:rsidR="001D2ED5" w:rsidRDefault="001D2ED5">
      <w:pPr>
        <w:rPr>
          <w:rFonts w:ascii="Times New Roman" w:hAnsi="Times New Roman" w:cs="Times New Roman"/>
          <w:sz w:val="24"/>
          <w:szCs w:val="24"/>
        </w:rPr>
      </w:pPr>
      <w:r w:rsidRPr="001D2ED5">
        <w:rPr>
          <w:rFonts w:ascii="Times New Roman" w:hAnsi="Times New Roman" w:cs="Times New Roman"/>
          <w:i/>
          <w:sz w:val="24"/>
          <w:szCs w:val="24"/>
        </w:rPr>
        <w:t>Threats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1D2ED5" w:rsidRDefault="00CC37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Potential resistance to change: While a new protocol would benefit the organization, inadequate knowledge may lead to dissenting voices</w:t>
      </w:r>
      <w:r w:rsidR="007E17A3">
        <w:rPr>
          <w:rFonts w:ascii="Times New Roman" w:hAnsi="Times New Roman" w:cs="Times New Roman"/>
          <w:sz w:val="24"/>
          <w:szCs w:val="24"/>
        </w:rPr>
        <w:t>, resulting in delays in achieving success (</w:t>
      </w:r>
      <w:proofErr w:type="spellStart"/>
      <w:r w:rsidR="00C4695A">
        <w:rPr>
          <w:rFonts w:ascii="Times New Roman" w:hAnsi="Times New Roman" w:cs="Times New Roman"/>
          <w:sz w:val="24"/>
          <w:szCs w:val="24"/>
        </w:rPr>
        <w:t>Cheraghi</w:t>
      </w:r>
      <w:proofErr w:type="spellEnd"/>
      <w:r w:rsidR="00C4695A">
        <w:rPr>
          <w:rFonts w:ascii="Times New Roman" w:hAnsi="Times New Roman" w:cs="Times New Roman"/>
          <w:sz w:val="24"/>
          <w:szCs w:val="24"/>
        </w:rPr>
        <w:t xml:space="preserve"> et al., 2023</w:t>
      </w:r>
      <w:r w:rsidR="007E17A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7E17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17A3" w:rsidRDefault="009D03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Patient safety risk: The adoption of a new protocol that has not been tested in the organization may expose patients to potential risk before a comprehensive evaluation is conducted (</w:t>
      </w:r>
      <w:proofErr w:type="spellStart"/>
      <w:r w:rsidR="003D711B">
        <w:rPr>
          <w:rFonts w:ascii="Times New Roman" w:hAnsi="Times New Roman" w:cs="Times New Roman"/>
          <w:sz w:val="24"/>
          <w:szCs w:val="24"/>
        </w:rPr>
        <w:t>Grissinger</w:t>
      </w:r>
      <w:proofErr w:type="spellEnd"/>
      <w:r w:rsidR="003D711B">
        <w:rPr>
          <w:rFonts w:ascii="Times New Roman" w:hAnsi="Times New Roman" w:cs="Times New Roman"/>
          <w:sz w:val="24"/>
          <w:szCs w:val="24"/>
        </w:rPr>
        <w:t>, 2018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D037A" w:rsidRDefault="00D370F3" w:rsidP="009D03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References </w:t>
      </w:r>
    </w:p>
    <w:p w:rsidR="00D3693A" w:rsidRDefault="00D3693A" w:rsidP="00C4695A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695A">
        <w:rPr>
          <w:rFonts w:ascii="Times New Roman" w:eastAsia="Times New Roman" w:hAnsi="Times New Roman" w:cs="Times New Roman"/>
          <w:sz w:val="24"/>
          <w:szCs w:val="24"/>
        </w:rPr>
        <w:t>Cheraghi</w:t>
      </w:r>
      <w:proofErr w:type="spellEnd"/>
      <w:r w:rsidRPr="00C4695A">
        <w:rPr>
          <w:rFonts w:ascii="Times New Roman" w:eastAsia="Times New Roman" w:hAnsi="Times New Roman" w:cs="Times New Roman"/>
          <w:sz w:val="24"/>
          <w:szCs w:val="24"/>
        </w:rPr>
        <w:t xml:space="preserve">, R., </w:t>
      </w:r>
      <w:proofErr w:type="spellStart"/>
      <w:r w:rsidRPr="00C4695A">
        <w:rPr>
          <w:rFonts w:ascii="Times New Roman" w:eastAsia="Times New Roman" w:hAnsi="Times New Roman" w:cs="Times New Roman"/>
          <w:sz w:val="24"/>
          <w:szCs w:val="24"/>
        </w:rPr>
        <w:t>Ebrahimi</w:t>
      </w:r>
      <w:proofErr w:type="spellEnd"/>
      <w:r w:rsidRPr="00C4695A">
        <w:rPr>
          <w:rFonts w:ascii="Times New Roman" w:eastAsia="Times New Roman" w:hAnsi="Times New Roman" w:cs="Times New Roman"/>
          <w:sz w:val="24"/>
          <w:szCs w:val="24"/>
        </w:rPr>
        <w:t xml:space="preserve">, H., </w:t>
      </w:r>
      <w:proofErr w:type="spellStart"/>
      <w:r w:rsidRPr="00C4695A">
        <w:rPr>
          <w:rFonts w:ascii="Times New Roman" w:eastAsia="Times New Roman" w:hAnsi="Times New Roman" w:cs="Times New Roman"/>
          <w:sz w:val="24"/>
          <w:szCs w:val="24"/>
        </w:rPr>
        <w:t>Kheibar</w:t>
      </w:r>
      <w:proofErr w:type="spellEnd"/>
      <w:r w:rsidRPr="00C4695A">
        <w:rPr>
          <w:rFonts w:ascii="Times New Roman" w:eastAsia="Times New Roman" w:hAnsi="Times New Roman" w:cs="Times New Roman"/>
          <w:sz w:val="24"/>
          <w:szCs w:val="24"/>
        </w:rPr>
        <w:t xml:space="preserve">, N., &amp; </w:t>
      </w:r>
      <w:proofErr w:type="spellStart"/>
      <w:r w:rsidRPr="00C4695A">
        <w:rPr>
          <w:rFonts w:ascii="Times New Roman" w:eastAsia="Times New Roman" w:hAnsi="Times New Roman" w:cs="Times New Roman"/>
          <w:sz w:val="24"/>
          <w:szCs w:val="24"/>
        </w:rPr>
        <w:t>Sahebihagh</w:t>
      </w:r>
      <w:proofErr w:type="spellEnd"/>
      <w:r w:rsidRPr="00C4695A">
        <w:rPr>
          <w:rFonts w:ascii="Times New Roman" w:eastAsia="Times New Roman" w:hAnsi="Times New Roman" w:cs="Times New Roman"/>
          <w:sz w:val="24"/>
          <w:szCs w:val="24"/>
        </w:rPr>
        <w:t>, M. H. (2023). Reasons for resistance to change in nursing: A</w:t>
      </w:r>
      <w:bookmarkStart w:id="0" w:name="_GoBack"/>
      <w:bookmarkEnd w:id="0"/>
      <w:r w:rsidRPr="00C4695A">
        <w:rPr>
          <w:rFonts w:ascii="Times New Roman" w:eastAsia="Times New Roman" w:hAnsi="Times New Roman" w:cs="Times New Roman"/>
          <w:sz w:val="24"/>
          <w:szCs w:val="24"/>
        </w:rPr>
        <w:t xml:space="preserve">n integrative review. </w:t>
      </w:r>
      <w:r w:rsidRPr="00C4695A">
        <w:rPr>
          <w:rFonts w:ascii="Times New Roman" w:eastAsia="Times New Roman" w:hAnsi="Times New Roman" w:cs="Times New Roman"/>
          <w:i/>
          <w:iCs/>
          <w:sz w:val="24"/>
          <w:szCs w:val="24"/>
        </w:rPr>
        <w:t>BMC Nursing</w:t>
      </w:r>
      <w:r w:rsidRPr="00C4695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4695A">
        <w:rPr>
          <w:rFonts w:ascii="Times New Roman" w:eastAsia="Times New Roman" w:hAnsi="Times New Roman" w:cs="Times New Roman"/>
          <w:i/>
          <w:iCs/>
          <w:sz w:val="24"/>
          <w:szCs w:val="24"/>
        </w:rPr>
        <w:t>22</w:t>
      </w:r>
      <w:r w:rsidRPr="00C4695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4" w:history="1">
        <w:r w:rsidRPr="00490C4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https://doi.org/10.1186/s12912-023-01460-0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3693A" w:rsidRDefault="00D3693A" w:rsidP="007D7B79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Grissinger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M. (2018</w:t>
      </w:r>
      <w:r w:rsidRPr="007D7B79">
        <w:rPr>
          <w:rFonts w:ascii="Times New Roman" w:eastAsia="Times New Roman" w:hAnsi="Times New Roman" w:cs="Times New Roman"/>
          <w:sz w:val="24"/>
          <w:szCs w:val="24"/>
        </w:rPr>
        <w:t xml:space="preserve">). Some IV Medications </w:t>
      </w:r>
      <w:proofErr w:type="gramStart"/>
      <w:r w:rsidRPr="007D7B79">
        <w:rPr>
          <w:rFonts w:ascii="Times New Roman" w:eastAsia="Times New Roman" w:hAnsi="Times New Roman" w:cs="Times New Roman"/>
          <w:sz w:val="24"/>
          <w:szCs w:val="24"/>
        </w:rPr>
        <w:t>Are Diluted</w:t>
      </w:r>
      <w:proofErr w:type="gramEnd"/>
      <w:r w:rsidRPr="007D7B79">
        <w:rPr>
          <w:rFonts w:ascii="Times New Roman" w:eastAsia="Times New Roman" w:hAnsi="Times New Roman" w:cs="Times New Roman"/>
          <w:sz w:val="24"/>
          <w:szCs w:val="24"/>
        </w:rPr>
        <w:t xml:space="preserve"> Unnecessarily in Patient-Care Areas, Creating Undue Risk. </w:t>
      </w:r>
      <w:r w:rsidRPr="007D7B79">
        <w:rPr>
          <w:rFonts w:ascii="Times New Roman" w:eastAsia="Times New Roman" w:hAnsi="Times New Roman" w:cs="Times New Roman"/>
          <w:i/>
          <w:iCs/>
          <w:sz w:val="24"/>
          <w:szCs w:val="24"/>
        </w:rPr>
        <w:t>Pharmacy and Therapeutics</w:t>
      </w:r>
      <w:r w:rsidRPr="007D7B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7B79">
        <w:rPr>
          <w:rFonts w:ascii="Times New Roman" w:eastAsia="Times New Roman" w:hAnsi="Times New Roman" w:cs="Times New Roman"/>
          <w:i/>
          <w:iCs/>
          <w:sz w:val="24"/>
          <w:szCs w:val="24"/>
        </w:rPr>
        <w:t>42</w:t>
      </w:r>
      <w:r w:rsidRPr="007D7B79">
        <w:rPr>
          <w:rFonts w:ascii="Times New Roman" w:eastAsia="Times New Roman" w:hAnsi="Times New Roman" w:cs="Times New Roman"/>
          <w:sz w:val="24"/>
          <w:szCs w:val="24"/>
        </w:rPr>
        <w:t xml:space="preserve">(8), 490. </w:t>
      </w:r>
      <w:hyperlink r:id="rId5" w:history="1">
        <w:r w:rsidRPr="00490C4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https://www.ncbi.nlm.nih.gov/pmc/articles/PMC5521294/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3693A" w:rsidRDefault="00D3693A" w:rsidP="007D7B79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7B79">
        <w:rPr>
          <w:rFonts w:ascii="Times New Roman" w:eastAsia="Times New Roman" w:hAnsi="Times New Roman" w:cs="Times New Roman"/>
          <w:sz w:val="24"/>
          <w:szCs w:val="24"/>
        </w:rPr>
        <w:t>Jessurun</w:t>
      </w:r>
      <w:proofErr w:type="spellEnd"/>
      <w:r w:rsidRPr="007D7B79">
        <w:rPr>
          <w:rFonts w:ascii="Times New Roman" w:eastAsia="Times New Roman" w:hAnsi="Times New Roman" w:cs="Times New Roman"/>
          <w:sz w:val="24"/>
          <w:szCs w:val="24"/>
        </w:rPr>
        <w:t xml:space="preserve">, J. G., &amp; Maria </w:t>
      </w:r>
      <w:proofErr w:type="spellStart"/>
      <w:r w:rsidRPr="007D7B79">
        <w:rPr>
          <w:rFonts w:ascii="Times New Roman" w:eastAsia="Times New Roman" w:hAnsi="Times New Roman" w:cs="Times New Roman"/>
          <w:sz w:val="24"/>
          <w:szCs w:val="24"/>
        </w:rPr>
        <w:t>Hunfeld</w:t>
      </w:r>
      <w:proofErr w:type="spellEnd"/>
      <w:r w:rsidRPr="007D7B79">
        <w:rPr>
          <w:rFonts w:ascii="Times New Roman" w:eastAsia="Times New Roman" w:hAnsi="Times New Roman" w:cs="Times New Roman"/>
          <w:sz w:val="24"/>
          <w:szCs w:val="24"/>
        </w:rPr>
        <w:t>, N. G. (2022). Prevalence and determinants of medication administration errors in clinical wards: A two‐</w:t>
      </w:r>
      <w:proofErr w:type="spellStart"/>
      <w:r w:rsidRPr="007D7B79">
        <w:rPr>
          <w:rFonts w:ascii="Times New Roman" w:eastAsia="Times New Roman" w:hAnsi="Times New Roman" w:cs="Times New Roman"/>
          <w:sz w:val="24"/>
          <w:szCs w:val="24"/>
        </w:rPr>
        <w:t>centre</w:t>
      </w:r>
      <w:proofErr w:type="spellEnd"/>
      <w:r w:rsidRPr="007D7B79">
        <w:rPr>
          <w:rFonts w:ascii="Times New Roman" w:eastAsia="Times New Roman" w:hAnsi="Times New Roman" w:cs="Times New Roman"/>
          <w:sz w:val="24"/>
          <w:szCs w:val="24"/>
        </w:rPr>
        <w:t xml:space="preserve"> prospective observational study. </w:t>
      </w:r>
      <w:r w:rsidRPr="007D7B79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Clinical Nursing</w:t>
      </w:r>
      <w:r w:rsidRPr="007D7B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7B79">
        <w:rPr>
          <w:rFonts w:ascii="Times New Roman" w:eastAsia="Times New Roman" w:hAnsi="Times New Roman" w:cs="Times New Roman"/>
          <w:i/>
          <w:iCs/>
          <w:sz w:val="24"/>
          <w:szCs w:val="24"/>
        </w:rPr>
        <w:t>32</w:t>
      </w:r>
      <w:r w:rsidRPr="007D7B79">
        <w:rPr>
          <w:rFonts w:ascii="Times New Roman" w:eastAsia="Times New Roman" w:hAnsi="Times New Roman" w:cs="Times New Roman"/>
          <w:sz w:val="24"/>
          <w:szCs w:val="24"/>
        </w:rPr>
        <w:t xml:space="preserve">(1-2), 208-220. </w:t>
      </w:r>
      <w:hyperlink r:id="rId6" w:history="1">
        <w:r w:rsidRPr="00490C4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https://doi.org/10.1111/jocn.16215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3693A" w:rsidRDefault="00D3693A" w:rsidP="007D7B79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D7B79">
        <w:rPr>
          <w:rFonts w:ascii="Times New Roman" w:eastAsia="Times New Roman" w:hAnsi="Times New Roman" w:cs="Times New Roman"/>
          <w:sz w:val="24"/>
          <w:szCs w:val="24"/>
        </w:rPr>
        <w:t xml:space="preserve">Mendes, J. R., Barbosa Teixeira Lopes, M. C., </w:t>
      </w:r>
      <w:proofErr w:type="spellStart"/>
      <w:r w:rsidRPr="007D7B79">
        <w:rPr>
          <w:rFonts w:ascii="Times New Roman" w:eastAsia="Times New Roman" w:hAnsi="Times New Roman" w:cs="Times New Roman"/>
          <w:sz w:val="24"/>
          <w:szCs w:val="24"/>
        </w:rPr>
        <w:t>Vancini-Campanharo</w:t>
      </w:r>
      <w:proofErr w:type="spellEnd"/>
      <w:r w:rsidRPr="007D7B79">
        <w:rPr>
          <w:rFonts w:ascii="Times New Roman" w:eastAsia="Times New Roman" w:hAnsi="Times New Roman" w:cs="Times New Roman"/>
          <w:sz w:val="24"/>
          <w:szCs w:val="24"/>
        </w:rPr>
        <w:t xml:space="preserve">, C. R., Pinto </w:t>
      </w:r>
      <w:proofErr w:type="spellStart"/>
      <w:r w:rsidRPr="007D7B79">
        <w:rPr>
          <w:rFonts w:ascii="Times New Roman" w:eastAsia="Times New Roman" w:hAnsi="Times New Roman" w:cs="Times New Roman"/>
          <w:sz w:val="24"/>
          <w:szCs w:val="24"/>
        </w:rPr>
        <w:t>Okuno</w:t>
      </w:r>
      <w:proofErr w:type="spellEnd"/>
      <w:r w:rsidRPr="007D7B79">
        <w:rPr>
          <w:rFonts w:ascii="Times New Roman" w:eastAsia="Times New Roman" w:hAnsi="Times New Roman" w:cs="Times New Roman"/>
          <w:sz w:val="24"/>
          <w:szCs w:val="24"/>
        </w:rPr>
        <w:t xml:space="preserve">, M. F., &amp; </w:t>
      </w:r>
      <w:proofErr w:type="spellStart"/>
      <w:r w:rsidRPr="007D7B79">
        <w:rPr>
          <w:rFonts w:ascii="Times New Roman" w:eastAsia="Times New Roman" w:hAnsi="Times New Roman" w:cs="Times New Roman"/>
          <w:sz w:val="24"/>
          <w:szCs w:val="24"/>
        </w:rPr>
        <w:t>Assayag</w:t>
      </w:r>
      <w:proofErr w:type="spellEnd"/>
      <w:r w:rsidRPr="007D7B79">
        <w:rPr>
          <w:rFonts w:ascii="Times New Roman" w:eastAsia="Times New Roman" w:hAnsi="Times New Roman" w:cs="Times New Roman"/>
          <w:sz w:val="24"/>
          <w:szCs w:val="24"/>
        </w:rPr>
        <w:t xml:space="preserve"> Batista, R. E. (2018). Types and frequency of errors in the preparation and </w:t>
      </w:r>
      <w:r w:rsidRPr="007D7B7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administration of drugs. </w:t>
      </w:r>
      <w:r w:rsidRPr="007D7B79">
        <w:rPr>
          <w:rFonts w:ascii="Times New Roman" w:eastAsia="Times New Roman" w:hAnsi="Times New Roman" w:cs="Times New Roman"/>
          <w:i/>
          <w:iCs/>
          <w:sz w:val="24"/>
          <w:szCs w:val="24"/>
        </w:rPr>
        <w:t>Einstein</w:t>
      </w:r>
      <w:r w:rsidRPr="007D7B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7B79">
        <w:rPr>
          <w:rFonts w:ascii="Times New Roman" w:eastAsia="Times New Roman" w:hAnsi="Times New Roman" w:cs="Times New Roman"/>
          <w:i/>
          <w:iCs/>
          <w:sz w:val="24"/>
          <w:szCs w:val="24"/>
        </w:rPr>
        <w:t>16</w:t>
      </w:r>
      <w:r w:rsidRPr="007D7B79">
        <w:rPr>
          <w:rFonts w:ascii="Times New Roman" w:eastAsia="Times New Roman" w:hAnsi="Times New Roman" w:cs="Times New Roman"/>
          <w:sz w:val="24"/>
          <w:szCs w:val="24"/>
        </w:rPr>
        <w:t xml:space="preserve">(3). </w:t>
      </w:r>
      <w:hyperlink r:id="rId7" w:history="1">
        <w:r w:rsidRPr="00490C4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https://doi.org/10.1590/S1679-45082018AO4146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3693A" w:rsidRDefault="00D3693A" w:rsidP="00C4695A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695A">
        <w:rPr>
          <w:rFonts w:ascii="Times New Roman" w:eastAsia="Times New Roman" w:hAnsi="Times New Roman" w:cs="Times New Roman"/>
          <w:sz w:val="24"/>
          <w:szCs w:val="24"/>
        </w:rPr>
        <w:t>Mutair</w:t>
      </w:r>
      <w:proofErr w:type="spellEnd"/>
      <w:r w:rsidRPr="00C4695A">
        <w:rPr>
          <w:rFonts w:ascii="Times New Roman" w:eastAsia="Times New Roman" w:hAnsi="Times New Roman" w:cs="Times New Roman"/>
          <w:sz w:val="24"/>
          <w:szCs w:val="24"/>
        </w:rPr>
        <w:t xml:space="preserve">, A. A., </w:t>
      </w:r>
      <w:proofErr w:type="spellStart"/>
      <w:r w:rsidRPr="00C4695A">
        <w:rPr>
          <w:rFonts w:ascii="Times New Roman" w:eastAsia="Times New Roman" w:hAnsi="Times New Roman" w:cs="Times New Roman"/>
          <w:sz w:val="24"/>
          <w:szCs w:val="24"/>
        </w:rPr>
        <w:t>Alhumaid</w:t>
      </w:r>
      <w:proofErr w:type="spellEnd"/>
      <w:r w:rsidRPr="00C4695A">
        <w:rPr>
          <w:rFonts w:ascii="Times New Roman" w:eastAsia="Times New Roman" w:hAnsi="Times New Roman" w:cs="Times New Roman"/>
          <w:sz w:val="24"/>
          <w:szCs w:val="24"/>
        </w:rPr>
        <w:t xml:space="preserve">, S., </w:t>
      </w:r>
      <w:proofErr w:type="spellStart"/>
      <w:r w:rsidRPr="00C4695A">
        <w:rPr>
          <w:rFonts w:ascii="Times New Roman" w:eastAsia="Times New Roman" w:hAnsi="Times New Roman" w:cs="Times New Roman"/>
          <w:sz w:val="24"/>
          <w:szCs w:val="24"/>
        </w:rPr>
        <w:t>Shamsan</w:t>
      </w:r>
      <w:proofErr w:type="spellEnd"/>
      <w:r w:rsidRPr="00C4695A">
        <w:rPr>
          <w:rFonts w:ascii="Times New Roman" w:eastAsia="Times New Roman" w:hAnsi="Times New Roman" w:cs="Times New Roman"/>
          <w:sz w:val="24"/>
          <w:szCs w:val="24"/>
        </w:rPr>
        <w:t xml:space="preserve">, A., Zia Zaidi, A. R., </w:t>
      </w:r>
      <w:proofErr w:type="spellStart"/>
      <w:r w:rsidRPr="00C4695A">
        <w:rPr>
          <w:rFonts w:ascii="Times New Roman" w:eastAsia="Times New Roman" w:hAnsi="Times New Roman" w:cs="Times New Roman"/>
          <w:sz w:val="24"/>
          <w:szCs w:val="24"/>
        </w:rPr>
        <w:t>Mohaini</w:t>
      </w:r>
      <w:proofErr w:type="spellEnd"/>
      <w:r w:rsidRPr="00C4695A">
        <w:rPr>
          <w:rFonts w:ascii="Times New Roman" w:eastAsia="Times New Roman" w:hAnsi="Times New Roman" w:cs="Times New Roman"/>
          <w:sz w:val="24"/>
          <w:szCs w:val="24"/>
        </w:rPr>
        <w:t xml:space="preserve">, M. A., </w:t>
      </w:r>
      <w:proofErr w:type="spellStart"/>
      <w:r w:rsidRPr="00C4695A">
        <w:rPr>
          <w:rFonts w:ascii="Times New Roman" w:eastAsia="Times New Roman" w:hAnsi="Times New Roman" w:cs="Times New Roman"/>
          <w:sz w:val="24"/>
          <w:szCs w:val="24"/>
        </w:rPr>
        <w:t>Mutairi</w:t>
      </w:r>
      <w:proofErr w:type="spellEnd"/>
      <w:r w:rsidRPr="00C4695A">
        <w:rPr>
          <w:rFonts w:ascii="Times New Roman" w:eastAsia="Times New Roman" w:hAnsi="Times New Roman" w:cs="Times New Roman"/>
          <w:sz w:val="24"/>
          <w:szCs w:val="24"/>
        </w:rPr>
        <w:t xml:space="preserve">, A. A., </w:t>
      </w:r>
      <w:proofErr w:type="spellStart"/>
      <w:r w:rsidRPr="00C4695A">
        <w:rPr>
          <w:rFonts w:ascii="Times New Roman" w:eastAsia="Times New Roman" w:hAnsi="Times New Roman" w:cs="Times New Roman"/>
          <w:sz w:val="24"/>
          <w:szCs w:val="24"/>
        </w:rPr>
        <w:t>Rabaan</w:t>
      </w:r>
      <w:proofErr w:type="spellEnd"/>
      <w:r w:rsidRPr="00C4695A">
        <w:rPr>
          <w:rFonts w:ascii="Times New Roman" w:eastAsia="Times New Roman" w:hAnsi="Times New Roman" w:cs="Times New Roman"/>
          <w:sz w:val="24"/>
          <w:szCs w:val="24"/>
        </w:rPr>
        <w:t xml:space="preserve">, A. A., </w:t>
      </w:r>
      <w:proofErr w:type="spellStart"/>
      <w:r w:rsidRPr="00C4695A">
        <w:rPr>
          <w:rFonts w:ascii="Times New Roman" w:eastAsia="Times New Roman" w:hAnsi="Times New Roman" w:cs="Times New Roman"/>
          <w:sz w:val="24"/>
          <w:szCs w:val="24"/>
        </w:rPr>
        <w:t>Awad</w:t>
      </w:r>
      <w:proofErr w:type="spellEnd"/>
      <w:r w:rsidRPr="00C4695A">
        <w:rPr>
          <w:rFonts w:ascii="Times New Roman" w:eastAsia="Times New Roman" w:hAnsi="Times New Roman" w:cs="Times New Roman"/>
          <w:sz w:val="24"/>
          <w:szCs w:val="24"/>
        </w:rPr>
        <w:t xml:space="preserve">, M., &amp; Al-Omari, A. (2021). The Effective Strategies to Avoid Medication Errors and Improving Reporting Systems. </w:t>
      </w:r>
      <w:r w:rsidRPr="00C4695A">
        <w:rPr>
          <w:rFonts w:ascii="Times New Roman" w:eastAsia="Times New Roman" w:hAnsi="Times New Roman" w:cs="Times New Roman"/>
          <w:i/>
          <w:iCs/>
          <w:sz w:val="24"/>
          <w:szCs w:val="24"/>
        </w:rPr>
        <w:t>Medicines</w:t>
      </w:r>
      <w:r w:rsidRPr="00C4695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4695A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C4695A">
        <w:rPr>
          <w:rFonts w:ascii="Times New Roman" w:eastAsia="Times New Roman" w:hAnsi="Times New Roman" w:cs="Times New Roman"/>
          <w:sz w:val="24"/>
          <w:szCs w:val="24"/>
        </w:rPr>
        <w:t xml:space="preserve">(9). </w:t>
      </w:r>
      <w:hyperlink r:id="rId8" w:history="1">
        <w:r w:rsidRPr="00490C4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https://doi.org/10.3390/medicines8090046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3693A" w:rsidRDefault="00D3693A" w:rsidP="00C4695A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695A">
        <w:rPr>
          <w:rFonts w:ascii="Times New Roman" w:eastAsia="Times New Roman" w:hAnsi="Times New Roman" w:cs="Times New Roman"/>
          <w:sz w:val="24"/>
          <w:szCs w:val="24"/>
        </w:rPr>
        <w:t>Sewal</w:t>
      </w:r>
      <w:proofErr w:type="spellEnd"/>
      <w:r w:rsidRPr="00C4695A">
        <w:rPr>
          <w:rFonts w:ascii="Times New Roman" w:eastAsia="Times New Roman" w:hAnsi="Times New Roman" w:cs="Times New Roman"/>
          <w:sz w:val="24"/>
          <w:szCs w:val="24"/>
        </w:rPr>
        <w:t xml:space="preserve">, R. K., Singh, P. K., Prakash, A., Kumar, B., &amp; </w:t>
      </w:r>
      <w:proofErr w:type="spellStart"/>
      <w:r w:rsidRPr="00C4695A">
        <w:rPr>
          <w:rFonts w:ascii="Times New Roman" w:eastAsia="Times New Roman" w:hAnsi="Times New Roman" w:cs="Times New Roman"/>
          <w:sz w:val="24"/>
          <w:szCs w:val="24"/>
        </w:rPr>
        <w:t>Medhi</w:t>
      </w:r>
      <w:proofErr w:type="spellEnd"/>
      <w:r w:rsidRPr="00C4695A">
        <w:rPr>
          <w:rFonts w:ascii="Times New Roman" w:eastAsia="Times New Roman" w:hAnsi="Times New Roman" w:cs="Times New Roman"/>
          <w:sz w:val="24"/>
          <w:szCs w:val="24"/>
        </w:rPr>
        <w:t xml:space="preserve">, B.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(2019). </w:t>
      </w:r>
      <w:r w:rsidRPr="00C4695A">
        <w:rPr>
          <w:rFonts w:ascii="Times New Roman" w:eastAsia="Times New Roman" w:hAnsi="Times New Roman" w:cs="Times New Roman"/>
          <w:sz w:val="24"/>
          <w:szCs w:val="24"/>
        </w:rPr>
        <w:t xml:space="preserve">A prospective study to evaluate awareness about medication errors amongst health-care personnel representing North, East, West Regions of India. </w:t>
      </w:r>
      <w:r w:rsidRPr="00C4695A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Applied and Basic Medical Research</w:t>
      </w:r>
      <w:r w:rsidRPr="00C4695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4695A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C4695A">
        <w:rPr>
          <w:rFonts w:ascii="Times New Roman" w:eastAsia="Times New Roman" w:hAnsi="Times New Roman" w:cs="Times New Roman"/>
          <w:sz w:val="24"/>
          <w:szCs w:val="24"/>
        </w:rPr>
        <w:t xml:space="preserve">(1), 43-46. </w:t>
      </w:r>
      <w:hyperlink r:id="rId9" w:history="1">
        <w:r w:rsidRPr="00490C4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https://doi.org/10.4103/2229-516X.125694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3693A" w:rsidRDefault="00D3693A" w:rsidP="00C4695A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695A">
        <w:rPr>
          <w:rFonts w:ascii="Times New Roman" w:eastAsia="Times New Roman" w:hAnsi="Times New Roman" w:cs="Times New Roman"/>
          <w:sz w:val="24"/>
          <w:szCs w:val="24"/>
        </w:rPr>
        <w:t>Zakama</w:t>
      </w:r>
      <w:proofErr w:type="spellEnd"/>
      <w:r w:rsidRPr="00C4695A">
        <w:rPr>
          <w:rFonts w:ascii="Times New Roman" w:eastAsia="Times New Roman" w:hAnsi="Times New Roman" w:cs="Times New Roman"/>
          <w:sz w:val="24"/>
          <w:szCs w:val="24"/>
        </w:rPr>
        <w:t xml:space="preserve">, A., </w:t>
      </w:r>
      <w:proofErr w:type="spellStart"/>
      <w:r w:rsidRPr="00C4695A">
        <w:rPr>
          <w:rFonts w:ascii="Times New Roman" w:eastAsia="Times New Roman" w:hAnsi="Times New Roman" w:cs="Times New Roman"/>
          <w:sz w:val="24"/>
          <w:szCs w:val="24"/>
        </w:rPr>
        <w:t>Sobhani</w:t>
      </w:r>
      <w:proofErr w:type="spellEnd"/>
      <w:r w:rsidRPr="00C4695A">
        <w:rPr>
          <w:rFonts w:ascii="Times New Roman" w:eastAsia="Times New Roman" w:hAnsi="Times New Roman" w:cs="Times New Roman"/>
          <w:sz w:val="24"/>
          <w:szCs w:val="24"/>
        </w:rPr>
        <w:t xml:space="preserve">, N. C., Lamar, R., &amp; Rosenstein, M. G. (2020). Implementation of Evidence-Based Cervical Ripening Protocol: Outcomes and Next Steps. </w:t>
      </w:r>
      <w:r w:rsidRPr="00C4695A">
        <w:rPr>
          <w:rFonts w:ascii="Times New Roman" w:eastAsia="Times New Roman" w:hAnsi="Times New Roman" w:cs="Times New Roman"/>
          <w:i/>
          <w:iCs/>
          <w:sz w:val="24"/>
          <w:szCs w:val="24"/>
        </w:rPr>
        <w:t>AJP Reports</w:t>
      </w:r>
      <w:r w:rsidRPr="00C4695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4695A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C4695A">
        <w:rPr>
          <w:rFonts w:ascii="Times New Roman" w:eastAsia="Times New Roman" w:hAnsi="Times New Roman" w:cs="Times New Roman"/>
          <w:sz w:val="24"/>
          <w:szCs w:val="24"/>
        </w:rPr>
        <w:t xml:space="preserve">(4), e408. </w:t>
      </w:r>
      <w:hyperlink r:id="rId10" w:history="1">
        <w:r w:rsidRPr="00490C4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https://doi.org/10.1055/s-0040-1721443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075DF" w:rsidRPr="007D7B79" w:rsidRDefault="002075DF" w:rsidP="00C4695A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370F3" w:rsidRPr="009D1EFD" w:rsidRDefault="009D1EFD" w:rsidP="00D370F3">
      <w:pPr>
        <w:rPr>
          <w:rFonts w:ascii="Times New Roman" w:hAnsi="Times New Roman" w:cs="Times New Roman"/>
          <w:b/>
          <w:sz w:val="24"/>
          <w:szCs w:val="24"/>
        </w:rPr>
      </w:pPr>
      <w:r w:rsidRPr="009D1EFD">
        <w:rPr>
          <w:rFonts w:ascii="Times New Roman" w:hAnsi="Times New Roman" w:cs="Times New Roman"/>
          <w:b/>
          <w:sz w:val="24"/>
          <w:szCs w:val="24"/>
        </w:rPr>
        <w:lastRenderedPageBreak/>
        <w:t>Response to Matthew</w:t>
      </w:r>
    </w:p>
    <w:p w:rsidR="009D1EFD" w:rsidRDefault="007A3809" w:rsidP="00D370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enjoyed reading your post and gained significant insights regarding the importance of cleaning POCUS machines and probes. Maintaining the machines and probes clean can significantly reduce the transmission of pathogens (</w:t>
      </w:r>
      <w:r w:rsidR="003D711B">
        <w:rPr>
          <w:rFonts w:ascii="Times New Roman" w:hAnsi="Times New Roman" w:cs="Times New Roman"/>
          <w:sz w:val="24"/>
          <w:szCs w:val="24"/>
        </w:rPr>
        <w:t>Costello et al., 2020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9434B9">
        <w:rPr>
          <w:rFonts w:ascii="Times New Roman" w:hAnsi="Times New Roman" w:cs="Times New Roman"/>
          <w:sz w:val="24"/>
          <w:szCs w:val="24"/>
        </w:rPr>
        <w:t xml:space="preserve">As you aptly observe, pathogen transmission would increase care costs, prolong length of stay, and increase the risk of patient mortality. Below is my SWOT analysis of the issue identified. </w:t>
      </w:r>
    </w:p>
    <w:p w:rsidR="009434B9" w:rsidRDefault="009434B9" w:rsidP="00D370F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Strengths:</w:t>
      </w:r>
    </w:p>
    <w:p w:rsidR="009434B9" w:rsidRDefault="0072270C" w:rsidP="00D370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Reduced risk of pathogen transmission: Cleaning POCUS machines and probes adequately would significantly reduce the risk of </w:t>
      </w:r>
      <w:r w:rsidR="00BA5440">
        <w:rPr>
          <w:rFonts w:ascii="Times New Roman" w:hAnsi="Times New Roman" w:cs="Times New Roman"/>
          <w:sz w:val="24"/>
          <w:szCs w:val="24"/>
        </w:rPr>
        <w:t>pathogen transmission and microbiological burden (</w:t>
      </w:r>
      <w:proofErr w:type="spellStart"/>
      <w:r w:rsidR="003D711B">
        <w:rPr>
          <w:rFonts w:ascii="Times New Roman" w:hAnsi="Times New Roman" w:cs="Times New Roman"/>
          <w:sz w:val="24"/>
          <w:szCs w:val="24"/>
        </w:rPr>
        <w:t>Deshwal</w:t>
      </w:r>
      <w:proofErr w:type="spellEnd"/>
      <w:r w:rsidR="003D711B">
        <w:rPr>
          <w:rFonts w:ascii="Times New Roman" w:hAnsi="Times New Roman" w:cs="Times New Roman"/>
          <w:sz w:val="24"/>
          <w:szCs w:val="24"/>
        </w:rPr>
        <w:t xml:space="preserve"> et al., 2021</w:t>
      </w:r>
      <w:r w:rsidR="00BA544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E3824" w:rsidRDefault="006E3824" w:rsidP="00D370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Cost reductions: Adopting appropriate strategies in cleaning the machines could reduce </w:t>
      </w:r>
      <w:r w:rsidR="00B96051">
        <w:rPr>
          <w:rFonts w:ascii="Times New Roman" w:hAnsi="Times New Roman" w:cs="Times New Roman"/>
          <w:sz w:val="24"/>
          <w:szCs w:val="24"/>
        </w:rPr>
        <w:t xml:space="preserve">direct </w:t>
      </w:r>
      <w:r>
        <w:rPr>
          <w:rFonts w:ascii="Times New Roman" w:hAnsi="Times New Roman" w:cs="Times New Roman"/>
          <w:sz w:val="24"/>
          <w:szCs w:val="24"/>
        </w:rPr>
        <w:t>care costs</w:t>
      </w:r>
      <w:r w:rsidR="00B96051">
        <w:rPr>
          <w:rFonts w:ascii="Times New Roman" w:hAnsi="Times New Roman" w:cs="Times New Roman"/>
          <w:sz w:val="24"/>
          <w:szCs w:val="24"/>
        </w:rPr>
        <w:t xml:space="preserve"> associated with the use of imaging requiring radiation and indirect costs associated w</w:t>
      </w:r>
      <w:r w:rsidR="003D711B">
        <w:rPr>
          <w:rFonts w:ascii="Times New Roman" w:hAnsi="Times New Roman" w:cs="Times New Roman"/>
          <w:sz w:val="24"/>
          <w:szCs w:val="24"/>
        </w:rPr>
        <w:t>ith compromised patient safety (Prats et al., 2019</w:t>
      </w:r>
      <w:r w:rsidR="00B9605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96051" w:rsidRDefault="00B96051" w:rsidP="00D370F3">
      <w:pPr>
        <w:rPr>
          <w:rFonts w:ascii="Times New Roman" w:hAnsi="Times New Roman" w:cs="Times New Roman"/>
          <w:sz w:val="24"/>
          <w:szCs w:val="24"/>
        </w:rPr>
      </w:pPr>
      <w:r w:rsidRPr="0023521D">
        <w:rPr>
          <w:rFonts w:ascii="Times New Roman" w:hAnsi="Times New Roman" w:cs="Times New Roman"/>
          <w:i/>
          <w:sz w:val="24"/>
          <w:szCs w:val="24"/>
        </w:rPr>
        <w:t>Weaknesses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34B8E" w:rsidRDefault="00A34B8E" w:rsidP="00D370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Resource allocation: </w:t>
      </w:r>
      <w:r w:rsidR="00CD70A3">
        <w:rPr>
          <w:rFonts w:ascii="Times New Roman" w:hAnsi="Times New Roman" w:cs="Times New Roman"/>
          <w:sz w:val="24"/>
          <w:szCs w:val="24"/>
        </w:rPr>
        <w:t>Availability of cleaning materials or insufficient time for staff to clean the probes</w:t>
      </w:r>
      <w:r w:rsidR="006D5A83">
        <w:rPr>
          <w:rFonts w:ascii="Times New Roman" w:hAnsi="Times New Roman" w:cs="Times New Roman"/>
          <w:sz w:val="24"/>
          <w:szCs w:val="24"/>
        </w:rPr>
        <w:t xml:space="preserve"> properly</w:t>
      </w:r>
      <w:r w:rsidR="00CD70A3">
        <w:rPr>
          <w:rFonts w:ascii="Times New Roman" w:hAnsi="Times New Roman" w:cs="Times New Roman"/>
          <w:sz w:val="24"/>
          <w:szCs w:val="24"/>
        </w:rPr>
        <w:t xml:space="preserve"> after each use may compromise hygiene practices (</w:t>
      </w:r>
      <w:proofErr w:type="spellStart"/>
      <w:r w:rsidR="00646D88">
        <w:rPr>
          <w:rFonts w:ascii="Times New Roman" w:hAnsi="Times New Roman" w:cs="Times New Roman"/>
          <w:sz w:val="24"/>
          <w:szCs w:val="24"/>
        </w:rPr>
        <w:t>Kalsbeek</w:t>
      </w:r>
      <w:proofErr w:type="spellEnd"/>
      <w:r w:rsidR="00646D88">
        <w:rPr>
          <w:rFonts w:ascii="Times New Roman" w:hAnsi="Times New Roman" w:cs="Times New Roman"/>
          <w:sz w:val="24"/>
          <w:szCs w:val="24"/>
        </w:rPr>
        <w:t xml:space="preserve"> et al., 2021</w:t>
      </w:r>
      <w:r w:rsidR="006D5A83">
        <w:rPr>
          <w:rFonts w:ascii="Times New Roman" w:hAnsi="Times New Roman" w:cs="Times New Roman"/>
          <w:sz w:val="24"/>
          <w:szCs w:val="24"/>
        </w:rPr>
        <w:t>).</w:t>
      </w:r>
    </w:p>
    <w:p w:rsidR="006D5A83" w:rsidRDefault="006D5A83" w:rsidP="00D370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Compliance and execution: </w:t>
      </w:r>
      <w:r w:rsidR="0023521D">
        <w:rPr>
          <w:rFonts w:ascii="Times New Roman" w:hAnsi="Times New Roman" w:cs="Times New Roman"/>
          <w:sz w:val="24"/>
          <w:szCs w:val="24"/>
        </w:rPr>
        <w:t>Inadequacies in infection control guidelines at the workplace may lead to continued non-compliance with the hygienic practices (</w:t>
      </w:r>
      <w:proofErr w:type="spellStart"/>
      <w:r w:rsidR="00646D88">
        <w:rPr>
          <w:rFonts w:ascii="Times New Roman" w:hAnsi="Times New Roman" w:cs="Times New Roman"/>
          <w:sz w:val="24"/>
          <w:szCs w:val="24"/>
        </w:rPr>
        <w:t>Westerway</w:t>
      </w:r>
      <w:proofErr w:type="spellEnd"/>
      <w:r w:rsidR="00646D88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646D88">
        <w:rPr>
          <w:rFonts w:ascii="Times New Roman" w:hAnsi="Times New Roman" w:cs="Times New Roman"/>
          <w:sz w:val="24"/>
          <w:szCs w:val="24"/>
        </w:rPr>
        <w:t>Basseal</w:t>
      </w:r>
      <w:proofErr w:type="spellEnd"/>
      <w:r w:rsidR="00646D88">
        <w:rPr>
          <w:rFonts w:ascii="Times New Roman" w:hAnsi="Times New Roman" w:cs="Times New Roman"/>
          <w:sz w:val="24"/>
          <w:szCs w:val="24"/>
        </w:rPr>
        <w:t>, 2019</w:t>
      </w:r>
      <w:r w:rsidR="0023521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3521D" w:rsidRDefault="0023521D" w:rsidP="00D370F3">
      <w:pPr>
        <w:rPr>
          <w:rFonts w:ascii="Times New Roman" w:hAnsi="Times New Roman" w:cs="Times New Roman"/>
          <w:sz w:val="24"/>
          <w:szCs w:val="24"/>
        </w:rPr>
      </w:pPr>
      <w:r w:rsidRPr="0023521D">
        <w:rPr>
          <w:rFonts w:ascii="Times New Roman" w:hAnsi="Times New Roman" w:cs="Times New Roman"/>
          <w:i/>
          <w:sz w:val="24"/>
          <w:szCs w:val="24"/>
        </w:rPr>
        <w:t>Opportunities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3521D" w:rsidRDefault="0023521D" w:rsidP="00D370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Enhanced training: </w:t>
      </w:r>
      <w:r w:rsidR="00D32D79">
        <w:rPr>
          <w:rFonts w:ascii="Times New Roman" w:hAnsi="Times New Roman" w:cs="Times New Roman"/>
          <w:sz w:val="24"/>
          <w:szCs w:val="24"/>
        </w:rPr>
        <w:t>Training clinicians about the importance of proper cleaning and offering refresher courses could improve compliance with hygienic practices (</w:t>
      </w:r>
      <w:r w:rsidR="00646D88">
        <w:rPr>
          <w:rFonts w:ascii="Times New Roman" w:hAnsi="Times New Roman" w:cs="Times New Roman"/>
          <w:sz w:val="24"/>
          <w:szCs w:val="24"/>
        </w:rPr>
        <w:t>Costello et al., 2020</w:t>
      </w:r>
      <w:r w:rsidR="00B3706F">
        <w:rPr>
          <w:rFonts w:ascii="Times New Roman" w:hAnsi="Times New Roman" w:cs="Times New Roman"/>
          <w:sz w:val="24"/>
          <w:szCs w:val="24"/>
        </w:rPr>
        <w:t>;</w:t>
      </w:r>
      <w:r w:rsidR="00646D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D88">
        <w:rPr>
          <w:rFonts w:ascii="Times New Roman" w:hAnsi="Times New Roman" w:cs="Times New Roman"/>
          <w:sz w:val="24"/>
          <w:szCs w:val="24"/>
        </w:rPr>
        <w:t>Kalsbeek</w:t>
      </w:r>
      <w:proofErr w:type="spellEnd"/>
      <w:r w:rsidR="00646D88">
        <w:rPr>
          <w:rFonts w:ascii="Times New Roman" w:hAnsi="Times New Roman" w:cs="Times New Roman"/>
          <w:sz w:val="24"/>
          <w:szCs w:val="24"/>
        </w:rPr>
        <w:t xml:space="preserve"> et al., 2021</w:t>
      </w:r>
      <w:r w:rsidR="00D32D7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32D79" w:rsidRDefault="00B3706F" w:rsidP="00D370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Enhanced access to support and infrastructure: Compliance with the hygiene guidelines and protocols would benefit from improved access to cleaning supplies, including convenient placement of disinfectants or having dedicated staff for cleaning</w:t>
      </w:r>
      <w:r w:rsidR="00C0718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46D88">
        <w:rPr>
          <w:rFonts w:ascii="Times New Roman" w:hAnsi="Times New Roman" w:cs="Times New Roman"/>
          <w:sz w:val="24"/>
          <w:szCs w:val="24"/>
        </w:rPr>
        <w:t>Kalsbeek</w:t>
      </w:r>
      <w:proofErr w:type="spellEnd"/>
      <w:r w:rsidR="00646D88">
        <w:rPr>
          <w:rFonts w:ascii="Times New Roman" w:hAnsi="Times New Roman" w:cs="Times New Roman"/>
          <w:sz w:val="24"/>
          <w:szCs w:val="24"/>
        </w:rPr>
        <w:t xml:space="preserve"> et al., 2021</w:t>
      </w:r>
      <w:r w:rsidR="00C0718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0718E" w:rsidRDefault="00C0718E" w:rsidP="00D370F3">
      <w:pPr>
        <w:rPr>
          <w:rFonts w:ascii="Times New Roman" w:hAnsi="Times New Roman" w:cs="Times New Roman"/>
          <w:sz w:val="24"/>
          <w:szCs w:val="24"/>
        </w:rPr>
      </w:pPr>
      <w:r w:rsidRPr="00C0718E">
        <w:rPr>
          <w:rFonts w:ascii="Times New Roman" w:hAnsi="Times New Roman" w:cs="Times New Roman"/>
          <w:i/>
          <w:sz w:val="24"/>
          <w:szCs w:val="24"/>
        </w:rPr>
        <w:t>Threats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27614" w:rsidRDefault="007E503D" w:rsidP="00D370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Inconsistencies in adopting guidelines: While training </w:t>
      </w:r>
      <w:proofErr w:type="gramStart"/>
      <w:r>
        <w:rPr>
          <w:rFonts w:ascii="Times New Roman" w:hAnsi="Times New Roman" w:cs="Times New Roman"/>
          <w:sz w:val="24"/>
          <w:szCs w:val="24"/>
        </w:rPr>
        <w:t>may be offered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inconsistences in following the guidelines could emerge based on clinicians’ </w:t>
      </w:r>
      <w:r w:rsidR="007D7B79">
        <w:rPr>
          <w:rFonts w:ascii="Times New Roman" w:hAnsi="Times New Roman" w:cs="Times New Roman"/>
          <w:sz w:val="24"/>
          <w:szCs w:val="24"/>
        </w:rPr>
        <w:t>acknowledgement of the issue (</w:t>
      </w:r>
      <w:proofErr w:type="spellStart"/>
      <w:r w:rsidR="00646D88">
        <w:rPr>
          <w:rFonts w:ascii="Times New Roman" w:hAnsi="Times New Roman" w:cs="Times New Roman"/>
          <w:sz w:val="24"/>
          <w:szCs w:val="24"/>
        </w:rPr>
        <w:t>Westerway</w:t>
      </w:r>
      <w:proofErr w:type="spellEnd"/>
      <w:r w:rsidR="00646D88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646D88">
        <w:rPr>
          <w:rFonts w:ascii="Times New Roman" w:hAnsi="Times New Roman" w:cs="Times New Roman"/>
          <w:sz w:val="24"/>
          <w:szCs w:val="24"/>
        </w:rPr>
        <w:t>Basseal</w:t>
      </w:r>
      <w:proofErr w:type="spellEnd"/>
      <w:r w:rsidR="00646D88">
        <w:rPr>
          <w:rFonts w:ascii="Times New Roman" w:hAnsi="Times New Roman" w:cs="Times New Roman"/>
          <w:sz w:val="24"/>
          <w:szCs w:val="24"/>
        </w:rPr>
        <w:t>, 2019</w:t>
      </w:r>
      <w:r w:rsidR="007D7B7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0718E" w:rsidRDefault="00D27614" w:rsidP="00D370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Legal and reputational risks: The hospital may face legal and reputational risks if an infection </w:t>
      </w:r>
      <w:proofErr w:type="gramStart"/>
      <w:r>
        <w:rPr>
          <w:rFonts w:ascii="Times New Roman" w:hAnsi="Times New Roman" w:cs="Times New Roman"/>
          <w:sz w:val="24"/>
          <w:szCs w:val="24"/>
        </w:rPr>
        <w:t>is traced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back to inadequate cleaning.</w:t>
      </w:r>
    </w:p>
    <w:p w:rsidR="00D27614" w:rsidRDefault="003D711B" w:rsidP="003D71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References </w:t>
      </w:r>
    </w:p>
    <w:p w:rsidR="00646D88" w:rsidRDefault="00646D88" w:rsidP="003D711B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D711B">
        <w:rPr>
          <w:rFonts w:ascii="Times New Roman" w:eastAsia="Times New Roman" w:hAnsi="Times New Roman" w:cs="Times New Roman"/>
          <w:sz w:val="24"/>
          <w:szCs w:val="24"/>
        </w:rPr>
        <w:t xml:space="preserve">Costello, C., </w:t>
      </w:r>
      <w:proofErr w:type="spellStart"/>
      <w:r w:rsidRPr="003D711B">
        <w:rPr>
          <w:rFonts w:ascii="Times New Roman" w:eastAsia="Times New Roman" w:hAnsi="Times New Roman" w:cs="Times New Roman"/>
          <w:sz w:val="24"/>
          <w:szCs w:val="24"/>
        </w:rPr>
        <w:t>Basseal</w:t>
      </w:r>
      <w:proofErr w:type="spellEnd"/>
      <w:r w:rsidRPr="003D711B">
        <w:rPr>
          <w:rFonts w:ascii="Times New Roman" w:eastAsia="Times New Roman" w:hAnsi="Times New Roman" w:cs="Times New Roman"/>
          <w:sz w:val="24"/>
          <w:szCs w:val="24"/>
        </w:rPr>
        <w:t xml:space="preserve">, J. M., Yang, Y., Anstey, J., &amp; </w:t>
      </w:r>
      <w:proofErr w:type="spellStart"/>
      <w:r w:rsidRPr="003D711B">
        <w:rPr>
          <w:rFonts w:ascii="Times New Roman" w:eastAsia="Times New Roman" w:hAnsi="Times New Roman" w:cs="Times New Roman"/>
          <w:sz w:val="24"/>
          <w:szCs w:val="24"/>
        </w:rPr>
        <w:t>Yastrebov</w:t>
      </w:r>
      <w:proofErr w:type="spellEnd"/>
      <w:r w:rsidRPr="003D711B">
        <w:rPr>
          <w:rFonts w:ascii="Times New Roman" w:eastAsia="Times New Roman" w:hAnsi="Times New Roman" w:cs="Times New Roman"/>
          <w:sz w:val="24"/>
          <w:szCs w:val="24"/>
        </w:rPr>
        <w:t xml:space="preserve">, K. (2020). Prevention of pathogen transmission during ultrasound use in the Intensive Care Unit: Recommendations from the College of Intensive Care Medicine Ultrasound Special Interest Group (USIG). </w:t>
      </w:r>
      <w:r w:rsidRPr="003D711B">
        <w:rPr>
          <w:rFonts w:ascii="Times New Roman" w:eastAsia="Times New Roman" w:hAnsi="Times New Roman" w:cs="Times New Roman"/>
          <w:i/>
          <w:iCs/>
          <w:sz w:val="24"/>
          <w:szCs w:val="24"/>
        </w:rPr>
        <w:t>Australasian Journal of Ultrasound in Medicine</w:t>
      </w:r>
      <w:r w:rsidRPr="003D71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D711B">
        <w:rPr>
          <w:rFonts w:ascii="Times New Roman" w:eastAsia="Times New Roman" w:hAnsi="Times New Roman" w:cs="Times New Roman"/>
          <w:i/>
          <w:iCs/>
          <w:sz w:val="24"/>
          <w:szCs w:val="24"/>
        </w:rPr>
        <w:t>23</w:t>
      </w:r>
      <w:r w:rsidRPr="003D711B">
        <w:rPr>
          <w:rFonts w:ascii="Times New Roman" w:eastAsia="Times New Roman" w:hAnsi="Times New Roman" w:cs="Times New Roman"/>
          <w:sz w:val="24"/>
          <w:szCs w:val="24"/>
        </w:rPr>
        <w:t xml:space="preserve">(2), 103-110. </w:t>
      </w:r>
      <w:hyperlink r:id="rId11" w:history="1">
        <w:r w:rsidRPr="00490C4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https://doi.org/10.1002/ajum.12205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46D88" w:rsidRDefault="00646D88" w:rsidP="003D711B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711B">
        <w:rPr>
          <w:rFonts w:ascii="Times New Roman" w:eastAsia="Times New Roman" w:hAnsi="Times New Roman" w:cs="Times New Roman"/>
          <w:sz w:val="24"/>
          <w:szCs w:val="24"/>
        </w:rPr>
        <w:t>Deshwal</w:t>
      </w:r>
      <w:proofErr w:type="spellEnd"/>
      <w:r w:rsidRPr="003D711B">
        <w:rPr>
          <w:rFonts w:ascii="Times New Roman" w:eastAsia="Times New Roman" w:hAnsi="Times New Roman" w:cs="Times New Roman"/>
          <w:sz w:val="24"/>
          <w:szCs w:val="24"/>
        </w:rPr>
        <w:t xml:space="preserve">, H., Pradhan, D., &amp; Mukherjee, V. (2021). Point-of-care ultrasound in a pandemic: Practical guidance in COVID-19 units. </w:t>
      </w:r>
      <w:r w:rsidRPr="003D711B">
        <w:rPr>
          <w:rFonts w:ascii="Times New Roman" w:eastAsia="Times New Roman" w:hAnsi="Times New Roman" w:cs="Times New Roman"/>
          <w:i/>
          <w:iCs/>
          <w:sz w:val="24"/>
          <w:szCs w:val="24"/>
        </w:rPr>
        <w:t>World Journal of Critical Care Medicine</w:t>
      </w:r>
      <w:r w:rsidRPr="003D71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D711B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3D711B">
        <w:rPr>
          <w:rFonts w:ascii="Times New Roman" w:eastAsia="Times New Roman" w:hAnsi="Times New Roman" w:cs="Times New Roman"/>
          <w:sz w:val="24"/>
          <w:szCs w:val="24"/>
        </w:rPr>
        <w:t xml:space="preserve">(5), 204-219. </w:t>
      </w:r>
      <w:hyperlink r:id="rId12" w:history="1">
        <w:r w:rsidRPr="00490C4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https://doi.org/10.5492/wjccm.v10.i5.204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46D88" w:rsidRDefault="00646D88" w:rsidP="00646D88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46D88">
        <w:rPr>
          <w:rFonts w:ascii="Times New Roman" w:eastAsia="Times New Roman" w:hAnsi="Times New Roman" w:cs="Times New Roman"/>
          <w:sz w:val="24"/>
          <w:szCs w:val="24"/>
        </w:rPr>
        <w:t>Kalsbeek</w:t>
      </w:r>
      <w:proofErr w:type="spellEnd"/>
      <w:r w:rsidRPr="00646D88">
        <w:rPr>
          <w:rFonts w:ascii="Times New Roman" w:eastAsia="Times New Roman" w:hAnsi="Times New Roman" w:cs="Times New Roman"/>
          <w:sz w:val="24"/>
          <w:szCs w:val="24"/>
        </w:rPr>
        <w:t xml:space="preserve">, D. V., Enroth, K., </w:t>
      </w:r>
      <w:proofErr w:type="spellStart"/>
      <w:r w:rsidRPr="00646D88">
        <w:rPr>
          <w:rFonts w:ascii="Times New Roman" w:eastAsia="Times New Roman" w:hAnsi="Times New Roman" w:cs="Times New Roman"/>
          <w:sz w:val="24"/>
          <w:szCs w:val="24"/>
        </w:rPr>
        <w:t>Lyden</w:t>
      </w:r>
      <w:proofErr w:type="spellEnd"/>
      <w:r w:rsidRPr="00646D88">
        <w:rPr>
          <w:rFonts w:ascii="Times New Roman" w:eastAsia="Times New Roman" w:hAnsi="Times New Roman" w:cs="Times New Roman"/>
          <w:sz w:val="24"/>
          <w:szCs w:val="24"/>
        </w:rPr>
        <w:t xml:space="preserve">, E., Rupp, M. E., &amp; Smith, C. J. (2021). Improving hospital-based point-of-care ultrasound cleaning practices using targeted interventions: A pre–post study. </w:t>
      </w:r>
      <w:r w:rsidRPr="00646D88">
        <w:rPr>
          <w:rFonts w:ascii="Times New Roman" w:eastAsia="Times New Roman" w:hAnsi="Times New Roman" w:cs="Times New Roman"/>
          <w:i/>
          <w:iCs/>
          <w:sz w:val="24"/>
          <w:szCs w:val="24"/>
        </w:rPr>
        <w:t>The Ultrasound Journal</w:t>
      </w:r>
      <w:r w:rsidRPr="00646D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46D88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646D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13" w:history="1">
        <w:r w:rsidRPr="00490C4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https://doi.org/10.1186/s13089-021-00244-4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46D88" w:rsidRDefault="00646D88" w:rsidP="003D711B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D711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Prats, M. I., Nelson, B. P., Gold, D. L., </w:t>
      </w:r>
      <w:proofErr w:type="spellStart"/>
      <w:r w:rsidRPr="003D711B">
        <w:rPr>
          <w:rFonts w:ascii="Times New Roman" w:eastAsia="Times New Roman" w:hAnsi="Times New Roman" w:cs="Times New Roman"/>
          <w:sz w:val="24"/>
          <w:szCs w:val="24"/>
        </w:rPr>
        <w:t>Branditz</w:t>
      </w:r>
      <w:proofErr w:type="spellEnd"/>
      <w:r w:rsidRPr="003D711B">
        <w:rPr>
          <w:rFonts w:ascii="Times New Roman" w:eastAsia="Times New Roman" w:hAnsi="Times New Roman" w:cs="Times New Roman"/>
          <w:sz w:val="24"/>
          <w:szCs w:val="24"/>
        </w:rPr>
        <w:t xml:space="preserve">, L. D., </w:t>
      </w:r>
      <w:proofErr w:type="spellStart"/>
      <w:r w:rsidRPr="003D711B">
        <w:rPr>
          <w:rFonts w:ascii="Times New Roman" w:eastAsia="Times New Roman" w:hAnsi="Times New Roman" w:cs="Times New Roman"/>
          <w:sz w:val="24"/>
          <w:szCs w:val="24"/>
        </w:rPr>
        <w:t>Boulger</w:t>
      </w:r>
      <w:proofErr w:type="spellEnd"/>
      <w:r w:rsidRPr="003D711B">
        <w:rPr>
          <w:rFonts w:ascii="Times New Roman" w:eastAsia="Times New Roman" w:hAnsi="Times New Roman" w:cs="Times New Roman"/>
          <w:sz w:val="24"/>
          <w:szCs w:val="24"/>
        </w:rPr>
        <w:t xml:space="preserve">, C. T., &amp; </w:t>
      </w:r>
      <w:proofErr w:type="spellStart"/>
      <w:r w:rsidRPr="003D711B">
        <w:rPr>
          <w:rFonts w:ascii="Times New Roman" w:eastAsia="Times New Roman" w:hAnsi="Times New Roman" w:cs="Times New Roman"/>
          <w:sz w:val="24"/>
          <w:szCs w:val="24"/>
        </w:rPr>
        <w:t>Bahner</w:t>
      </w:r>
      <w:proofErr w:type="spellEnd"/>
      <w:r w:rsidRPr="003D711B">
        <w:rPr>
          <w:rFonts w:ascii="Times New Roman" w:eastAsia="Times New Roman" w:hAnsi="Times New Roman" w:cs="Times New Roman"/>
          <w:sz w:val="24"/>
          <w:szCs w:val="24"/>
        </w:rPr>
        <w:t xml:space="preserve">, D. P. (2019). </w:t>
      </w:r>
      <w:proofErr w:type="gramStart"/>
      <w:r w:rsidRPr="003D711B">
        <w:rPr>
          <w:rFonts w:ascii="Times New Roman" w:eastAsia="Times New Roman" w:hAnsi="Times New Roman" w:cs="Times New Roman"/>
          <w:sz w:val="24"/>
          <w:szCs w:val="24"/>
        </w:rPr>
        <w:t>CLEAR:</w:t>
      </w:r>
      <w:proofErr w:type="gramEnd"/>
      <w:r w:rsidRPr="003D711B">
        <w:rPr>
          <w:rFonts w:ascii="Times New Roman" w:eastAsia="Times New Roman" w:hAnsi="Times New Roman" w:cs="Times New Roman"/>
          <w:sz w:val="24"/>
          <w:szCs w:val="24"/>
        </w:rPr>
        <w:t xml:space="preserve"> A Novel Approach to Ultrasound Equipment Homeostasis. </w:t>
      </w:r>
      <w:r w:rsidRPr="003D711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Ultrasound in Medicine</w:t>
      </w:r>
      <w:r w:rsidRPr="003D71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D711B">
        <w:rPr>
          <w:rFonts w:ascii="Times New Roman" w:eastAsia="Times New Roman" w:hAnsi="Times New Roman" w:cs="Times New Roman"/>
          <w:i/>
          <w:iCs/>
          <w:sz w:val="24"/>
          <w:szCs w:val="24"/>
        </w:rPr>
        <w:t>38</w:t>
      </w:r>
      <w:r w:rsidRPr="003D711B">
        <w:rPr>
          <w:rFonts w:ascii="Times New Roman" w:eastAsia="Times New Roman" w:hAnsi="Times New Roman" w:cs="Times New Roman"/>
          <w:sz w:val="24"/>
          <w:szCs w:val="24"/>
        </w:rPr>
        <w:t xml:space="preserve">(3), 767-773. </w:t>
      </w:r>
      <w:hyperlink r:id="rId14" w:history="1">
        <w:r w:rsidRPr="00490C4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https://doi.org/10.1002/jum.14757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46D88" w:rsidRPr="003D711B" w:rsidRDefault="00646D88" w:rsidP="00646D88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46D88">
        <w:rPr>
          <w:rFonts w:ascii="Times New Roman" w:eastAsia="Times New Roman" w:hAnsi="Times New Roman" w:cs="Times New Roman"/>
          <w:sz w:val="24"/>
          <w:szCs w:val="24"/>
        </w:rPr>
        <w:t>Westerway</w:t>
      </w:r>
      <w:proofErr w:type="spellEnd"/>
      <w:r w:rsidRPr="00646D88">
        <w:rPr>
          <w:rFonts w:ascii="Times New Roman" w:eastAsia="Times New Roman" w:hAnsi="Times New Roman" w:cs="Times New Roman"/>
          <w:sz w:val="24"/>
          <w:szCs w:val="24"/>
        </w:rPr>
        <w:t xml:space="preserve">, S. C., &amp; </w:t>
      </w:r>
      <w:proofErr w:type="spellStart"/>
      <w:r w:rsidRPr="00646D88">
        <w:rPr>
          <w:rFonts w:ascii="Times New Roman" w:eastAsia="Times New Roman" w:hAnsi="Times New Roman" w:cs="Times New Roman"/>
          <w:sz w:val="24"/>
          <w:szCs w:val="24"/>
        </w:rPr>
        <w:t>Basseal</w:t>
      </w:r>
      <w:proofErr w:type="spellEnd"/>
      <w:r w:rsidRPr="00646D88">
        <w:rPr>
          <w:rFonts w:ascii="Times New Roman" w:eastAsia="Times New Roman" w:hAnsi="Times New Roman" w:cs="Times New Roman"/>
          <w:sz w:val="24"/>
          <w:szCs w:val="24"/>
        </w:rPr>
        <w:t>, J. M. (201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46D88">
        <w:rPr>
          <w:rFonts w:ascii="Times New Roman" w:eastAsia="Times New Roman" w:hAnsi="Times New Roman" w:cs="Times New Roman"/>
          <w:sz w:val="24"/>
          <w:szCs w:val="24"/>
        </w:rPr>
        <w:t xml:space="preserve">). The ultrasound unit and infection control – Are we on the right track? </w:t>
      </w:r>
      <w:r w:rsidRPr="00646D88">
        <w:rPr>
          <w:rFonts w:ascii="Times New Roman" w:eastAsia="Times New Roman" w:hAnsi="Times New Roman" w:cs="Times New Roman"/>
          <w:i/>
          <w:iCs/>
          <w:sz w:val="24"/>
          <w:szCs w:val="24"/>
        </w:rPr>
        <w:t>Ultrasound: Journal of the British Medical Ultrasound Society</w:t>
      </w:r>
      <w:r w:rsidRPr="00646D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46D88">
        <w:rPr>
          <w:rFonts w:ascii="Times New Roman" w:eastAsia="Times New Roman" w:hAnsi="Times New Roman" w:cs="Times New Roman"/>
          <w:i/>
          <w:iCs/>
          <w:sz w:val="24"/>
          <w:szCs w:val="24"/>
        </w:rPr>
        <w:t>25</w:t>
      </w:r>
      <w:r w:rsidRPr="00646D88">
        <w:rPr>
          <w:rFonts w:ascii="Times New Roman" w:eastAsia="Times New Roman" w:hAnsi="Times New Roman" w:cs="Times New Roman"/>
          <w:sz w:val="24"/>
          <w:szCs w:val="24"/>
        </w:rPr>
        <w:t xml:space="preserve">(1), 53-57. </w:t>
      </w:r>
      <w:hyperlink r:id="rId15" w:history="1">
        <w:r w:rsidRPr="00490C4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https://doi.org/10.1177/1742271X16688720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646D88" w:rsidRPr="003D71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8F5"/>
    <w:rsid w:val="00151BE5"/>
    <w:rsid w:val="00181E34"/>
    <w:rsid w:val="001D2ED5"/>
    <w:rsid w:val="002075DF"/>
    <w:rsid w:val="0023521D"/>
    <w:rsid w:val="002A265A"/>
    <w:rsid w:val="002E5563"/>
    <w:rsid w:val="003D711B"/>
    <w:rsid w:val="004D38F5"/>
    <w:rsid w:val="004F338F"/>
    <w:rsid w:val="00527EAD"/>
    <w:rsid w:val="005B0376"/>
    <w:rsid w:val="00646D88"/>
    <w:rsid w:val="006D5A83"/>
    <w:rsid w:val="006E3824"/>
    <w:rsid w:val="0072270C"/>
    <w:rsid w:val="007344AC"/>
    <w:rsid w:val="007A3809"/>
    <w:rsid w:val="007D7B79"/>
    <w:rsid w:val="007E17A3"/>
    <w:rsid w:val="007E503D"/>
    <w:rsid w:val="008D0DF2"/>
    <w:rsid w:val="009434B9"/>
    <w:rsid w:val="009D037A"/>
    <w:rsid w:val="009D1EFD"/>
    <w:rsid w:val="00A34B8E"/>
    <w:rsid w:val="00A67188"/>
    <w:rsid w:val="00B01D0E"/>
    <w:rsid w:val="00B03264"/>
    <w:rsid w:val="00B3706F"/>
    <w:rsid w:val="00B96051"/>
    <w:rsid w:val="00BA5440"/>
    <w:rsid w:val="00BC344A"/>
    <w:rsid w:val="00C0718E"/>
    <w:rsid w:val="00C1053A"/>
    <w:rsid w:val="00C44E86"/>
    <w:rsid w:val="00C4695A"/>
    <w:rsid w:val="00CC37F2"/>
    <w:rsid w:val="00CD70A3"/>
    <w:rsid w:val="00D27614"/>
    <w:rsid w:val="00D32D79"/>
    <w:rsid w:val="00D3693A"/>
    <w:rsid w:val="00D370F3"/>
    <w:rsid w:val="00DC7994"/>
    <w:rsid w:val="00E05062"/>
    <w:rsid w:val="00F64243"/>
    <w:rsid w:val="00F95D16"/>
    <w:rsid w:val="00FB6ABF"/>
    <w:rsid w:val="00FD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D30B7"/>
  <w15:chartTrackingRefBased/>
  <w15:docId w15:val="{CD1A0357-F3DC-41C6-96EB-805E68B20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55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9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4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medicines8090046" TargetMode="External"/><Relationship Id="rId13" Type="http://schemas.openxmlformats.org/officeDocument/2006/relationships/hyperlink" Target="https://doi.org/10.1186/s13089-021-00244-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590/S1679-45082018AO4146" TargetMode="External"/><Relationship Id="rId12" Type="http://schemas.openxmlformats.org/officeDocument/2006/relationships/hyperlink" Target="https://doi.org/10.5492/wjccm.v10.i5.20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i.org/10.1111/jocn.16215" TargetMode="External"/><Relationship Id="rId11" Type="http://schemas.openxmlformats.org/officeDocument/2006/relationships/hyperlink" Target="https://doi.org/10.1002/ajum.12205" TargetMode="External"/><Relationship Id="rId5" Type="http://schemas.openxmlformats.org/officeDocument/2006/relationships/hyperlink" Target="https://www.ncbi.nlm.nih.gov/pmc/articles/PMC5521294/" TargetMode="External"/><Relationship Id="rId15" Type="http://schemas.openxmlformats.org/officeDocument/2006/relationships/hyperlink" Target="https://doi.org/10.1177/1742271X16688720" TargetMode="External"/><Relationship Id="rId10" Type="http://schemas.openxmlformats.org/officeDocument/2006/relationships/hyperlink" Target="https://doi.org/10.1055/s-0040-1721443" TargetMode="External"/><Relationship Id="rId4" Type="http://schemas.openxmlformats.org/officeDocument/2006/relationships/hyperlink" Target="https://doi.org/10.1186/s12912-023-01460-0" TargetMode="External"/><Relationship Id="rId9" Type="http://schemas.openxmlformats.org/officeDocument/2006/relationships/hyperlink" Target="https://doi.org/10.4103/2229-516X.125694" TargetMode="External"/><Relationship Id="rId14" Type="http://schemas.openxmlformats.org/officeDocument/2006/relationships/hyperlink" Target="https://doi.org/10.1002/jum.14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2023-11-24T21:44:00Z</dcterms:created>
  <dcterms:modified xsi:type="dcterms:W3CDTF">2023-11-24T23:11:00Z</dcterms:modified>
</cp:coreProperties>
</file>