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B43" w:rsidRDefault="005E5B43" w:rsidP="009D6F64">
      <w:pPr>
        <w:spacing w:after="0" w:line="480" w:lineRule="auto"/>
        <w:jc w:val="center"/>
        <w:rPr>
          <w:rFonts w:ascii="Times New Roman" w:hAnsi="Times New Roman" w:cs="Times New Roman"/>
          <w:b/>
          <w:sz w:val="24"/>
          <w:szCs w:val="24"/>
        </w:rPr>
      </w:pPr>
    </w:p>
    <w:p w:rsidR="005E5B43" w:rsidRDefault="005E5B43" w:rsidP="009D6F64">
      <w:pPr>
        <w:spacing w:after="0" w:line="480" w:lineRule="auto"/>
        <w:jc w:val="center"/>
        <w:rPr>
          <w:rFonts w:ascii="Times New Roman" w:hAnsi="Times New Roman" w:cs="Times New Roman"/>
          <w:b/>
          <w:sz w:val="24"/>
          <w:szCs w:val="24"/>
        </w:rPr>
      </w:pPr>
    </w:p>
    <w:p w:rsidR="005E5B43" w:rsidRDefault="005E5B43" w:rsidP="009D6F64">
      <w:pPr>
        <w:spacing w:after="0" w:line="480" w:lineRule="auto"/>
        <w:jc w:val="center"/>
        <w:rPr>
          <w:rFonts w:ascii="Times New Roman" w:hAnsi="Times New Roman" w:cs="Times New Roman"/>
          <w:b/>
          <w:sz w:val="24"/>
          <w:szCs w:val="24"/>
        </w:rPr>
      </w:pPr>
    </w:p>
    <w:p w:rsidR="005E5B43" w:rsidRDefault="005E5B43" w:rsidP="009D6F64">
      <w:pPr>
        <w:spacing w:after="0" w:line="480" w:lineRule="auto"/>
        <w:jc w:val="center"/>
        <w:rPr>
          <w:rFonts w:ascii="Times New Roman" w:hAnsi="Times New Roman" w:cs="Times New Roman"/>
          <w:b/>
          <w:sz w:val="24"/>
          <w:szCs w:val="24"/>
        </w:rPr>
      </w:pPr>
    </w:p>
    <w:p w:rsidR="005E5B43" w:rsidRDefault="005E5B43" w:rsidP="009D6F64">
      <w:pPr>
        <w:spacing w:after="0" w:line="480" w:lineRule="auto"/>
        <w:jc w:val="center"/>
        <w:rPr>
          <w:rFonts w:ascii="Times New Roman" w:hAnsi="Times New Roman" w:cs="Times New Roman"/>
          <w:b/>
          <w:sz w:val="24"/>
          <w:szCs w:val="24"/>
        </w:rPr>
      </w:pPr>
    </w:p>
    <w:p w:rsidR="005E5B43" w:rsidRDefault="005E5B43" w:rsidP="009D6F64">
      <w:pPr>
        <w:spacing w:after="0" w:line="480" w:lineRule="auto"/>
        <w:jc w:val="center"/>
        <w:rPr>
          <w:rFonts w:ascii="Times New Roman" w:hAnsi="Times New Roman" w:cs="Times New Roman"/>
          <w:b/>
          <w:sz w:val="24"/>
          <w:szCs w:val="24"/>
        </w:rPr>
      </w:pPr>
    </w:p>
    <w:p w:rsidR="005E5B43" w:rsidRDefault="005E5B43" w:rsidP="009D6F64">
      <w:pPr>
        <w:spacing w:after="0" w:line="480" w:lineRule="auto"/>
        <w:jc w:val="center"/>
        <w:rPr>
          <w:rFonts w:ascii="Times New Roman" w:hAnsi="Times New Roman" w:cs="Times New Roman"/>
          <w:b/>
          <w:sz w:val="24"/>
          <w:szCs w:val="24"/>
        </w:rPr>
      </w:pPr>
    </w:p>
    <w:p w:rsidR="005E5B43" w:rsidRDefault="005E5B43" w:rsidP="009D6F64">
      <w:pPr>
        <w:spacing w:after="0" w:line="480" w:lineRule="auto"/>
        <w:jc w:val="center"/>
        <w:rPr>
          <w:rFonts w:ascii="Times New Roman" w:hAnsi="Times New Roman" w:cs="Times New Roman"/>
          <w:b/>
          <w:sz w:val="24"/>
          <w:szCs w:val="24"/>
        </w:rPr>
      </w:pPr>
    </w:p>
    <w:p w:rsidR="009D6F64" w:rsidRDefault="005E5B43" w:rsidP="009D6F6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Week 8 Journal Entry: Midterm</w:t>
      </w:r>
    </w:p>
    <w:p w:rsidR="00B63C54" w:rsidRDefault="00B63C54" w:rsidP="009D6F64">
      <w:pPr>
        <w:spacing w:after="0" w:line="480" w:lineRule="auto"/>
        <w:jc w:val="center"/>
        <w:rPr>
          <w:rFonts w:ascii="Times New Roman" w:hAnsi="Times New Roman" w:cs="Times New Roman"/>
          <w:b/>
          <w:sz w:val="24"/>
          <w:szCs w:val="24"/>
        </w:rPr>
      </w:pPr>
    </w:p>
    <w:p w:rsidR="00B63C54" w:rsidRDefault="00B63C54" w:rsidP="009D6F6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B63C54" w:rsidRDefault="00B63C54" w:rsidP="009D6F6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School Affiliation</w:t>
      </w:r>
    </w:p>
    <w:p w:rsidR="00B63C54" w:rsidRDefault="00B63C54" w:rsidP="009D6F6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B63C54" w:rsidRDefault="00B63C54" w:rsidP="009D6F6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B63C54" w:rsidRDefault="00B63C54" w:rsidP="009D6F6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 Due</w:t>
      </w:r>
    </w:p>
    <w:p w:rsidR="00B63C54" w:rsidRDefault="00B63C54">
      <w:pPr>
        <w:rPr>
          <w:rFonts w:ascii="Times New Roman" w:hAnsi="Times New Roman" w:cs="Times New Roman"/>
          <w:sz w:val="24"/>
          <w:szCs w:val="24"/>
        </w:rPr>
      </w:pPr>
      <w:r>
        <w:rPr>
          <w:rFonts w:ascii="Times New Roman" w:hAnsi="Times New Roman" w:cs="Times New Roman"/>
          <w:sz w:val="24"/>
          <w:szCs w:val="24"/>
        </w:rPr>
        <w:br w:type="page"/>
      </w:r>
    </w:p>
    <w:p w:rsidR="00B63C54" w:rsidRPr="00B63C54" w:rsidRDefault="00B63C54" w:rsidP="009D6F64">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Week 8 Journal Entry: Midterm</w:t>
      </w:r>
    </w:p>
    <w:p w:rsidR="00A67188" w:rsidRDefault="00C47970" w:rsidP="009939A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07579">
        <w:rPr>
          <w:rFonts w:ascii="Times New Roman" w:hAnsi="Times New Roman" w:cs="Times New Roman"/>
          <w:sz w:val="24"/>
          <w:szCs w:val="24"/>
        </w:rPr>
        <w:t>Competence and confidence across different aspects of the nursing process plays a crucial rol</w:t>
      </w:r>
      <w:bookmarkStart w:id="0" w:name="_GoBack"/>
      <w:bookmarkEnd w:id="0"/>
      <w:r w:rsidR="00D07579">
        <w:rPr>
          <w:rFonts w:ascii="Times New Roman" w:hAnsi="Times New Roman" w:cs="Times New Roman"/>
          <w:sz w:val="24"/>
          <w:szCs w:val="24"/>
        </w:rPr>
        <w:t xml:space="preserve">e in providing safe and quality care. Notably, nurses should portray confidence in accomplish a physical assessment </w:t>
      </w:r>
      <w:r w:rsidR="007F2216">
        <w:rPr>
          <w:rFonts w:ascii="Times New Roman" w:hAnsi="Times New Roman" w:cs="Times New Roman"/>
          <w:sz w:val="24"/>
          <w:szCs w:val="24"/>
        </w:rPr>
        <w:t xml:space="preserve">of different body systems to make a correct diagnosis. However, </w:t>
      </w:r>
      <w:proofErr w:type="spellStart"/>
      <w:r w:rsidR="001E0889">
        <w:rPr>
          <w:rFonts w:ascii="Times New Roman" w:hAnsi="Times New Roman" w:cs="Times New Roman"/>
          <w:sz w:val="24"/>
          <w:szCs w:val="24"/>
        </w:rPr>
        <w:t>Alamri</w:t>
      </w:r>
      <w:proofErr w:type="spellEnd"/>
      <w:r w:rsidR="001E0889">
        <w:rPr>
          <w:rFonts w:ascii="Times New Roman" w:hAnsi="Times New Roman" w:cs="Times New Roman"/>
          <w:sz w:val="24"/>
          <w:szCs w:val="24"/>
        </w:rPr>
        <w:t xml:space="preserve"> and </w:t>
      </w:r>
      <w:proofErr w:type="spellStart"/>
      <w:r w:rsidR="001E0889">
        <w:rPr>
          <w:rFonts w:ascii="Times New Roman" w:hAnsi="Times New Roman" w:cs="Times New Roman"/>
          <w:sz w:val="24"/>
          <w:szCs w:val="24"/>
        </w:rPr>
        <w:t>Almazan</w:t>
      </w:r>
      <w:proofErr w:type="spellEnd"/>
      <w:r w:rsidR="001E0889">
        <w:rPr>
          <w:rFonts w:ascii="Times New Roman" w:hAnsi="Times New Roman" w:cs="Times New Roman"/>
          <w:sz w:val="24"/>
          <w:szCs w:val="24"/>
        </w:rPr>
        <w:t xml:space="preserve"> (2018) </w:t>
      </w:r>
      <w:r w:rsidR="007F2216">
        <w:rPr>
          <w:rFonts w:ascii="Times New Roman" w:hAnsi="Times New Roman" w:cs="Times New Roman"/>
          <w:sz w:val="24"/>
          <w:szCs w:val="24"/>
        </w:rPr>
        <w:t>iden</w:t>
      </w:r>
      <w:r w:rsidR="0059016E">
        <w:rPr>
          <w:rFonts w:ascii="Times New Roman" w:hAnsi="Times New Roman" w:cs="Times New Roman"/>
          <w:sz w:val="24"/>
          <w:szCs w:val="24"/>
        </w:rPr>
        <w:t>ti</w:t>
      </w:r>
      <w:r w:rsidR="007F2216">
        <w:rPr>
          <w:rFonts w:ascii="Times New Roman" w:hAnsi="Times New Roman" w:cs="Times New Roman"/>
          <w:sz w:val="24"/>
          <w:szCs w:val="24"/>
        </w:rPr>
        <w:t>fied</w:t>
      </w:r>
      <w:r w:rsidR="0059016E">
        <w:rPr>
          <w:rFonts w:ascii="Times New Roman" w:hAnsi="Times New Roman" w:cs="Times New Roman"/>
          <w:sz w:val="24"/>
          <w:szCs w:val="24"/>
        </w:rPr>
        <w:t xml:space="preserve"> the</w:t>
      </w:r>
      <w:r w:rsidR="007F2216">
        <w:rPr>
          <w:rFonts w:ascii="Times New Roman" w:hAnsi="Times New Roman" w:cs="Times New Roman"/>
          <w:sz w:val="24"/>
          <w:szCs w:val="24"/>
        </w:rPr>
        <w:t xml:space="preserve"> </w:t>
      </w:r>
      <w:r w:rsidR="0059016E">
        <w:rPr>
          <w:rFonts w:ascii="Times New Roman" w:hAnsi="Times New Roman" w:cs="Times New Roman"/>
          <w:sz w:val="24"/>
          <w:szCs w:val="24"/>
        </w:rPr>
        <w:t>l</w:t>
      </w:r>
      <w:r w:rsidR="007F2216">
        <w:rPr>
          <w:rFonts w:ascii="Times New Roman" w:hAnsi="Times New Roman" w:cs="Times New Roman"/>
          <w:sz w:val="24"/>
          <w:szCs w:val="24"/>
        </w:rPr>
        <w:t>ack of confidence</w:t>
      </w:r>
      <w:r w:rsidR="0059016E">
        <w:rPr>
          <w:rFonts w:ascii="Times New Roman" w:hAnsi="Times New Roman" w:cs="Times New Roman"/>
          <w:sz w:val="24"/>
          <w:szCs w:val="24"/>
        </w:rPr>
        <w:t xml:space="preserve">, adequate preparation, and support as some of the barriers to a successful head-to-toe assessment. The half of the course has imparted significant knowledge and skills, which have increased my confidence in physical assessment. In this regard, this reflective paper describes my experience with physical assessment over the </w:t>
      </w:r>
      <w:r w:rsidR="00B7542E">
        <w:rPr>
          <w:rFonts w:ascii="Times New Roman" w:hAnsi="Times New Roman" w:cs="Times New Roman"/>
          <w:sz w:val="24"/>
          <w:szCs w:val="24"/>
        </w:rPr>
        <w:t xml:space="preserve">first half of the course. It will highlight my experience with different patient groups (pediatric, adult, and geriatric), share the exciting aspects of my skill practice, the areas I found challenging, and </w:t>
      </w:r>
      <w:r w:rsidR="009939AC">
        <w:rPr>
          <w:rFonts w:ascii="Times New Roman" w:hAnsi="Times New Roman" w:cs="Times New Roman"/>
          <w:sz w:val="24"/>
          <w:szCs w:val="24"/>
        </w:rPr>
        <w:t xml:space="preserve">approaches to overcoming the challenges. </w:t>
      </w:r>
    </w:p>
    <w:p w:rsidR="009939AC" w:rsidRDefault="009939AC" w:rsidP="009939A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57599">
        <w:rPr>
          <w:rFonts w:ascii="Times New Roman" w:hAnsi="Times New Roman" w:cs="Times New Roman"/>
          <w:sz w:val="24"/>
          <w:szCs w:val="24"/>
        </w:rPr>
        <w:t xml:space="preserve">The first half of the course involved the physical assessment of different body systems, including the skin, HEENT, </w:t>
      </w:r>
      <w:r w:rsidR="006E6E30">
        <w:rPr>
          <w:rFonts w:ascii="Times New Roman" w:hAnsi="Times New Roman" w:cs="Times New Roman"/>
          <w:sz w:val="24"/>
          <w:szCs w:val="24"/>
        </w:rPr>
        <w:t xml:space="preserve">cardiovascular, and respiratory systems. From the </w:t>
      </w:r>
      <w:r w:rsidR="009266D5">
        <w:rPr>
          <w:rFonts w:ascii="Times New Roman" w:hAnsi="Times New Roman" w:cs="Times New Roman"/>
          <w:sz w:val="24"/>
          <w:szCs w:val="24"/>
        </w:rPr>
        <w:t>start</w:t>
      </w:r>
      <w:r w:rsidR="006E6E30">
        <w:rPr>
          <w:rFonts w:ascii="Times New Roman" w:hAnsi="Times New Roman" w:cs="Times New Roman"/>
          <w:sz w:val="24"/>
          <w:szCs w:val="24"/>
        </w:rPr>
        <w:t xml:space="preserve">, I understood the importance of aligning </w:t>
      </w:r>
      <w:r w:rsidR="009266D5">
        <w:rPr>
          <w:rFonts w:ascii="Times New Roman" w:hAnsi="Times New Roman" w:cs="Times New Roman"/>
          <w:sz w:val="24"/>
          <w:szCs w:val="24"/>
        </w:rPr>
        <w:t xml:space="preserve">the focused assessment with the patient history. As </w:t>
      </w:r>
      <w:r w:rsidR="009266D5" w:rsidRPr="001E0889">
        <w:rPr>
          <w:rFonts w:ascii="Times New Roman" w:hAnsi="Times New Roman" w:cs="Times New Roman"/>
          <w:sz w:val="24"/>
          <w:szCs w:val="24"/>
        </w:rPr>
        <w:t xml:space="preserve">Fontenot et al. (2022) noted, </w:t>
      </w:r>
      <w:r w:rsidR="009266D5">
        <w:rPr>
          <w:rFonts w:ascii="Times New Roman" w:hAnsi="Times New Roman" w:cs="Times New Roman"/>
          <w:sz w:val="24"/>
          <w:szCs w:val="24"/>
        </w:rPr>
        <w:t xml:space="preserve">the patient’s history of presenting illness informs physical assessment by providing </w:t>
      </w:r>
      <w:r w:rsidR="00625026">
        <w:rPr>
          <w:rFonts w:ascii="Times New Roman" w:hAnsi="Times New Roman" w:cs="Times New Roman"/>
          <w:sz w:val="24"/>
          <w:szCs w:val="24"/>
        </w:rPr>
        <w:t xml:space="preserve">insights into the affected system(s). </w:t>
      </w:r>
      <w:r w:rsidR="00050660">
        <w:rPr>
          <w:rFonts w:ascii="Times New Roman" w:hAnsi="Times New Roman" w:cs="Times New Roman"/>
          <w:sz w:val="24"/>
          <w:szCs w:val="24"/>
        </w:rPr>
        <w:t xml:space="preserve">Therefore, each of the assessments started with a comprehensive history taking to gain information about the subjective patient experiences of their conditions. </w:t>
      </w:r>
      <w:r w:rsidR="00AB1C43">
        <w:rPr>
          <w:rFonts w:ascii="Times New Roman" w:hAnsi="Times New Roman" w:cs="Times New Roman"/>
          <w:sz w:val="24"/>
          <w:szCs w:val="24"/>
        </w:rPr>
        <w:t>The course provided a significant knowledge base</w:t>
      </w:r>
      <w:r w:rsidR="00532B7A">
        <w:rPr>
          <w:rFonts w:ascii="Times New Roman" w:hAnsi="Times New Roman" w:cs="Times New Roman"/>
          <w:sz w:val="24"/>
          <w:szCs w:val="24"/>
        </w:rPr>
        <w:t xml:space="preserve"> that has</w:t>
      </w:r>
      <w:r w:rsidR="006F3EF3">
        <w:rPr>
          <w:rFonts w:ascii="Times New Roman" w:hAnsi="Times New Roman" w:cs="Times New Roman"/>
          <w:sz w:val="24"/>
          <w:szCs w:val="24"/>
        </w:rPr>
        <w:t xml:space="preserve"> positively affected my confidence in physical assessment. While I have gained familiarity with the systems, I still find </w:t>
      </w:r>
      <w:r w:rsidR="00412B1B">
        <w:rPr>
          <w:rFonts w:ascii="Times New Roman" w:hAnsi="Times New Roman" w:cs="Times New Roman"/>
          <w:sz w:val="24"/>
          <w:szCs w:val="24"/>
        </w:rPr>
        <w:t xml:space="preserve">believe I require more confidence in respiratory assessment. </w:t>
      </w:r>
      <w:r w:rsidR="00942CD5">
        <w:rPr>
          <w:rFonts w:ascii="Times New Roman" w:hAnsi="Times New Roman" w:cs="Times New Roman"/>
          <w:sz w:val="24"/>
          <w:szCs w:val="24"/>
        </w:rPr>
        <w:t>As supported by evidence (</w:t>
      </w:r>
      <w:r w:rsidR="0065725C">
        <w:rPr>
          <w:rFonts w:ascii="Times New Roman" w:hAnsi="Times New Roman" w:cs="Times New Roman"/>
          <w:sz w:val="24"/>
          <w:szCs w:val="24"/>
        </w:rPr>
        <w:t xml:space="preserve">Lim et al., 2020; </w:t>
      </w:r>
      <w:r w:rsidR="001E0889">
        <w:rPr>
          <w:rFonts w:ascii="Times New Roman" w:hAnsi="Times New Roman" w:cs="Times New Roman"/>
          <w:sz w:val="24"/>
          <w:szCs w:val="24"/>
        </w:rPr>
        <w:t>Liu et al., 2020</w:t>
      </w:r>
      <w:r w:rsidR="00942CD5">
        <w:rPr>
          <w:rFonts w:ascii="Times New Roman" w:hAnsi="Times New Roman" w:cs="Times New Roman"/>
          <w:sz w:val="24"/>
          <w:szCs w:val="24"/>
        </w:rPr>
        <w:t>), many respiratory conditions present with overlapping symptoms</w:t>
      </w:r>
      <w:r w:rsidR="00C905FB">
        <w:rPr>
          <w:rFonts w:ascii="Times New Roman" w:hAnsi="Times New Roman" w:cs="Times New Roman"/>
          <w:sz w:val="24"/>
          <w:szCs w:val="24"/>
        </w:rPr>
        <w:t xml:space="preserve">. Encountering overlapping symptoms poses a challenge in making a correct diagnosis. </w:t>
      </w:r>
      <w:r w:rsidR="008A6ADF">
        <w:rPr>
          <w:rFonts w:ascii="Times New Roman" w:hAnsi="Times New Roman" w:cs="Times New Roman"/>
          <w:sz w:val="24"/>
          <w:szCs w:val="24"/>
        </w:rPr>
        <w:t xml:space="preserve">In this </w:t>
      </w:r>
      <w:r w:rsidR="008A6ADF">
        <w:rPr>
          <w:rFonts w:ascii="Times New Roman" w:hAnsi="Times New Roman" w:cs="Times New Roman"/>
          <w:sz w:val="24"/>
          <w:szCs w:val="24"/>
        </w:rPr>
        <w:lastRenderedPageBreak/>
        <w:t xml:space="preserve">regard, </w:t>
      </w:r>
      <w:r w:rsidR="0025785F">
        <w:rPr>
          <w:rFonts w:ascii="Times New Roman" w:hAnsi="Times New Roman" w:cs="Times New Roman"/>
          <w:sz w:val="24"/>
          <w:szCs w:val="24"/>
        </w:rPr>
        <w:t xml:space="preserve">I acknowledge the need for confidence in differentiating the symptoms, especially among patients presenting with airflow limitations. </w:t>
      </w:r>
    </w:p>
    <w:p w:rsidR="0025785F" w:rsidRDefault="0025785F" w:rsidP="009939A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 crucial observation over the period was the considerations one should make in accomplishing physical assessment on different patient groups. Pediatric, adult, and geriatric patients may require different approaches. </w:t>
      </w:r>
      <w:r w:rsidR="00F2478B">
        <w:rPr>
          <w:rFonts w:ascii="Times New Roman" w:hAnsi="Times New Roman" w:cs="Times New Roman"/>
          <w:sz w:val="24"/>
          <w:szCs w:val="24"/>
        </w:rPr>
        <w:t>As observed by</w:t>
      </w:r>
      <w:r w:rsidR="0065725C">
        <w:rPr>
          <w:rFonts w:ascii="Times New Roman" w:hAnsi="Times New Roman" w:cs="Times New Roman"/>
          <w:sz w:val="24"/>
          <w:szCs w:val="24"/>
        </w:rPr>
        <w:t xml:space="preserve"> </w:t>
      </w:r>
      <w:proofErr w:type="spellStart"/>
      <w:r w:rsidR="0065725C">
        <w:rPr>
          <w:rFonts w:ascii="Times New Roman" w:hAnsi="Times New Roman" w:cs="Times New Roman"/>
          <w:sz w:val="24"/>
          <w:szCs w:val="24"/>
        </w:rPr>
        <w:t>Ramgopal</w:t>
      </w:r>
      <w:proofErr w:type="spellEnd"/>
      <w:r w:rsidR="0065725C">
        <w:rPr>
          <w:rFonts w:ascii="Times New Roman" w:hAnsi="Times New Roman" w:cs="Times New Roman"/>
          <w:sz w:val="24"/>
          <w:szCs w:val="24"/>
        </w:rPr>
        <w:t xml:space="preserve"> et al. (2018)</w:t>
      </w:r>
      <w:r w:rsidR="00F2478B">
        <w:rPr>
          <w:rFonts w:ascii="Times New Roman" w:hAnsi="Times New Roman" w:cs="Times New Roman"/>
          <w:sz w:val="24"/>
          <w:szCs w:val="24"/>
        </w:rPr>
        <w:t xml:space="preserve">, </w:t>
      </w:r>
      <w:r w:rsidR="006E0BA9">
        <w:rPr>
          <w:rFonts w:ascii="Times New Roman" w:hAnsi="Times New Roman" w:cs="Times New Roman"/>
          <w:sz w:val="24"/>
          <w:szCs w:val="24"/>
        </w:rPr>
        <w:t>many clinicians do not complete the documentation of all relevant information about pediatric patients</w:t>
      </w:r>
      <w:r w:rsidR="00707D06">
        <w:rPr>
          <w:rFonts w:ascii="Times New Roman" w:hAnsi="Times New Roman" w:cs="Times New Roman"/>
          <w:sz w:val="24"/>
          <w:szCs w:val="24"/>
        </w:rPr>
        <w:t xml:space="preserve">, including pain scores and respiratory complaints. The challenge could be associated with the inability of children to express their symptoms accurately and articulately. In this regard, I appreciated the importance of collaborating with parents and caregivers as a source of initial information. Indeed, research </w:t>
      </w:r>
      <w:r w:rsidR="004A6D1C">
        <w:rPr>
          <w:rFonts w:ascii="Times New Roman" w:hAnsi="Times New Roman" w:cs="Times New Roman"/>
          <w:sz w:val="24"/>
          <w:szCs w:val="24"/>
        </w:rPr>
        <w:t>emphasizes the importance of nurse-parent partnership in improving care for pediatric patients (</w:t>
      </w:r>
      <w:proofErr w:type="spellStart"/>
      <w:r w:rsidR="00C27A4B">
        <w:rPr>
          <w:rFonts w:ascii="Times New Roman" w:hAnsi="Times New Roman" w:cs="Times New Roman"/>
          <w:sz w:val="24"/>
          <w:szCs w:val="24"/>
        </w:rPr>
        <w:t>Yoo</w:t>
      </w:r>
      <w:proofErr w:type="spellEnd"/>
      <w:r w:rsidR="00C27A4B">
        <w:rPr>
          <w:rFonts w:ascii="Times New Roman" w:hAnsi="Times New Roman" w:cs="Times New Roman"/>
          <w:sz w:val="24"/>
          <w:szCs w:val="24"/>
        </w:rPr>
        <w:t xml:space="preserve"> &amp; Cho, 2020</w:t>
      </w:r>
      <w:r w:rsidR="004A6D1C">
        <w:rPr>
          <w:rFonts w:ascii="Times New Roman" w:hAnsi="Times New Roman" w:cs="Times New Roman"/>
          <w:sz w:val="24"/>
          <w:szCs w:val="24"/>
        </w:rPr>
        <w:t xml:space="preserve">). </w:t>
      </w:r>
      <w:r w:rsidR="00795FA6">
        <w:rPr>
          <w:rFonts w:ascii="Times New Roman" w:hAnsi="Times New Roman" w:cs="Times New Roman"/>
          <w:sz w:val="24"/>
          <w:szCs w:val="24"/>
        </w:rPr>
        <w:t>Besides, the exposure revealed that children could present with different symptoms from those manifesting in adult an</w:t>
      </w:r>
      <w:r w:rsidR="001B0994">
        <w:rPr>
          <w:rFonts w:ascii="Times New Roman" w:hAnsi="Times New Roman" w:cs="Times New Roman"/>
          <w:sz w:val="24"/>
          <w:szCs w:val="24"/>
        </w:rPr>
        <w:t>d geriatric patients. I</w:t>
      </w:r>
      <w:r w:rsidR="00795FA6">
        <w:rPr>
          <w:rFonts w:ascii="Times New Roman" w:hAnsi="Times New Roman" w:cs="Times New Roman"/>
          <w:sz w:val="24"/>
          <w:szCs w:val="24"/>
        </w:rPr>
        <w:t xml:space="preserve">t is essential to </w:t>
      </w:r>
      <w:r w:rsidR="009347A0">
        <w:rPr>
          <w:rFonts w:ascii="Times New Roman" w:hAnsi="Times New Roman" w:cs="Times New Roman"/>
          <w:sz w:val="24"/>
          <w:szCs w:val="24"/>
        </w:rPr>
        <w:t>consider such information when conducting a physical assessment aimed at confirming a hypothesized diagnosis.</w:t>
      </w:r>
      <w:r w:rsidR="00795FA6">
        <w:rPr>
          <w:rFonts w:ascii="Times New Roman" w:hAnsi="Times New Roman" w:cs="Times New Roman"/>
          <w:sz w:val="24"/>
          <w:szCs w:val="24"/>
        </w:rPr>
        <w:t xml:space="preserve"> </w:t>
      </w:r>
      <w:r w:rsidR="001B0994">
        <w:rPr>
          <w:rFonts w:ascii="Times New Roman" w:hAnsi="Times New Roman" w:cs="Times New Roman"/>
          <w:sz w:val="24"/>
          <w:szCs w:val="24"/>
        </w:rPr>
        <w:t xml:space="preserve">While all patient groups should receive information about the importance of each aspect of the assessment, I acknowledged the importance of </w:t>
      </w:r>
      <w:r w:rsidR="00AC1AED">
        <w:rPr>
          <w:rFonts w:ascii="Times New Roman" w:hAnsi="Times New Roman" w:cs="Times New Roman"/>
          <w:sz w:val="24"/>
          <w:szCs w:val="24"/>
        </w:rPr>
        <w:t xml:space="preserve">using age-appropriate language. </w:t>
      </w:r>
      <w:r w:rsidR="00D379A1">
        <w:rPr>
          <w:rFonts w:ascii="Times New Roman" w:hAnsi="Times New Roman" w:cs="Times New Roman"/>
          <w:sz w:val="24"/>
          <w:szCs w:val="24"/>
        </w:rPr>
        <w:t>Tailoring the language for different age groups and developmental stages</w:t>
      </w:r>
      <w:r w:rsidR="005A08C4">
        <w:rPr>
          <w:rFonts w:ascii="Times New Roman" w:hAnsi="Times New Roman" w:cs="Times New Roman"/>
          <w:sz w:val="24"/>
          <w:szCs w:val="24"/>
        </w:rPr>
        <w:t xml:space="preserve"> helps in gaining trust and consenting to assessments (</w:t>
      </w:r>
      <w:proofErr w:type="spellStart"/>
      <w:r w:rsidR="00C27A4B">
        <w:rPr>
          <w:rFonts w:ascii="Times New Roman" w:hAnsi="Times New Roman" w:cs="Times New Roman"/>
          <w:sz w:val="24"/>
          <w:szCs w:val="24"/>
        </w:rPr>
        <w:t>Srinath</w:t>
      </w:r>
      <w:proofErr w:type="spellEnd"/>
      <w:r w:rsidR="00C27A4B">
        <w:rPr>
          <w:rFonts w:ascii="Times New Roman" w:hAnsi="Times New Roman" w:cs="Times New Roman"/>
          <w:sz w:val="24"/>
          <w:szCs w:val="24"/>
        </w:rPr>
        <w:t xml:space="preserve"> et al., 2018</w:t>
      </w:r>
      <w:r w:rsidR="005A08C4">
        <w:rPr>
          <w:rFonts w:ascii="Times New Roman" w:hAnsi="Times New Roman" w:cs="Times New Roman"/>
          <w:sz w:val="24"/>
          <w:szCs w:val="24"/>
        </w:rPr>
        <w:t xml:space="preserve">). </w:t>
      </w:r>
      <w:r w:rsidR="008B52BE">
        <w:rPr>
          <w:rFonts w:ascii="Times New Roman" w:hAnsi="Times New Roman" w:cs="Times New Roman"/>
          <w:sz w:val="24"/>
          <w:szCs w:val="24"/>
        </w:rPr>
        <w:t>I believe these insights will have a significant influence on my future practice by ensuring tailored and individualized approaches that recognize differences across age or patient groups.</w:t>
      </w:r>
    </w:p>
    <w:p w:rsidR="008B52BE" w:rsidRDefault="008B52BE" w:rsidP="009939A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E3ECB">
        <w:rPr>
          <w:rFonts w:ascii="Times New Roman" w:hAnsi="Times New Roman" w:cs="Times New Roman"/>
          <w:sz w:val="24"/>
          <w:szCs w:val="24"/>
        </w:rPr>
        <w:t xml:space="preserve">The journey through the course this far has had exciting and challenging moments. </w:t>
      </w:r>
      <w:r w:rsidR="00980C69">
        <w:rPr>
          <w:rFonts w:ascii="Times New Roman" w:hAnsi="Times New Roman" w:cs="Times New Roman"/>
          <w:sz w:val="24"/>
          <w:szCs w:val="24"/>
        </w:rPr>
        <w:t xml:space="preserve">The most exciting aspects of the skill practice was the hand-on experience in using the theoretical knowledge gained. The exposure this far has been exciting where I have to apply the knowledge to practice. It has been a fulfilling aspect of the learning process to note how physical assessment </w:t>
      </w:r>
      <w:r w:rsidR="00980C69">
        <w:rPr>
          <w:rFonts w:ascii="Times New Roman" w:hAnsi="Times New Roman" w:cs="Times New Roman"/>
          <w:sz w:val="24"/>
          <w:szCs w:val="24"/>
        </w:rPr>
        <w:lastRenderedPageBreak/>
        <w:t xml:space="preserve">contributes to accurate diagnosis and patient care. </w:t>
      </w:r>
      <w:r w:rsidR="007770E6">
        <w:rPr>
          <w:rFonts w:ascii="Times New Roman" w:hAnsi="Times New Roman" w:cs="Times New Roman"/>
          <w:sz w:val="24"/>
          <w:szCs w:val="24"/>
        </w:rPr>
        <w:t xml:space="preserve">Notably, the experiences came from the assessment of adult patients who have substantial health literacy and understanding of different aspects of physical assessment. However, one of the challenging areas was on differentiating between normal and abnormal findings, especially in conditions with overlapping symptoms. I found it challenging to recognize subtle signs of illness and dysfunction that could differentiate between different conditions. </w:t>
      </w:r>
      <w:r w:rsidR="00211EE4">
        <w:rPr>
          <w:rFonts w:ascii="Times New Roman" w:hAnsi="Times New Roman" w:cs="Times New Roman"/>
          <w:sz w:val="24"/>
          <w:szCs w:val="24"/>
        </w:rPr>
        <w:t xml:space="preserve">Notably, this challenge dominated in the physical assessment of pediatric patients. </w:t>
      </w:r>
    </w:p>
    <w:p w:rsidR="008A42BA" w:rsidRDefault="008A42BA" w:rsidP="009939AC">
      <w:pPr>
        <w:spacing w:after="0" w:line="480" w:lineRule="auto"/>
        <w:rPr>
          <w:rFonts w:ascii="Times New Roman" w:hAnsi="Times New Roman" w:cs="Times New Roman"/>
          <w:sz w:val="24"/>
          <w:szCs w:val="24"/>
        </w:rPr>
      </w:pPr>
      <w:r>
        <w:rPr>
          <w:rFonts w:ascii="Times New Roman" w:hAnsi="Times New Roman" w:cs="Times New Roman"/>
          <w:sz w:val="24"/>
          <w:szCs w:val="24"/>
        </w:rPr>
        <w:tab/>
        <w:t>The learning experiences from the course have significantly prepared me for advanced nursing practice. The hands-on experience has laid a foundation for understanding different assessment techniques</w:t>
      </w:r>
      <w:r w:rsidR="00425E10">
        <w:rPr>
          <w:rFonts w:ascii="Times New Roman" w:hAnsi="Times New Roman" w:cs="Times New Roman"/>
          <w:sz w:val="24"/>
          <w:szCs w:val="24"/>
        </w:rPr>
        <w:t xml:space="preserve">, patient communication, and the importance of accurate and comprehensive documentation. While this is the case, I require additional input and efforts to improve my proficiency and efficiency in my performance. </w:t>
      </w:r>
      <w:r w:rsidR="0026631B">
        <w:rPr>
          <w:rFonts w:ascii="Times New Roman" w:hAnsi="Times New Roman" w:cs="Times New Roman"/>
          <w:sz w:val="24"/>
          <w:szCs w:val="24"/>
        </w:rPr>
        <w:t xml:space="preserve">For example, I would require additional exposure to diverse patient populations for a comprehensive understanding of different needs during physical assessment. In addition, </w:t>
      </w:r>
      <w:r w:rsidR="00C7090C">
        <w:rPr>
          <w:rFonts w:ascii="Times New Roman" w:hAnsi="Times New Roman" w:cs="Times New Roman"/>
          <w:sz w:val="24"/>
          <w:szCs w:val="24"/>
        </w:rPr>
        <w:t xml:space="preserve">improvements to my performance would require regular review and reflection of my assessment skills to ensure I practice according to evidence-based clinical guidelines. </w:t>
      </w:r>
      <w:r w:rsidR="00F61270">
        <w:rPr>
          <w:rFonts w:ascii="Times New Roman" w:hAnsi="Times New Roman" w:cs="Times New Roman"/>
          <w:sz w:val="24"/>
          <w:szCs w:val="24"/>
        </w:rPr>
        <w:t>Overcoming the challenges would also require feedback and collaborative efforts. For instance, I should seek constructive feedback and guidance from experienced nurses or instructors to address the areas where I lack confidenc</w:t>
      </w:r>
      <w:r w:rsidR="00B102AE">
        <w:rPr>
          <w:rFonts w:ascii="Times New Roman" w:hAnsi="Times New Roman" w:cs="Times New Roman"/>
          <w:sz w:val="24"/>
          <w:szCs w:val="24"/>
        </w:rPr>
        <w:t>e. Moreover, collaborating with peers through open discussion of challenging cases would help in learning from their experiences. I believe taking the steps would build on the current strengths and address my weaknesses in physical assessment, ultimately improving my proficiency and efficiency as a nurse.</w:t>
      </w:r>
    </w:p>
    <w:p w:rsidR="00B102AE" w:rsidRDefault="00B102AE">
      <w:pPr>
        <w:rPr>
          <w:rFonts w:ascii="Times New Roman" w:hAnsi="Times New Roman" w:cs="Times New Roman"/>
          <w:sz w:val="24"/>
          <w:szCs w:val="24"/>
        </w:rPr>
      </w:pPr>
      <w:r>
        <w:rPr>
          <w:rFonts w:ascii="Times New Roman" w:hAnsi="Times New Roman" w:cs="Times New Roman"/>
          <w:sz w:val="24"/>
          <w:szCs w:val="24"/>
        </w:rPr>
        <w:br w:type="page"/>
      </w:r>
    </w:p>
    <w:p w:rsidR="00B102AE" w:rsidRDefault="00B102AE" w:rsidP="00B102A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9D6F64" w:rsidRDefault="009D6F64" w:rsidP="001E0889">
      <w:pPr>
        <w:spacing w:after="0" w:line="480" w:lineRule="auto"/>
        <w:ind w:left="720" w:hanging="720"/>
        <w:rPr>
          <w:rFonts w:ascii="Times New Roman" w:eastAsia="Times New Roman" w:hAnsi="Times New Roman" w:cs="Times New Roman"/>
          <w:sz w:val="24"/>
          <w:szCs w:val="24"/>
        </w:rPr>
      </w:pPr>
      <w:proofErr w:type="spellStart"/>
      <w:r w:rsidRPr="001E0889">
        <w:rPr>
          <w:rFonts w:ascii="Times New Roman" w:eastAsia="Times New Roman" w:hAnsi="Times New Roman" w:cs="Times New Roman"/>
          <w:sz w:val="24"/>
          <w:szCs w:val="24"/>
        </w:rPr>
        <w:t>Alamri</w:t>
      </w:r>
      <w:proofErr w:type="spellEnd"/>
      <w:r w:rsidRPr="001E0889">
        <w:rPr>
          <w:rFonts w:ascii="Times New Roman" w:eastAsia="Times New Roman" w:hAnsi="Times New Roman" w:cs="Times New Roman"/>
          <w:sz w:val="24"/>
          <w:szCs w:val="24"/>
        </w:rPr>
        <w:t xml:space="preserve">, M. S., &amp; </w:t>
      </w:r>
      <w:proofErr w:type="spellStart"/>
      <w:r w:rsidRPr="001E0889">
        <w:rPr>
          <w:rFonts w:ascii="Times New Roman" w:eastAsia="Times New Roman" w:hAnsi="Times New Roman" w:cs="Times New Roman"/>
          <w:sz w:val="24"/>
          <w:szCs w:val="24"/>
        </w:rPr>
        <w:t>Almazan</w:t>
      </w:r>
      <w:proofErr w:type="spellEnd"/>
      <w:r w:rsidRPr="001E0889">
        <w:rPr>
          <w:rFonts w:ascii="Times New Roman" w:eastAsia="Times New Roman" w:hAnsi="Times New Roman" w:cs="Times New Roman"/>
          <w:sz w:val="24"/>
          <w:szCs w:val="24"/>
        </w:rPr>
        <w:t xml:space="preserve">, J. U. </w:t>
      </w:r>
      <w:r>
        <w:rPr>
          <w:rFonts w:ascii="Times New Roman" w:eastAsia="Times New Roman" w:hAnsi="Times New Roman" w:cs="Times New Roman"/>
          <w:sz w:val="24"/>
          <w:szCs w:val="24"/>
        </w:rPr>
        <w:t xml:space="preserve">(2018). </w:t>
      </w:r>
      <w:r w:rsidRPr="001E0889">
        <w:rPr>
          <w:rFonts w:ascii="Times New Roman" w:eastAsia="Times New Roman" w:hAnsi="Times New Roman" w:cs="Times New Roman"/>
          <w:sz w:val="24"/>
          <w:szCs w:val="24"/>
        </w:rPr>
        <w:t xml:space="preserve">Barriers of physical assessment skills among nursing students in Arab Peninsula. </w:t>
      </w:r>
      <w:r w:rsidRPr="001E0889">
        <w:rPr>
          <w:rFonts w:ascii="Times New Roman" w:eastAsia="Times New Roman" w:hAnsi="Times New Roman" w:cs="Times New Roman"/>
          <w:i/>
          <w:iCs/>
          <w:sz w:val="24"/>
          <w:szCs w:val="24"/>
        </w:rPr>
        <w:t>International Journal of Health Sciences</w:t>
      </w:r>
      <w:r w:rsidRPr="001E0889">
        <w:rPr>
          <w:rFonts w:ascii="Times New Roman" w:eastAsia="Times New Roman" w:hAnsi="Times New Roman" w:cs="Times New Roman"/>
          <w:sz w:val="24"/>
          <w:szCs w:val="24"/>
        </w:rPr>
        <w:t xml:space="preserve">, </w:t>
      </w:r>
      <w:r w:rsidRPr="001E0889">
        <w:rPr>
          <w:rFonts w:ascii="Times New Roman" w:eastAsia="Times New Roman" w:hAnsi="Times New Roman" w:cs="Times New Roman"/>
          <w:i/>
          <w:iCs/>
          <w:sz w:val="24"/>
          <w:szCs w:val="24"/>
        </w:rPr>
        <w:t>12</w:t>
      </w:r>
      <w:r w:rsidRPr="001E0889">
        <w:rPr>
          <w:rFonts w:ascii="Times New Roman" w:eastAsia="Times New Roman" w:hAnsi="Times New Roman" w:cs="Times New Roman"/>
          <w:sz w:val="24"/>
          <w:szCs w:val="24"/>
        </w:rPr>
        <w:t xml:space="preserve">(3), 58-66. </w:t>
      </w:r>
      <w:hyperlink r:id="rId6" w:history="1">
        <w:r w:rsidRPr="00B92284">
          <w:rPr>
            <w:rStyle w:val="Hyperlink"/>
            <w:rFonts w:ascii="Times New Roman" w:eastAsia="Times New Roman" w:hAnsi="Times New Roman" w:cs="Times New Roman"/>
            <w:sz w:val="24"/>
            <w:szCs w:val="24"/>
          </w:rPr>
          <w:t>https://www.ncbi.nlm.nih.gov/pmc/articles/PMC5969778/</w:t>
        </w:r>
      </w:hyperlink>
      <w:r>
        <w:rPr>
          <w:rFonts w:ascii="Times New Roman" w:eastAsia="Times New Roman" w:hAnsi="Times New Roman" w:cs="Times New Roman"/>
          <w:sz w:val="24"/>
          <w:szCs w:val="24"/>
        </w:rPr>
        <w:t xml:space="preserve"> </w:t>
      </w:r>
    </w:p>
    <w:p w:rsidR="009D6F64" w:rsidRPr="0040638E" w:rsidRDefault="009D6F64" w:rsidP="00746AA3">
      <w:pPr>
        <w:spacing w:after="0" w:line="480" w:lineRule="auto"/>
        <w:ind w:left="720" w:hanging="720"/>
        <w:rPr>
          <w:rFonts w:ascii="Times New Roman" w:eastAsia="Times New Roman" w:hAnsi="Times New Roman" w:cs="Times New Roman"/>
          <w:sz w:val="24"/>
          <w:szCs w:val="24"/>
        </w:rPr>
      </w:pPr>
      <w:r w:rsidRPr="003B430B">
        <w:rPr>
          <w:rFonts w:ascii="Times New Roman" w:eastAsia="Times New Roman" w:hAnsi="Times New Roman" w:cs="Times New Roman"/>
          <w:sz w:val="24"/>
          <w:szCs w:val="24"/>
        </w:rPr>
        <w:t xml:space="preserve">Fontenot, N. M., Hamlin, S. K., Hooker, S. J., Vazquez, T., &amp; Chen, H. M. (2022). Physical assessment competencies for nurses: A quality improvement initiative. </w:t>
      </w:r>
      <w:r w:rsidRPr="003B430B">
        <w:rPr>
          <w:rFonts w:ascii="Times New Roman" w:eastAsia="Times New Roman" w:hAnsi="Times New Roman" w:cs="Times New Roman"/>
          <w:i/>
          <w:iCs/>
          <w:sz w:val="24"/>
          <w:szCs w:val="24"/>
        </w:rPr>
        <w:t xml:space="preserve">Nursing </w:t>
      </w:r>
      <w:r>
        <w:rPr>
          <w:rFonts w:ascii="Times New Roman" w:eastAsia="Times New Roman" w:hAnsi="Times New Roman" w:cs="Times New Roman"/>
          <w:i/>
          <w:iCs/>
          <w:sz w:val="24"/>
          <w:szCs w:val="24"/>
        </w:rPr>
        <w:t>F</w:t>
      </w:r>
      <w:r w:rsidRPr="003B430B">
        <w:rPr>
          <w:rFonts w:ascii="Times New Roman" w:eastAsia="Times New Roman" w:hAnsi="Times New Roman" w:cs="Times New Roman"/>
          <w:i/>
          <w:iCs/>
          <w:sz w:val="24"/>
          <w:szCs w:val="24"/>
        </w:rPr>
        <w:t>orum</w:t>
      </w:r>
      <w:r w:rsidRPr="003B430B">
        <w:rPr>
          <w:rFonts w:ascii="Times New Roman" w:eastAsia="Times New Roman" w:hAnsi="Times New Roman" w:cs="Times New Roman"/>
          <w:sz w:val="24"/>
          <w:szCs w:val="24"/>
        </w:rPr>
        <w:t xml:space="preserve">, </w:t>
      </w:r>
      <w:r w:rsidRPr="003B430B">
        <w:rPr>
          <w:rFonts w:ascii="Times New Roman" w:eastAsia="Times New Roman" w:hAnsi="Times New Roman" w:cs="Times New Roman"/>
          <w:i/>
          <w:iCs/>
          <w:sz w:val="24"/>
          <w:szCs w:val="24"/>
        </w:rPr>
        <w:t>57</w:t>
      </w:r>
      <w:r w:rsidRPr="003B430B">
        <w:rPr>
          <w:rFonts w:ascii="Times New Roman" w:eastAsia="Times New Roman" w:hAnsi="Times New Roman" w:cs="Times New Roman"/>
          <w:sz w:val="24"/>
          <w:szCs w:val="24"/>
        </w:rPr>
        <w:t xml:space="preserve">(4), 710–716. </w:t>
      </w:r>
      <w:hyperlink r:id="rId7" w:history="1">
        <w:r w:rsidRPr="00B92284">
          <w:rPr>
            <w:rStyle w:val="Hyperlink"/>
            <w:rFonts w:ascii="Times New Roman" w:eastAsia="Times New Roman" w:hAnsi="Times New Roman" w:cs="Times New Roman"/>
            <w:sz w:val="24"/>
            <w:szCs w:val="24"/>
          </w:rPr>
          <w:t>https://doi.org/10.1111/nuf.12725</w:t>
        </w:r>
      </w:hyperlink>
      <w:r w:rsidRPr="0040638E">
        <w:rPr>
          <w:rFonts w:ascii="Times New Roman" w:eastAsia="Times New Roman" w:hAnsi="Times New Roman" w:cs="Times New Roman"/>
          <w:sz w:val="24"/>
          <w:szCs w:val="24"/>
        </w:rPr>
        <w:t xml:space="preserve"> </w:t>
      </w:r>
    </w:p>
    <w:p w:rsidR="009D6F64" w:rsidRDefault="009D6F64" w:rsidP="0065725C">
      <w:pPr>
        <w:spacing w:after="0" w:line="480" w:lineRule="auto"/>
        <w:ind w:left="720" w:hanging="720"/>
        <w:rPr>
          <w:rFonts w:ascii="Times New Roman" w:eastAsia="Times New Roman" w:hAnsi="Times New Roman" w:cs="Times New Roman"/>
          <w:sz w:val="24"/>
          <w:szCs w:val="24"/>
        </w:rPr>
      </w:pPr>
      <w:r w:rsidRPr="001E0889">
        <w:rPr>
          <w:rFonts w:ascii="Times New Roman" w:eastAsia="Times New Roman" w:hAnsi="Times New Roman" w:cs="Times New Roman"/>
          <w:sz w:val="24"/>
          <w:szCs w:val="24"/>
        </w:rPr>
        <w:t xml:space="preserve">Lim, J. U., Kim, D. K., Lee, M. G., Hwang, I., Shin, C., In, K. H., Lee, S. Y., Rhee, C. K., </w:t>
      </w:r>
      <w:proofErr w:type="spellStart"/>
      <w:r w:rsidRPr="001E0889">
        <w:rPr>
          <w:rFonts w:ascii="Times New Roman" w:eastAsia="Times New Roman" w:hAnsi="Times New Roman" w:cs="Times New Roman"/>
          <w:sz w:val="24"/>
          <w:szCs w:val="24"/>
        </w:rPr>
        <w:t>Yoo</w:t>
      </w:r>
      <w:proofErr w:type="spellEnd"/>
      <w:r w:rsidRPr="001E0889">
        <w:rPr>
          <w:rFonts w:ascii="Times New Roman" w:eastAsia="Times New Roman" w:hAnsi="Times New Roman" w:cs="Times New Roman"/>
          <w:sz w:val="24"/>
          <w:szCs w:val="24"/>
        </w:rPr>
        <w:t>, K. H., &amp; Yoon, H. K. (2020). Clinical characteristics and changes of clinical features in patients with asthma-COPD</w:t>
      </w:r>
      <w:r>
        <w:rPr>
          <w:rFonts w:ascii="Times New Roman" w:eastAsia="Times New Roman" w:hAnsi="Times New Roman" w:cs="Times New Roman"/>
          <w:sz w:val="24"/>
          <w:szCs w:val="24"/>
        </w:rPr>
        <w:t xml:space="preserve"> Overlap in Korea according to different diagnostic c</w:t>
      </w:r>
      <w:r w:rsidRPr="001E0889">
        <w:rPr>
          <w:rFonts w:ascii="Times New Roman" w:eastAsia="Times New Roman" w:hAnsi="Times New Roman" w:cs="Times New Roman"/>
          <w:sz w:val="24"/>
          <w:szCs w:val="24"/>
        </w:rPr>
        <w:t xml:space="preserve">riteria. </w:t>
      </w:r>
      <w:r w:rsidRPr="001E0889">
        <w:rPr>
          <w:rFonts w:ascii="Times New Roman" w:eastAsia="Times New Roman" w:hAnsi="Times New Roman" w:cs="Times New Roman"/>
          <w:i/>
          <w:iCs/>
          <w:sz w:val="24"/>
          <w:szCs w:val="24"/>
        </w:rPr>
        <w:t>Tuberculosis and Respiratory Diseases</w:t>
      </w:r>
      <w:r w:rsidRPr="001E0889">
        <w:rPr>
          <w:rFonts w:ascii="Times New Roman" w:eastAsia="Times New Roman" w:hAnsi="Times New Roman" w:cs="Times New Roman"/>
          <w:sz w:val="24"/>
          <w:szCs w:val="24"/>
        </w:rPr>
        <w:t xml:space="preserve">, </w:t>
      </w:r>
      <w:r w:rsidRPr="001E0889">
        <w:rPr>
          <w:rFonts w:ascii="Times New Roman" w:eastAsia="Times New Roman" w:hAnsi="Times New Roman" w:cs="Times New Roman"/>
          <w:i/>
          <w:iCs/>
          <w:sz w:val="24"/>
          <w:szCs w:val="24"/>
        </w:rPr>
        <w:t>83</w:t>
      </w:r>
      <w:r w:rsidRPr="001E0889">
        <w:rPr>
          <w:rFonts w:ascii="Times New Roman" w:eastAsia="Times New Roman" w:hAnsi="Times New Roman" w:cs="Times New Roman"/>
          <w:sz w:val="24"/>
          <w:szCs w:val="24"/>
        </w:rPr>
        <w:t xml:space="preserve">(Supple 1), S34. </w:t>
      </w:r>
      <w:hyperlink r:id="rId8" w:history="1">
        <w:r w:rsidRPr="00B92284">
          <w:rPr>
            <w:rStyle w:val="Hyperlink"/>
            <w:rFonts w:ascii="Times New Roman" w:eastAsia="Times New Roman" w:hAnsi="Times New Roman" w:cs="Times New Roman"/>
            <w:sz w:val="24"/>
            <w:szCs w:val="24"/>
          </w:rPr>
          <w:t>https://doi.org/10.4046/trd.2020.0031</w:t>
        </w:r>
      </w:hyperlink>
      <w:r>
        <w:rPr>
          <w:rFonts w:ascii="Times New Roman" w:eastAsia="Times New Roman" w:hAnsi="Times New Roman" w:cs="Times New Roman"/>
          <w:sz w:val="24"/>
          <w:szCs w:val="24"/>
        </w:rPr>
        <w:t xml:space="preserve"> </w:t>
      </w:r>
    </w:p>
    <w:p w:rsidR="009D6F64" w:rsidRDefault="009D6F64" w:rsidP="001E0889">
      <w:pPr>
        <w:spacing w:after="0" w:line="480" w:lineRule="auto"/>
        <w:ind w:left="720" w:hanging="720"/>
        <w:rPr>
          <w:rFonts w:ascii="Times New Roman" w:eastAsia="Times New Roman" w:hAnsi="Times New Roman" w:cs="Times New Roman"/>
          <w:sz w:val="24"/>
          <w:szCs w:val="24"/>
        </w:rPr>
      </w:pPr>
      <w:r w:rsidRPr="001E0889">
        <w:rPr>
          <w:rFonts w:ascii="Times New Roman" w:eastAsia="Times New Roman" w:hAnsi="Times New Roman" w:cs="Times New Roman"/>
          <w:sz w:val="24"/>
          <w:szCs w:val="24"/>
        </w:rPr>
        <w:t>Liu, J., Zheng, X., Tong, Q., Li, W., Wang, B., Sutter, K., Trilling, M., Lu, M., Dittmer, U., &amp; Yang, D. (2020). Overlapping and discrete aspects of the pathology and pathogenesis of the emerging human pathogenic coronaviruses SARS‐</w:t>
      </w:r>
      <w:proofErr w:type="spellStart"/>
      <w:r w:rsidRPr="001E0889">
        <w:rPr>
          <w:rFonts w:ascii="Times New Roman" w:eastAsia="Times New Roman" w:hAnsi="Times New Roman" w:cs="Times New Roman"/>
          <w:sz w:val="24"/>
          <w:szCs w:val="24"/>
        </w:rPr>
        <w:t>CoV</w:t>
      </w:r>
      <w:proofErr w:type="spellEnd"/>
      <w:r w:rsidRPr="001E0889">
        <w:rPr>
          <w:rFonts w:ascii="Times New Roman" w:eastAsia="Times New Roman" w:hAnsi="Times New Roman" w:cs="Times New Roman"/>
          <w:sz w:val="24"/>
          <w:szCs w:val="24"/>
        </w:rPr>
        <w:t>, MERS‐</w:t>
      </w:r>
      <w:proofErr w:type="spellStart"/>
      <w:r w:rsidRPr="001E0889">
        <w:rPr>
          <w:rFonts w:ascii="Times New Roman" w:eastAsia="Times New Roman" w:hAnsi="Times New Roman" w:cs="Times New Roman"/>
          <w:sz w:val="24"/>
          <w:szCs w:val="24"/>
        </w:rPr>
        <w:t>CoV</w:t>
      </w:r>
      <w:proofErr w:type="spellEnd"/>
      <w:r w:rsidRPr="001E0889">
        <w:rPr>
          <w:rFonts w:ascii="Times New Roman" w:eastAsia="Times New Roman" w:hAnsi="Times New Roman" w:cs="Times New Roman"/>
          <w:sz w:val="24"/>
          <w:szCs w:val="24"/>
        </w:rPr>
        <w:t xml:space="preserve">, and 2019‐nCoV. </w:t>
      </w:r>
      <w:r w:rsidRPr="001E0889">
        <w:rPr>
          <w:rFonts w:ascii="Times New Roman" w:eastAsia="Times New Roman" w:hAnsi="Times New Roman" w:cs="Times New Roman"/>
          <w:i/>
          <w:iCs/>
          <w:sz w:val="24"/>
          <w:szCs w:val="24"/>
        </w:rPr>
        <w:t>Journal of Medical Virology</w:t>
      </w:r>
      <w:r w:rsidRPr="001E0889">
        <w:rPr>
          <w:rFonts w:ascii="Times New Roman" w:eastAsia="Times New Roman" w:hAnsi="Times New Roman" w:cs="Times New Roman"/>
          <w:sz w:val="24"/>
          <w:szCs w:val="24"/>
        </w:rPr>
        <w:t xml:space="preserve">, </w:t>
      </w:r>
      <w:r w:rsidRPr="001E0889">
        <w:rPr>
          <w:rFonts w:ascii="Times New Roman" w:eastAsia="Times New Roman" w:hAnsi="Times New Roman" w:cs="Times New Roman"/>
          <w:i/>
          <w:iCs/>
          <w:sz w:val="24"/>
          <w:szCs w:val="24"/>
        </w:rPr>
        <w:t>92</w:t>
      </w:r>
      <w:r w:rsidRPr="001E0889">
        <w:rPr>
          <w:rFonts w:ascii="Times New Roman" w:eastAsia="Times New Roman" w:hAnsi="Times New Roman" w:cs="Times New Roman"/>
          <w:sz w:val="24"/>
          <w:szCs w:val="24"/>
        </w:rPr>
        <w:t xml:space="preserve">(5), 491-494. </w:t>
      </w:r>
      <w:hyperlink r:id="rId9" w:history="1">
        <w:r w:rsidRPr="00B92284">
          <w:rPr>
            <w:rStyle w:val="Hyperlink"/>
            <w:rFonts w:ascii="Times New Roman" w:eastAsia="Times New Roman" w:hAnsi="Times New Roman" w:cs="Times New Roman"/>
            <w:sz w:val="24"/>
            <w:szCs w:val="24"/>
          </w:rPr>
          <w:t>https://doi.org/10.1002/jmv.25709</w:t>
        </w:r>
      </w:hyperlink>
      <w:r>
        <w:rPr>
          <w:rFonts w:ascii="Times New Roman" w:eastAsia="Times New Roman" w:hAnsi="Times New Roman" w:cs="Times New Roman"/>
          <w:sz w:val="24"/>
          <w:szCs w:val="24"/>
        </w:rPr>
        <w:t xml:space="preserve"> </w:t>
      </w:r>
    </w:p>
    <w:p w:rsidR="009D6F64" w:rsidRDefault="009D6F64" w:rsidP="0065725C">
      <w:pPr>
        <w:spacing w:after="0" w:line="480" w:lineRule="auto"/>
        <w:ind w:left="720" w:hanging="720"/>
        <w:rPr>
          <w:rFonts w:ascii="Times New Roman" w:eastAsia="Times New Roman" w:hAnsi="Times New Roman" w:cs="Times New Roman"/>
          <w:sz w:val="24"/>
          <w:szCs w:val="24"/>
        </w:rPr>
      </w:pPr>
      <w:proofErr w:type="spellStart"/>
      <w:r w:rsidRPr="0065725C">
        <w:rPr>
          <w:rFonts w:ascii="Times New Roman" w:eastAsia="Times New Roman" w:hAnsi="Times New Roman" w:cs="Times New Roman"/>
          <w:sz w:val="24"/>
          <w:szCs w:val="24"/>
        </w:rPr>
        <w:t>Ramgopal</w:t>
      </w:r>
      <w:proofErr w:type="spellEnd"/>
      <w:r w:rsidRPr="0065725C">
        <w:rPr>
          <w:rFonts w:ascii="Times New Roman" w:eastAsia="Times New Roman" w:hAnsi="Times New Roman" w:cs="Times New Roman"/>
          <w:sz w:val="24"/>
          <w:szCs w:val="24"/>
        </w:rPr>
        <w:t xml:space="preserve">, S., Elmer, J., </w:t>
      </w:r>
      <w:proofErr w:type="spellStart"/>
      <w:r w:rsidRPr="0065725C">
        <w:rPr>
          <w:rFonts w:ascii="Times New Roman" w:eastAsia="Times New Roman" w:hAnsi="Times New Roman" w:cs="Times New Roman"/>
          <w:sz w:val="24"/>
          <w:szCs w:val="24"/>
        </w:rPr>
        <w:t>Escajeda</w:t>
      </w:r>
      <w:proofErr w:type="spellEnd"/>
      <w:r w:rsidRPr="0065725C">
        <w:rPr>
          <w:rFonts w:ascii="Times New Roman" w:eastAsia="Times New Roman" w:hAnsi="Times New Roman" w:cs="Times New Roman"/>
          <w:sz w:val="24"/>
          <w:szCs w:val="24"/>
        </w:rPr>
        <w:t xml:space="preserve">, J., &amp; Martin-Gill, C. (2018). Differences in prehospital patient assessments for pediatric versus adult patients. </w:t>
      </w:r>
      <w:r w:rsidRPr="0065725C">
        <w:rPr>
          <w:rFonts w:ascii="Times New Roman" w:eastAsia="Times New Roman" w:hAnsi="Times New Roman" w:cs="Times New Roman"/>
          <w:i/>
          <w:iCs/>
          <w:sz w:val="24"/>
          <w:szCs w:val="24"/>
        </w:rPr>
        <w:t>The Journal of Pediatrics</w:t>
      </w:r>
      <w:r w:rsidRPr="0065725C">
        <w:rPr>
          <w:rFonts w:ascii="Times New Roman" w:eastAsia="Times New Roman" w:hAnsi="Times New Roman" w:cs="Times New Roman"/>
          <w:sz w:val="24"/>
          <w:szCs w:val="24"/>
        </w:rPr>
        <w:t xml:space="preserve">, </w:t>
      </w:r>
      <w:r w:rsidRPr="0065725C">
        <w:rPr>
          <w:rFonts w:ascii="Times New Roman" w:eastAsia="Times New Roman" w:hAnsi="Times New Roman" w:cs="Times New Roman"/>
          <w:i/>
          <w:iCs/>
          <w:sz w:val="24"/>
          <w:szCs w:val="24"/>
        </w:rPr>
        <w:t>199</w:t>
      </w:r>
      <w:r w:rsidRPr="0065725C">
        <w:rPr>
          <w:rFonts w:ascii="Times New Roman" w:eastAsia="Times New Roman" w:hAnsi="Times New Roman" w:cs="Times New Roman"/>
          <w:sz w:val="24"/>
          <w:szCs w:val="24"/>
        </w:rPr>
        <w:t xml:space="preserve">, 200. </w:t>
      </w:r>
      <w:hyperlink r:id="rId10" w:history="1">
        <w:r w:rsidRPr="00B92284">
          <w:rPr>
            <w:rStyle w:val="Hyperlink"/>
            <w:rFonts w:ascii="Times New Roman" w:eastAsia="Times New Roman" w:hAnsi="Times New Roman" w:cs="Times New Roman"/>
            <w:sz w:val="24"/>
            <w:szCs w:val="24"/>
          </w:rPr>
          <w:t>https://doi.org/10.1016/j.jpeds.2018.03.069</w:t>
        </w:r>
      </w:hyperlink>
      <w:r>
        <w:rPr>
          <w:rFonts w:ascii="Times New Roman" w:eastAsia="Times New Roman" w:hAnsi="Times New Roman" w:cs="Times New Roman"/>
          <w:sz w:val="24"/>
          <w:szCs w:val="24"/>
        </w:rPr>
        <w:t xml:space="preserve"> </w:t>
      </w:r>
    </w:p>
    <w:p w:rsidR="009D6F64" w:rsidRPr="001E0889" w:rsidRDefault="009D6F64" w:rsidP="00C27A4B">
      <w:pPr>
        <w:spacing w:after="0" w:line="480" w:lineRule="auto"/>
        <w:ind w:left="720" w:hanging="720"/>
        <w:rPr>
          <w:rFonts w:ascii="Times New Roman" w:eastAsia="Times New Roman" w:hAnsi="Times New Roman" w:cs="Times New Roman"/>
          <w:sz w:val="24"/>
          <w:szCs w:val="24"/>
        </w:rPr>
      </w:pPr>
      <w:proofErr w:type="spellStart"/>
      <w:r w:rsidRPr="00C27A4B">
        <w:rPr>
          <w:rFonts w:ascii="Times New Roman" w:eastAsia="Times New Roman" w:hAnsi="Times New Roman" w:cs="Times New Roman"/>
          <w:sz w:val="24"/>
          <w:szCs w:val="24"/>
        </w:rPr>
        <w:t>Srinath</w:t>
      </w:r>
      <w:proofErr w:type="spellEnd"/>
      <w:r w:rsidRPr="00C27A4B">
        <w:rPr>
          <w:rFonts w:ascii="Times New Roman" w:eastAsia="Times New Roman" w:hAnsi="Times New Roman" w:cs="Times New Roman"/>
          <w:sz w:val="24"/>
          <w:szCs w:val="24"/>
        </w:rPr>
        <w:t>, S., Jacob, P., Sharma, E.,</w:t>
      </w:r>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Gautam</w:t>
      </w:r>
      <w:proofErr w:type="spellEnd"/>
      <w:r>
        <w:rPr>
          <w:rFonts w:ascii="Times New Roman" w:eastAsia="Times New Roman" w:hAnsi="Times New Roman" w:cs="Times New Roman"/>
          <w:sz w:val="24"/>
          <w:szCs w:val="24"/>
        </w:rPr>
        <w:t>, A. (2018). Clinical practice guidelines for assessment of children and a</w:t>
      </w:r>
      <w:r w:rsidRPr="00C27A4B">
        <w:rPr>
          <w:rFonts w:ascii="Times New Roman" w:eastAsia="Times New Roman" w:hAnsi="Times New Roman" w:cs="Times New Roman"/>
          <w:sz w:val="24"/>
          <w:szCs w:val="24"/>
        </w:rPr>
        <w:t xml:space="preserve">dolescents. </w:t>
      </w:r>
      <w:r w:rsidRPr="00C27A4B">
        <w:rPr>
          <w:rFonts w:ascii="Times New Roman" w:eastAsia="Times New Roman" w:hAnsi="Times New Roman" w:cs="Times New Roman"/>
          <w:i/>
          <w:iCs/>
          <w:sz w:val="24"/>
          <w:szCs w:val="24"/>
        </w:rPr>
        <w:t>Indian Journal of Psychiatry</w:t>
      </w:r>
      <w:r w:rsidRPr="00C27A4B">
        <w:rPr>
          <w:rFonts w:ascii="Times New Roman" w:eastAsia="Times New Roman" w:hAnsi="Times New Roman" w:cs="Times New Roman"/>
          <w:sz w:val="24"/>
          <w:szCs w:val="24"/>
        </w:rPr>
        <w:t xml:space="preserve">, </w:t>
      </w:r>
      <w:r w:rsidRPr="00C27A4B">
        <w:rPr>
          <w:rFonts w:ascii="Times New Roman" w:eastAsia="Times New Roman" w:hAnsi="Times New Roman" w:cs="Times New Roman"/>
          <w:i/>
          <w:iCs/>
          <w:sz w:val="24"/>
          <w:szCs w:val="24"/>
        </w:rPr>
        <w:t>61</w:t>
      </w:r>
      <w:r w:rsidRPr="00C27A4B">
        <w:rPr>
          <w:rFonts w:ascii="Times New Roman" w:eastAsia="Times New Roman" w:hAnsi="Times New Roman" w:cs="Times New Roman"/>
          <w:sz w:val="24"/>
          <w:szCs w:val="24"/>
        </w:rPr>
        <w:t>(</w:t>
      </w:r>
      <w:proofErr w:type="spellStart"/>
      <w:r w:rsidRPr="00C27A4B">
        <w:rPr>
          <w:rFonts w:ascii="Times New Roman" w:eastAsia="Times New Roman" w:hAnsi="Times New Roman" w:cs="Times New Roman"/>
          <w:sz w:val="24"/>
          <w:szCs w:val="24"/>
        </w:rPr>
        <w:t>Suppl</w:t>
      </w:r>
      <w:proofErr w:type="spellEnd"/>
      <w:r w:rsidRPr="00C27A4B">
        <w:rPr>
          <w:rFonts w:ascii="Times New Roman" w:eastAsia="Times New Roman" w:hAnsi="Times New Roman" w:cs="Times New Roman"/>
          <w:sz w:val="24"/>
          <w:szCs w:val="24"/>
        </w:rPr>
        <w:t xml:space="preserve"> 2), 158-175. </w:t>
      </w:r>
      <w:hyperlink r:id="rId11" w:history="1">
        <w:r w:rsidRPr="00B92284">
          <w:rPr>
            <w:rStyle w:val="Hyperlink"/>
            <w:rFonts w:ascii="Times New Roman" w:eastAsia="Times New Roman" w:hAnsi="Times New Roman" w:cs="Times New Roman"/>
            <w:sz w:val="24"/>
            <w:szCs w:val="24"/>
          </w:rPr>
          <w:t>https://doi.org/10.4103/psychiatry.IndianJPsychiatry_580_18</w:t>
        </w:r>
      </w:hyperlink>
      <w:r>
        <w:rPr>
          <w:rFonts w:ascii="Times New Roman" w:eastAsia="Times New Roman" w:hAnsi="Times New Roman" w:cs="Times New Roman"/>
          <w:sz w:val="24"/>
          <w:szCs w:val="24"/>
        </w:rPr>
        <w:t xml:space="preserve"> </w:t>
      </w:r>
    </w:p>
    <w:p w:rsidR="009D6F64" w:rsidRDefault="009D6F64" w:rsidP="0065725C">
      <w:pPr>
        <w:spacing w:after="0" w:line="480" w:lineRule="auto"/>
        <w:ind w:left="720" w:hanging="720"/>
        <w:rPr>
          <w:rFonts w:ascii="Times New Roman" w:eastAsia="Times New Roman" w:hAnsi="Times New Roman" w:cs="Times New Roman"/>
          <w:sz w:val="24"/>
          <w:szCs w:val="24"/>
        </w:rPr>
      </w:pPr>
      <w:proofErr w:type="spellStart"/>
      <w:r w:rsidRPr="0065725C">
        <w:rPr>
          <w:rFonts w:ascii="Times New Roman" w:eastAsia="Times New Roman" w:hAnsi="Times New Roman" w:cs="Times New Roman"/>
          <w:sz w:val="24"/>
          <w:szCs w:val="24"/>
        </w:rPr>
        <w:lastRenderedPageBreak/>
        <w:t>Yoo</w:t>
      </w:r>
      <w:proofErr w:type="spellEnd"/>
      <w:r w:rsidRPr="0065725C">
        <w:rPr>
          <w:rFonts w:ascii="Times New Roman" w:eastAsia="Times New Roman" w:hAnsi="Times New Roman" w:cs="Times New Roman"/>
          <w:sz w:val="24"/>
          <w:szCs w:val="24"/>
        </w:rPr>
        <w:t>, S. Y., &amp; Cho, H. (2020). Exploring the influences of nurses’ partnership with parents, attitude to families’ importance in nursing care, and professional self-efficacy on quality of pediatric nursing care</w:t>
      </w:r>
      <w:r>
        <w:rPr>
          <w:rFonts w:ascii="Times New Roman" w:eastAsia="Times New Roman" w:hAnsi="Times New Roman" w:cs="Times New Roman"/>
          <w:sz w:val="24"/>
          <w:szCs w:val="24"/>
        </w:rPr>
        <w:t>: A p</w:t>
      </w:r>
      <w:r w:rsidRPr="0065725C">
        <w:rPr>
          <w:rFonts w:ascii="Times New Roman" w:eastAsia="Times New Roman" w:hAnsi="Times New Roman" w:cs="Times New Roman"/>
          <w:sz w:val="24"/>
          <w:szCs w:val="24"/>
        </w:rPr>
        <w:t xml:space="preserve">ath </w:t>
      </w:r>
      <w:r>
        <w:rPr>
          <w:rFonts w:ascii="Times New Roman" w:eastAsia="Times New Roman" w:hAnsi="Times New Roman" w:cs="Times New Roman"/>
          <w:sz w:val="24"/>
          <w:szCs w:val="24"/>
        </w:rPr>
        <w:t>m</w:t>
      </w:r>
      <w:r w:rsidRPr="0065725C">
        <w:rPr>
          <w:rFonts w:ascii="Times New Roman" w:eastAsia="Times New Roman" w:hAnsi="Times New Roman" w:cs="Times New Roman"/>
          <w:sz w:val="24"/>
          <w:szCs w:val="24"/>
        </w:rPr>
        <w:t xml:space="preserve">odel. </w:t>
      </w:r>
      <w:r w:rsidRPr="0065725C">
        <w:rPr>
          <w:rFonts w:ascii="Times New Roman" w:eastAsia="Times New Roman" w:hAnsi="Times New Roman" w:cs="Times New Roman"/>
          <w:i/>
          <w:iCs/>
          <w:sz w:val="24"/>
          <w:szCs w:val="24"/>
        </w:rPr>
        <w:t>International Journal of Environmental Research and Public Health</w:t>
      </w:r>
      <w:r w:rsidRPr="0065725C">
        <w:rPr>
          <w:rFonts w:ascii="Times New Roman" w:eastAsia="Times New Roman" w:hAnsi="Times New Roman" w:cs="Times New Roman"/>
          <w:sz w:val="24"/>
          <w:szCs w:val="24"/>
        </w:rPr>
        <w:t xml:space="preserve">, </w:t>
      </w:r>
      <w:r w:rsidRPr="0065725C">
        <w:rPr>
          <w:rFonts w:ascii="Times New Roman" w:eastAsia="Times New Roman" w:hAnsi="Times New Roman" w:cs="Times New Roman"/>
          <w:i/>
          <w:iCs/>
          <w:sz w:val="24"/>
          <w:szCs w:val="24"/>
        </w:rPr>
        <w:t>17</w:t>
      </w:r>
      <w:r w:rsidRPr="0065725C">
        <w:rPr>
          <w:rFonts w:ascii="Times New Roman" w:eastAsia="Times New Roman" w:hAnsi="Times New Roman" w:cs="Times New Roman"/>
          <w:sz w:val="24"/>
          <w:szCs w:val="24"/>
        </w:rPr>
        <w:t xml:space="preserve">(15). </w:t>
      </w:r>
      <w:hyperlink r:id="rId12" w:history="1">
        <w:r w:rsidRPr="00B92284">
          <w:rPr>
            <w:rStyle w:val="Hyperlink"/>
            <w:rFonts w:ascii="Times New Roman" w:eastAsia="Times New Roman" w:hAnsi="Times New Roman" w:cs="Times New Roman"/>
            <w:sz w:val="24"/>
            <w:szCs w:val="24"/>
          </w:rPr>
          <w:t>https://doi.org/10.3390/ijerph17155452</w:t>
        </w:r>
      </w:hyperlink>
      <w:r>
        <w:rPr>
          <w:rFonts w:ascii="Times New Roman" w:eastAsia="Times New Roman" w:hAnsi="Times New Roman" w:cs="Times New Roman"/>
          <w:sz w:val="24"/>
          <w:szCs w:val="24"/>
        </w:rPr>
        <w:t xml:space="preserve"> </w:t>
      </w:r>
    </w:p>
    <w:sectPr w:rsidR="009D6F64">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990" w:rsidRDefault="00E16990" w:rsidP="005E5B43">
      <w:pPr>
        <w:spacing w:after="0" w:line="240" w:lineRule="auto"/>
      </w:pPr>
      <w:r>
        <w:separator/>
      </w:r>
    </w:p>
  </w:endnote>
  <w:endnote w:type="continuationSeparator" w:id="0">
    <w:p w:rsidR="00E16990" w:rsidRDefault="00E16990" w:rsidP="005E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990" w:rsidRDefault="00E16990" w:rsidP="005E5B43">
      <w:pPr>
        <w:spacing w:after="0" w:line="240" w:lineRule="auto"/>
      </w:pPr>
      <w:r>
        <w:separator/>
      </w:r>
    </w:p>
  </w:footnote>
  <w:footnote w:type="continuationSeparator" w:id="0">
    <w:p w:rsidR="00E16990" w:rsidRDefault="00E16990" w:rsidP="005E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B43" w:rsidRPr="005E5B43" w:rsidRDefault="005E5B43">
    <w:pPr>
      <w:pStyle w:val="Header"/>
      <w:rPr>
        <w:rFonts w:ascii="Times New Roman" w:hAnsi="Times New Roman" w:cs="Times New Roman"/>
        <w:sz w:val="24"/>
        <w:szCs w:val="24"/>
      </w:rPr>
    </w:pPr>
    <w:r w:rsidRPr="005E5B43">
      <w:rPr>
        <w:rFonts w:ascii="Times New Roman" w:hAnsi="Times New Roman" w:cs="Times New Roman"/>
        <w:sz w:val="24"/>
        <w:szCs w:val="24"/>
      </w:rPr>
      <w:tab/>
    </w:r>
    <w:r w:rsidRPr="005E5B43">
      <w:rPr>
        <w:rFonts w:ascii="Times New Roman" w:hAnsi="Times New Roman" w:cs="Times New Roman"/>
        <w:sz w:val="24"/>
        <w:szCs w:val="24"/>
      </w:rPr>
      <w:tab/>
    </w:r>
    <w:r w:rsidRPr="005E5B43">
      <w:rPr>
        <w:rFonts w:ascii="Times New Roman" w:hAnsi="Times New Roman" w:cs="Times New Roman"/>
        <w:sz w:val="24"/>
        <w:szCs w:val="24"/>
      </w:rPr>
      <w:fldChar w:fldCharType="begin"/>
    </w:r>
    <w:r w:rsidRPr="005E5B43">
      <w:rPr>
        <w:rFonts w:ascii="Times New Roman" w:hAnsi="Times New Roman" w:cs="Times New Roman"/>
        <w:sz w:val="24"/>
        <w:szCs w:val="24"/>
      </w:rPr>
      <w:instrText xml:space="preserve"> PAGE   \* MERGEFORMAT </w:instrText>
    </w:r>
    <w:r w:rsidRPr="005E5B43">
      <w:rPr>
        <w:rFonts w:ascii="Times New Roman" w:hAnsi="Times New Roman" w:cs="Times New Roman"/>
        <w:sz w:val="24"/>
        <w:szCs w:val="24"/>
      </w:rPr>
      <w:fldChar w:fldCharType="separate"/>
    </w:r>
    <w:r w:rsidR="00B63C54">
      <w:rPr>
        <w:rFonts w:ascii="Times New Roman" w:hAnsi="Times New Roman" w:cs="Times New Roman"/>
        <w:noProof/>
        <w:sz w:val="24"/>
        <w:szCs w:val="24"/>
      </w:rPr>
      <w:t>6</w:t>
    </w:r>
    <w:r w:rsidRPr="005E5B4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970"/>
    <w:rsid w:val="00050660"/>
    <w:rsid w:val="00057599"/>
    <w:rsid w:val="00080ADC"/>
    <w:rsid w:val="00132B47"/>
    <w:rsid w:val="001B0994"/>
    <w:rsid w:val="001E0889"/>
    <w:rsid w:val="001F14F1"/>
    <w:rsid w:val="00211EE4"/>
    <w:rsid w:val="0025785F"/>
    <w:rsid w:val="0026631B"/>
    <w:rsid w:val="002E3ECB"/>
    <w:rsid w:val="00412B1B"/>
    <w:rsid w:val="00425E10"/>
    <w:rsid w:val="004A6D1C"/>
    <w:rsid w:val="00532B7A"/>
    <w:rsid w:val="0059016E"/>
    <w:rsid w:val="005A08C4"/>
    <w:rsid w:val="005E5B43"/>
    <w:rsid w:val="00625026"/>
    <w:rsid w:val="0065725C"/>
    <w:rsid w:val="006E0BA9"/>
    <w:rsid w:val="006E6E30"/>
    <w:rsid w:val="006F3EF3"/>
    <w:rsid w:val="006F4E1E"/>
    <w:rsid w:val="00707D06"/>
    <w:rsid w:val="00746AA3"/>
    <w:rsid w:val="007770E6"/>
    <w:rsid w:val="00795FA6"/>
    <w:rsid w:val="007F2216"/>
    <w:rsid w:val="008A42BA"/>
    <w:rsid w:val="008A6ADF"/>
    <w:rsid w:val="008B52BE"/>
    <w:rsid w:val="009266D5"/>
    <w:rsid w:val="009347A0"/>
    <w:rsid w:val="00942CD5"/>
    <w:rsid w:val="00980C69"/>
    <w:rsid w:val="009939AC"/>
    <w:rsid w:val="009D6F64"/>
    <w:rsid w:val="00A67188"/>
    <w:rsid w:val="00AB1C43"/>
    <w:rsid w:val="00AC1AED"/>
    <w:rsid w:val="00B102AE"/>
    <w:rsid w:val="00B63C54"/>
    <w:rsid w:val="00B7542E"/>
    <w:rsid w:val="00C27A4B"/>
    <w:rsid w:val="00C44E86"/>
    <w:rsid w:val="00C47970"/>
    <w:rsid w:val="00C7090C"/>
    <w:rsid w:val="00C905FB"/>
    <w:rsid w:val="00CC36B6"/>
    <w:rsid w:val="00D07579"/>
    <w:rsid w:val="00D379A1"/>
    <w:rsid w:val="00E16990"/>
    <w:rsid w:val="00F2478B"/>
    <w:rsid w:val="00F61270"/>
    <w:rsid w:val="00F95D16"/>
    <w:rsid w:val="00F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B92F0"/>
  <w15:chartTrackingRefBased/>
  <w15:docId w15:val="{FB1D0E0A-E459-4FB9-9B60-F0C70FC9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2216"/>
    <w:rPr>
      <w:color w:val="0563C1" w:themeColor="hyperlink"/>
      <w:u w:val="single"/>
    </w:rPr>
  </w:style>
  <w:style w:type="paragraph" w:styleId="Header">
    <w:name w:val="header"/>
    <w:basedOn w:val="Normal"/>
    <w:link w:val="HeaderChar"/>
    <w:uiPriority w:val="99"/>
    <w:unhideWhenUsed/>
    <w:rsid w:val="005E5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B43"/>
  </w:style>
  <w:style w:type="paragraph" w:styleId="Footer">
    <w:name w:val="footer"/>
    <w:basedOn w:val="Normal"/>
    <w:link w:val="FooterChar"/>
    <w:uiPriority w:val="99"/>
    <w:unhideWhenUsed/>
    <w:rsid w:val="005E5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7012">
      <w:bodyDiv w:val="1"/>
      <w:marLeft w:val="0"/>
      <w:marRight w:val="0"/>
      <w:marTop w:val="0"/>
      <w:marBottom w:val="0"/>
      <w:divBdr>
        <w:top w:val="none" w:sz="0" w:space="0" w:color="auto"/>
        <w:left w:val="none" w:sz="0" w:space="0" w:color="auto"/>
        <w:bottom w:val="none" w:sz="0" w:space="0" w:color="auto"/>
        <w:right w:val="none" w:sz="0" w:space="0" w:color="auto"/>
      </w:divBdr>
      <w:divsChild>
        <w:div w:id="1845822461">
          <w:marLeft w:val="0"/>
          <w:marRight w:val="0"/>
          <w:marTop w:val="0"/>
          <w:marBottom w:val="0"/>
          <w:divBdr>
            <w:top w:val="none" w:sz="0" w:space="0" w:color="auto"/>
            <w:left w:val="none" w:sz="0" w:space="0" w:color="auto"/>
            <w:bottom w:val="none" w:sz="0" w:space="0" w:color="auto"/>
            <w:right w:val="none" w:sz="0" w:space="0" w:color="auto"/>
          </w:divBdr>
        </w:div>
      </w:divsChild>
    </w:div>
    <w:div w:id="332613545">
      <w:bodyDiv w:val="1"/>
      <w:marLeft w:val="0"/>
      <w:marRight w:val="0"/>
      <w:marTop w:val="0"/>
      <w:marBottom w:val="0"/>
      <w:divBdr>
        <w:top w:val="none" w:sz="0" w:space="0" w:color="auto"/>
        <w:left w:val="none" w:sz="0" w:space="0" w:color="auto"/>
        <w:bottom w:val="none" w:sz="0" w:space="0" w:color="auto"/>
        <w:right w:val="none" w:sz="0" w:space="0" w:color="auto"/>
      </w:divBdr>
      <w:divsChild>
        <w:div w:id="1641762602">
          <w:marLeft w:val="0"/>
          <w:marRight w:val="0"/>
          <w:marTop w:val="0"/>
          <w:marBottom w:val="0"/>
          <w:divBdr>
            <w:top w:val="none" w:sz="0" w:space="0" w:color="auto"/>
            <w:left w:val="none" w:sz="0" w:space="0" w:color="auto"/>
            <w:bottom w:val="none" w:sz="0" w:space="0" w:color="auto"/>
            <w:right w:val="none" w:sz="0" w:space="0" w:color="auto"/>
          </w:divBdr>
        </w:div>
      </w:divsChild>
    </w:div>
    <w:div w:id="1041128063">
      <w:bodyDiv w:val="1"/>
      <w:marLeft w:val="0"/>
      <w:marRight w:val="0"/>
      <w:marTop w:val="0"/>
      <w:marBottom w:val="0"/>
      <w:divBdr>
        <w:top w:val="none" w:sz="0" w:space="0" w:color="auto"/>
        <w:left w:val="none" w:sz="0" w:space="0" w:color="auto"/>
        <w:bottom w:val="none" w:sz="0" w:space="0" w:color="auto"/>
        <w:right w:val="none" w:sz="0" w:space="0" w:color="auto"/>
      </w:divBdr>
      <w:divsChild>
        <w:div w:id="110631042">
          <w:marLeft w:val="0"/>
          <w:marRight w:val="0"/>
          <w:marTop w:val="0"/>
          <w:marBottom w:val="0"/>
          <w:divBdr>
            <w:top w:val="none" w:sz="0" w:space="0" w:color="auto"/>
            <w:left w:val="none" w:sz="0" w:space="0" w:color="auto"/>
            <w:bottom w:val="none" w:sz="0" w:space="0" w:color="auto"/>
            <w:right w:val="none" w:sz="0" w:space="0" w:color="auto"/>
          </w:divBdr>
        </w:div>
      </w:divsChild>
    </w:div>
    <w:div w:id="1749765454">
      <w:bodyDiv w:val="1"/>
      <w:marLeft w:val="0"/>
      <w:marRight w:val="0"/>
      <w:marTop w:val="0"/>
      <w:marBottom w:val="0"/>
      <w:divBdr>
        <w:top w:val="none" w:sz="0" w:space="0" w:color="auto"/>
        <w:left w:val="none" w:sz="0" w:space="0" w:color="auto"/>
        <w:bottom w:val="none" w:sz="0" w:space="0" w:color="auto"/>
        <w:right w:val="none" w:sz="0" w:space="0" w:color="auto"/>
      </w:divBdr>
      <w:divsChild>
        <w:div w:id="20598068">
          <w:marLeft w:val="0"/>
          <w:marRight w:val="0"/>
          <w:marTop w:val="0"/>
          <w:marBottom w:val="0"/>
          <w:divBdr>
            <w:top w:val="none" w:sz="0" w:space="0" w:color="auto"/>
            <w:left w:val="none" w:sz="0" w:space="0" w:color="auto"/>
            <w:bottom w:val="none" w:sz="0" w:space="0" w:color="auto"/>
            <w:right w:val="none" w:sz="0" w:space="0" w:color="auto"/>
          </w:divBdr>
        </w:div>
      </w:divsChild>
    </w:div>
    <w:div w:id="1763378095">
      <w:bodyDiv w:val="1"/>
      <w:marLeft w:val="0"/>
      <w:marRight w:val="0"/>
      <w:marTop w:val="0"/>
      <w:marBottom w:val="0"/>
      <w:divBdr>
        <w:top w:val="none" w:sz="0" w:space="0" w:color="auto"/>
        <w:left w:val="none" w:sz="0" w:space="0" w:color="auto"/>
        <w:bottom w:val="none" w:sz="0" w:space="0" w:color="auto"/>
        <w:right w:val="none" w:sz="0" w:space="0" w:color="auto"/>
      </w:divBdr>
      <w:divsChild>
        <w:div w:id="203227">
          <w:marLeft w:val="0"/>
          <w:marRight w:val="0"/>
          <w:marTop w:val="0"/>
          <w:marBottom w:val="0"/>
          <w:divBdr>
            <w:top w:val="none" w:sz="0" w:space="0" w:color="auto"/>
            <w:left w:val="none" w:sz="0" w:space="0" w:color="auto"/>
            <w:bottom w:val="none" w:sz="0" w:space="0" w:color="auto"/>
            <w:right w:val="none" w:sz="0" w:space="0" w:color="auto"/>
          </w:divBdr>
        </w:div>
      </w:divsChild>
    </w:div>
    <w:div w:id="1818649360">
      <w:bodyDiv w:val="1"/>
      <w:marLeft w:val="0"/>
      <w:marRight w:val="0"/>
      <w:marTop w:val="0"/>
      <w:marBottom w:val="0"/>
      <w:divBdr>
        <w:top w:val="none" w:sz="0" w:space="0" w:color="auto"/>
        <w:left w:val="none" w:sz="0" w:space="0" w:color="auto"/>
        <w:bottom w:val="none" w:sz="0" w:space="0" w:color="auto"/>
        <w:right w:val="none" w:sz="0" w:space="0" w:color="auto"/>
      </w:divBdr>
      <w:divsChild>
        <w:div w:id="1068723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046/trd.2020.0031"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111/nuf.12725" TargetMode="External"/><Relationship Id="rId12" Type="http://schemas.openxmlformats.org/officeDocument/2006/relationships/hyperlink" Target="https://doi.org/10.3390/ijerph171554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5969778/" TargetMode="External"/><Relationship Id="rId11" Type="http://schemas.openxmlformats.org/officeDocument/2006/relationships/hyperlink" Target="https://doi.org/10.4103/psychiatry.IndianJPsychiatry_580_18"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1016/j.jpeds.2018.03.069" TargetMode="External"/><Relationship Id="rId4" Type="http://schemas.openxmlformats.org/officeDocument/2006/relationships/footnotes" Target="footnotes.xml"/><Relationship Id="rId9" Type="http://schemas.openxmlformats.org/officeDocument/2006/relationships/hyperlink" Target="https://doi.org/10.1002/jmv.257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7</cp:revision>
  <dcterms:created xsi:type="dcterms:W3CDTF">2023-10-20T02:33:00Z</dcterms:created>
  <dcterms:modified xsi:type="dcterms:W3CDTF">2023-10-20T04:16:00Z</dcterms:modified>
</cp:coreProperties>
</file>