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93C" w:rsidRDefault="0000193C" w:rsidP="00402F3D">
      <w:pPr>
        <w:spacing w:after="0" w:line="480" w:lineRule="auto"/>
        <w:jc w:val="center"/>
        <w:rPr>
          <w:rFonts w:ascii="Times New Roman" w:hAnsi="Times New Roman" w:cs="Times New Roman"/>
          <w:b/>
          <w:sz w:val="24"/>
          <w:szCs w:val="24"/>
        </w:rPr>
      </w:pPr>
    </w:p>
    <w:p w:rsidR="0000193C" w:rsidRDefault="0000193C" w:rsidP="00402F3D">
      <w:pPr>
        <w:spacing w:after="0" w:line="480" w:lineRule="auto"/>
        <w:jc w:val="center"/>
        <w:rPr>
          <w:rFonts w:ascii="Times New Roman" w:hAnsi="Times New Roman" w:cs="Times New Roman"/>
          <w:b/>
          <w:sz w:val="24"/>
          <w:szCs w:val="24"/>
        </w:rPr>
      </w:pPr>
    </w:p>
    <w:p w:rsidR="0000193C" w:rsidRDefault="0000193C" w:rsidP="00402F3D">
      <w:pPr>
        <w:spacing w:after="0" w:line="480" w:lineRule="auto"/>
        <w:jc w:val="center"/>
        <w:rPr>
          <w:rFonts w:ascii="Times New Roman" w:hAnsi="Times New Roman" w:cs="Times New Roman"/>
          <w:b/>
          <w:sz w:val="24"/>
          <w:szCs w:val="24"/>
        </w:rPr>
      </w:pPr>
    </w:p>
    <w:p w:rsidR="0000193C" w:rsidRDefault="0000193C" w:rsidP="00402F3D">
      <w:pPr>
        <w:spacing w:after="0" w:line="480" w:lineRule="auto"/>
        <w:jc w:val="center"/>
        <w:rPr>
          <w:rFonts w:ascii="Times New Roman" w:hAnsi="Times New Roman" w:cs="Times New Roman"/>
          <w:b/>
          <w:sz w:val="24"/>
          <w:szCs w:val="24"/>
        </w:rPr>
      </w:pPr>
    </w:p>
    <w:p w:rsidR="0000193C" w:rsidRDefault="0000193C" w:rsidP="00402F3D">
      <w:pPr>
        <w:spacing w:after="0" w:line="480" w:lineRule="auto"/>
        <w:jc w:val="center"/>
        <w:rPr>
          <w:rFonts w:ascii="Times New Roman" w:hAnsi="Times New Roman" w:cs="Times New Roman"/>
          <w:b/>
          <w:sz w:val="24"/>
          <w:szCs w:val="24"/>
        </w:rPr>
      </w:pPr>
    </w:p>
    <w:p w:rsidR="0000193C" w:rsidRDefault="0000193C" w:rsidP="00402F3D">
      <w:pPr>
        <w:spacing w:after="0" w:line="480" w:lineRule="auto"/>
        <w:jc w:val="center"/>
        <w:rPr>
          <w:rFonts w:ascii="Times New Roman" w:hAnsi="Times New Roman" w:cs="Times New Roman"/>
          <w:b/>
          <w:sz w:val="24"/>
          <w:szCs w:val="24"/>
        </w:rPr>
      </w:pPr>
    </w:p>
    <w:p w:rsidR="0000193C" w:rsidRDefault="0000193C" w:rsidP="00402F3D">
      <w:pPr>
        <w:spacing w:after="0" w:line="480" w:lineRule="auto"/>
        <w:jc w:val="center"/>
        <w:rPr>
          <w:rFonts w:ascii="Times New Roman" w:hAnsi="Times New Roman" w:cs="Times New Roman"/>
          <w:b/>
          <w:sz w:val="24"/>
          <w:szCs w:val="24"/>
        </w:rPr>
      </w:pPr>
    </w:p>
    <w:p w:rsidR="0000193C" w:rsidRDefault="0000193C" w:rsidP="00402F3D">
      <w:pPr>
        <w:spacing w:after="0" w:line="480" w:lineRule="auto"/>
        <w:jc w:val="center"/>
        <w:rPr>
          <w:rFonts w:ascii="Times New Roman" w:hAnsi="Times New Roman" w:cs="Times New Roman"/>
          <w:b/>
          <w:sz w:val="24"/>
          <w:szCs w:val="24"/>
        </w:rPr>
      </w:pPr>
    </w:p>
    <w:p w:rsidR="0000193C" w:rsidRDefault="0000193C" w:rsidP="00402F3D">
      <w:pPr>
        <w:spacing w:after="0" w:line="480" w:lineRule="auto"/>
        <w:jc w:val="center"/>
        <w:rPr>
          <w:rFonts w:ascii="Times New Roman" w:hAnsi="Times New Roman" w:cs="Times New Roman"/>
          <w:b/>
          <w:sz w:val="24"/>
          <w:szCs w:val="24"/>
        </w:rPr>
      </w:pPr>
    </w:p>
    <w:p w:rsidR="00A67188" w:rsidRDefault="007250ED" w:rsidP="00402F3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PMHNP Legal Case</w:t>
      </w:r>
      <w:r w:rsidR="00A13B76">
        <w:rPr>
          <w:rFonts w:ascii="Times New Roman" w:hAnsi="Times New Roman" w:cs="Times New Roman"/>
          <w:b/>
          <w:sz w:val="24"/>
          <w:szCs w:val="24"/>
        </w:rPr>
        <w:t xml:space="preserve"> Study</w:t>
      </w:r>
    </w:p>
    <w:p w:rsidR="0000193C" w:rsidRDefault="0000193C" w:rsidP="00402F3D">
      <w:pPr>
        <w:spacing w:after="0" w:line="480" w:lineRule="auto"/>
        <w:jc w:val="center"/>
        <w:rPr>
          <w:rFonts w:ascii="Times New Roman" w:hAnsi="Times New Roman" w:cs="Times New Roman"/>
          <w:b/>
          <w:sz w:val="24"/>
          <w:szCs w:val="24"/>
        </w:rPr>
      </w:pPr>
    </w:p>
    <w:p w:rsidR="0000193C" w:rsidRDefault="0000193C" w:rsidP="00402F3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0193C" w:rsidRDefault="0000193C" w:rsidP="00402F3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rsidR="0000193C" w:rsidRDefault="0000193C" w:rsidP="0000193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00193C" w:rsidRDefault="0000193C" w:rsidP="0000193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00193C" w:rsidRDefault="0000193C" w:rsidP="0000193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rsidR="0000193C" w:rsidRDefault="0000193C">
      <w:pPr>
        <w:rPr>
          <w:rFonts w:ascii="Times New Roman" w:hAnsi="Times New Roman" w:cs="Times New Roman"/>
          <w:sz w:val="24"/>
          <w:szCs w:val="24"/>
        </w:rPr>
      </w:pPr>
      <w:r>
        <w:rPr>
          <w:rFonts w:ascii="Times New Roman" w:hAnsi="Times New Roman" w:cs="Times New Roman"/>
          <w:sz w:val="24"/>
          <w:szCs w:val="24"/>
        </w:rPr>
        <w:br w:type="page"/>
      </w:r>
    </w:p>
    <w:p w:rsidR="0000193C" w:rsidRPr="0000193C" w:rsidRDefault="0000193C" w:rsidP="0000193C">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PMHNP Legal Case</w:t>
      </w:r>
      <w:r w:rsidR="00A13B76">
        <w:rPr>
          <w:rFonts w:ascii="Times New Roman" w:hAnsi="Times New Roman" w:cs="Times New Roman"/>
          <w:b/>
          <w:sz w:val="24"/>
          <w:szCs w:val="24"/>
        </w:rPr>
        <w:t xml:space="preserve"> Study</w:t>
      </w:r>
      <w:bookmarkStart w:id="0" w:name="_GoBack"/>
      <w:bookmarkEnd w:id="0"/>
    </w:p>
    <w:p w:rsidR="004B7136" w:rsidRPr="004B7136" w:rsidRDefault="004B7136" w:rsidP="00402F3D">
      <w:pPr>
        <w:spacing w:after="0" w:line="480" w:lineRule="auto"/>
        <w:rPr>
          <w:rFonts w:ascii="Times New Roman" w:hAnsi="Times New Roman" w:cs="Times New Roman"/>
          <w:sz w:val="24"/>
          <w:szCs w:val="24"/>
        </w:rPr>
      </w:pPr>
      <w:r>
        <w:rPr>
          <w:rFonts w:ascii="Times New Roman" w:hAnsi="Times New Roman" w:cs="Times New Roman"/>
          <w:sz w:val="24"/>
          <w:szCs w:val="24"/>
        </w:rPr>
        <w:tab/>
        <w:t>Health care professionals have an ethical and legal responsibility to uphold</w:t>
      </w:r>
      <w:r w:rsidR="00F7574A">
        <w:rPr>
          <w:rFonts w:ascii="Times New Roman" w:hAnsi="Times New Roman" w:cs="Times New Roman"/>
          <w:sz w:val="24"/>
          <w:szCs w:val="24"/>
        </w:rPr>
        <w:t xml:space="preserve"> the highest standards of care that determine whether they fulfil their professional obligations in patient care. The failure to meet the standa</w:t>
      </w:r>
      <w:r w:rsidR="004C4A8B">
        <w:rPr>
          <w:rFonts w:ascii="Times New Roman" w:hAnsi="Times New Roman" w:cs="Times New Roman"/>
          <w:sz w:val="24"/>
          <w:szCs w:val="24"/>
        </w:rPr>
        <w:t>rds and fulfil the obligations amount to negligence (</w:t>
      </w:r>
      <w:r w:rsidR="0044774E">
        <w:rPr>
          <w:rFonts w:ascii="Times New Roman" w:hAnsi="Times New Roman" w:cs="Times New Roman"/>
          <w:sz w:val="24"/>
          <w:szCs w:val="24"/>
        </w:rPr>
        <w:t>Vanderpool, 2021</w:t>
      </w:r>
      <w:r w:rsidR="004C4A8B">
        <w:rPr>
          <w:rFonts w:ascii="Times New Roman" w:hAnsi="Times New Roman" w:cs="Times New Roman"/>
          <w:sz w:val="24"/>
          <w:szCs w:val="24"/>
        </w:rPr>
        <w:t xml:space="preserve">). </w:t>
      </w:r>
      <w:r w:rsidR="00F41E9A">
        <w:rPr>
          <w:rFonts w:ascii="Times New Roman" w:hAnsi="Times New Roman" w:cs="Times New Roman"/>
          <w:sz w:val="24"/>
          <w:szCs w:val="24"/>
        </w:rPr>
        <w:t xml:space="preserve">Negligence </w:t>
      </w:r>
      <w:r w:rsidR="009B7E97">
        <w:rPr>
          <w:rFonts w:ascii="Times New Roman" w:hAnsi="Times New Roman" w:cs="Times New Roman"/>
          <w:sz w:val="24"/>
          <w:szCs w:val="24"/>
        </w:rPr>
        <w:t>is a threat to patient safety, an economic burden, a cause of distress to clinicians, and an obstacle to healthcare improvement (</w:t>
      </w:r>
      <w:r w:rsidR="00E31BC9" w:rsidRPr="00E31BC9">
        <w:rPr>
          <w:rFonts w:ascii="Times New Roman" w:eastAsia="Times New Roman" w:hAnsi="Times New Roman" w:cs="Times New Roman"/>
          <w:sz w:val="24"/>
          <w:szCs w:val="24"/>
        </w:rPr>
        <w:t>Moukalled</w:t>
      </w:r>
      <w:r w:rsidR="00E31BC9">
        <w:rPr>
          <w:rFonts w:ascii="Times New Roman" w:eastAsia="Times New Roman" w:hAnsi="Times New Roman" w:cs="Times New Roman"/>
          <w:sz w:val="24"/>
          <w:szCs w:val="24"/>
        </w:rPr>
        <w:t xml:space="preserve"> &amp; Elhaj, 2021</w:t>
      </w:r>
      <w:r w:rsidR="009B7E97">
        <w:rPr>
          <w:rFonts w:ascii="Times New Roman" w:hAnsi="Times New Roman" w:cs="Times New Roman"/>
          <w:sz w:val="24"/>
          <w:szCs w:val="24"/>
        </w:rPr>
        <w:t xml:space="preserve">). </w:t>
      </w:r>
      <w:r w:rsidR="00360530">
        <w:rPr>
          <w:rFonts w:ascii="Times New Roman" w:hAnsi="Times New Roman" w:cs="Times New Roman"/>
          <w:sz w:val="24"/>
          <w:szCs w:val="24"/>
        </w:rPr>
        <w:t>While professional liability policies consistently aim at reducing malpractice, adverse events and malpractice claims persist (</w:t>
      </w:r>
      <w:r w:rsidR="00360530" w:rsidRPr="00E31BC9">
        <w:rPr>
          <w:rFonts w:ascii="Times New Roman" w:hAnsi="Times New Roman" w:cs="Times New Roman"/>
          <w:sz w:val="24"/>
          <w:szCs w:val="24"/>
        </w:rPr>
        <w:t>Balestra, 2018).</w:t>
      </w:r>
      <w:r w:rsidR="00360530">
        <w:rPr>
          <w:rFonts w:ascii="Times New Roman" w:hAnsi="Times New Roman" w:cs="Times New Roman"/>
          <w:sz w:val="24"/>
          <w:szCs w:val="24"/>
        </w:rPr>
        <w:t xml:space="preserve"> </w:t>
      </w:r>
      <w:r w:rsidR="00804832">
        <w:rPr>
          <w:rFonts w:ascii="Times New Roman" w:hAnsi="Times New Roman" w:cs="Times New Roman"/>
          <w:sz w:val="24"/>
          <w:szCs w:val="24"/>
        </w:rPr>
        <w:t xml:space="preserve">Cases of negligence and malpractice often lead to lawsuits against individual professionals or healthcare </w:t>
      </w:r>
      <w:r w:rsidR="00441F07">
        <w:rPr>
          <w:rFonts w:ascii="Times New Roman" w:hAnsi="Times New Roman" w:cs="Times New Roman"/>
          <w:sz w:val="24"/>
          <w:szCs w:val="24"/>
        </w:rPr>
        <w:t xml:space="preserve">organizations. Based on this background, the paper focuses on a </w:t>
      </w:r>
      <w:r w:rsidR="007F347C">
        <w:rPr>
          <w:rFonts w:ascii="Times New Roman" w:hAnsi="Times New Roman" w:cs="Times New Roman"/>
          <w:sz w:val="24"/>
          <w:szCs w:val="24"/>
        </w:rPr>
        <w:t xml:space="preserve">liability claim based on a </w:t>
      </w:r>
      <w:r w:rsidR="00441F07">
        <w:rPr>
          <w:rFonts w:ascii="Times New Roman" w:hAnsi="Times New Roman" w:cs="Times New Roman"/>
          <w:sz w:val="24"/>
          <w:szCs w:val="24"/>
        </w:rPr>
        <w:t xml:space="preserve">case study of a 15-year-old Hispanic female patient </w:t>
      </w:r>
      <w:r w:rsidR="007F347C">
        <w:rPr>
          <w:rFonts w:ascii="Times New Roman" w:hAnsi="Times New Roman" w:cs="Times New Roman"/>
          <w:sz w:val="24"/>
          <w:szCs w:val="24"/>
        </w:rPr>
        <w:t xml:space="preserve">who committed suicide following treatment with Prozac. </w:t>
      </w:r>
    </w:p>
    <w:p w:rsidR="007250ED" w:rsidRDefault="007250ED" w:rsidP="00402F3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Defendants and Areas of Negligence</w:t>
      </w:r>
    </w:p>
    <w:p w:rsidR="007250ED" w:rsidRDefault="007250ED" w:rsidP="00402F3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37AA2">
        <w:rPr>
          <w:rFonts w:ascii="Times New Roman" w:hAnsi="Times New Roman" w:cs="Times New Roman"/>
          <w:sz w:val="24"/>
          <w:szCs w:val="24"/>
        </w:rPr>
        <w:t xml:space="preserve">In the case, the </w:t>
      </w:r>
      <w:r w:rsidR="003D5EAD">
        <w:rPr>
          <w:rFonts w:ascii="Times New Roman" w:hAnsi="Times New Roman" w:cs="Times New Roman"/>
          <w:sz w:val="24"/>
          <w:szCs w:val="24"/>
        </w:rPr>
        <w:t>psychiatric nurse practitioner (NP) would be considered the first defendant</w:t>
      </w:r>
      <w:r w:rsidR="00687DAE">
        <w:rPr>
          <w:rFonts w:ascii="Times New Roman" w:hAnsi="Times New Roman" w:cs="Times New Roman"/>
          <w:sz w:val="24"/>
          <w:szCs w:val="24"/>
        </w:rPr>
        <w:t>, with the outpatient mental health clinic being the second defendant</w:t>
      </w:r>
      <w:r w:rsidR="003D5EAD">
        <w:rPr>
          <w:rFonts w:ascii="Times New Roman" w:hAnsi="Times New Roman" w:cs="Times New Roman"/>
          <w:sz w:val="24"/>
          <w:szCs w:val="24"/>
        </w:rPr>
        <w:t xml:space="preserve">. </w:t>
      </w:r>
      <w:r w:rsidR="00DE500B">
        <w:rPr>
          <w:rFonts w:ascii="Times New Roman" w:hAnsi="Times New Roman" w:cs="Times New Roman"/>
          <w:sz w:val="24"/>
          <w:szCs w:val="24"/>
        </w:rPr>
        <w:t>While the psychiatric NP was acting under the supervision of an off</w:t>
      </w:r>
      <w:r w:rsidR="00663AFC">
        <w:rPr>
          <w:rFonts w:ascii="Times New Roman" w:hAnsi="Times New Roman" w:cs="Times New Roman"/>
          <w:sz w:val="24"/>
          <w:szCs w:val="24"/>
        </w:rPr>
        <w:t xml:space="preserve">site psychiatrist, they had the ultimate responsibility in prescribing Prozac to the patient. </w:t>
      </w:r>
      <w:r w:rsidR="006F6401">
        <w:rPr>
          <w:rFonts w:ascii="Times New Roman" w:hAnsi="Times New Roman" w:cs="Times New Roman"/>
          <w:sz w:val="24"/>
          <w:szCs w:val="24"/>
        </w:rPr>
        <w:t xml:space="preserve">Deficiencies in the clinic’s safety and supervision protocols may have contributed to the negligence. </w:t>
      </w:r>
      <w:r w:rsidR="00663AFC">
        <w:rPr>
          <w:rFonts w:ascii="Times New Roman" w:hAnsi="Times New Roman" w:cs="Times New Roman"/>
          <w:sz w:val="24"/>
          <w:szCs w:val="24"/>
        </w:rPr>
        <w:t>The negligence is associated with prescribing Prozac without a comprehensive patient screening and safety assessment. The Federal Drug Administration has a B</w:t>
      </w:r>
      <w:r w:rsidR="00847394">
        <w:rPr>
          <w:rFonts w:ascii="Times New Roman" w:hAnsi="Times New Roman" w:cs="Times New Roman"/>
          <w:sz w:val="24"/>
          <w:szCs w:val="24"/>
        </w:rPr>
        <w:t>lack Box warning for antidepressants in treating depression among adolescents (</w:t>
      </w:r>
      <w:r w:rsidR="00E31BC9" w:rsidRPr="00E31BC9">
        <w:rPr>
          <w:rFonts w:ascii="Times New Roman" w:eastAsia="Times New Roman" w:hAnsi="Times New Roman" w:cs="Times New Roman"/>
          <w:sz w:val="24"/>
          <w:szCs w:val="24"/>
        </w:rPr>
        <w:t>Spielmans</w:t>
      </w:r>
      <w:r w:rsidR="00E31BC9">
        <w:rPr>
          <w:rFonts w:ascii="Times New Roman" w:eastAsia="Times New Roman" w:hAnsi="Times New Roman" w:cs="Times New Roman"/>
          <w:sz w:val="24"/>
          <w:szCs w:val="24"/>
        </w:rPr>
        <w:t xml:space="preserve"> &amp; Parry, 2020</w:t>
      </w:r>
      <w:r w:rsidR="00847394">
        <w:rPr>
          <w:rFonts w:ascii="Times New Roman" w:hAnsi="Times New Roman" w:cs="Times New Roman"/>
          <w:sz w:val="24"/>
          <w:szCs w:val="24"/>
        </w:rPr>
        <w:t>). The warning emanates from the observations about increased risk of suicide among children and adolescents following treatment with selective serotonin reuptake in</w:t>
      </w:r>
      <w:r w:rsidR="00C72AD4">
        <w:rPr>
          <w:rFonts w:ascii="Times New Roman" w:hAnsi="Times New Roman" w:cs="Times New Roman"/>
          <w:sz w:val="24"/>
          <w:szCs w:val="24"/>
        </w:rPr>
        <w:t xml:space="preserve">hibitors such as Prozac and Zoloft (Li et al., 2022). </w:t>
      </w:r>
      <w:r w:rsidR="007554AA">
        <w:rPr>
          <w:rFonts w:ascii="Times New Roman" w:hAnsi="Times New Roman" w:cs="Times New Roman"/>
          <w:sz w:val="24"/>
          <w:szCs w:val="24"/>
        </w:rPr>
        <w:t xml:space="preserve">Consequently, healthcare professionals should </w:t>
      </w:r>
      <w:r w:rsidR="00AD2550">
        <w:rPr>
          <w:rFonts w:ascii="Times New Roman" w:hAnsi="Times New Roman" w:cs="Times New Roman"/>
          <w:sz w:val="24"/>
          <w:szCs w:val="24"/>
        </w:rPr>
        <w:t xml:space="preserve">conduct a thorough and careful patient evaluation before </w:t>
      </w:r>
      <w:r w:rsidR="00AD2550">
        <w:rPr>
          <w:rFonts w:ascii="Times New Roman" w:hAnsi="Times New Roman" w:cs="Times New Roman"/>
          <w:sz w:val="24"/>
          <w:szCs w:val="24"/>
        </w:rPr>
        <w:lastRenderedPageBreak/>
        <w:t xml:space="preserve">prescribing SSRIs to children and adolescents. In addition, </w:t>
      </w:r>
      <w:r w:rsidR="00687DAE">
        <w:rPr>
          <w:rFonts w:ascii="Times New Roman" w:hAnsi="Times New Roman" w:cs="Times New Roman"/>
          <w:sz w:val="24"/>
          <w:szCs w:val="24"/>
        </w:rPr>
        <w:t xml:space="preserve">they should consider a comprehensive suicide risk assessment because of the drugs’ potential to increase suicidal ideation. </w:t>
      </w:r>
      <w:r w:rsidR="007554AA">
        <w:rPr>
          <w:rFonts w:ascii="Times New Roman" w:hAnsi="Times New Roman" w:cs="Times New Roman"/>
          <w:sz w:val="24"/>
          <w:szCs w:val="24"/>
        </w:rPr>
        <w:t xml:space="preserve"> </w:t>
      </w:r>
    </w:p>
    <w:p w:rsidR="006F6401" w:rsidRDefault="006F6401" w:rsidP="00402F3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Screening Measures and Safety Risk Assessment</w:t>
      </w:r>
    </w:p>
    <w:p w:rsidR="006F6401" w:rsidRDefault="006F6401" w:rsidP="00402F3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56CB7">
        <w:rPr>
          <w:rFonts w:ascii="Times New Roman" w:hAnsi="Times New Roman" w:cs="Times New Roman"/>
          <w:sz w:val="24"/>
          <w:szCs w:val="24"/>
        </w:rPr>
        <w:t xml:space="preserve">The US Preventive Services Task Force recommends screening depression in adolescents aged 12-18 years, with screening </w:t>
      </w:r>
      <w:r w:rsidR="00C56D69">
        <w:rPr>
          <w:rFonts w:ascii="Times New Roman" w:hAnsi="Times New Roman" w:cs="Times New Roman"/>
          <w:sz w:val="24"/>
          <w:szCs w:val="24"/>
        </w:rPr>
        <w:t>based on the presence of adequate systems that guarantee accurate diagnosis, effective treatment, and appropriate follow-up (</w:t>
      </w:r>
      <w:r w:rsidR="00497866">
        <w:rPr>
          <w:rFonts w:ascii="Times New Roman" w:hAnsi="Times New Roman" w:cs="Times New Roman"/>
          <w:sz w:val="24"/>
          <w:szCs w:val="24"/>
        </w:rPr>
        <w:t>Mangione et al., 2022</w:t>
      </w:r>
      <w:r w:rsidR="00C56D69">
        <w:rPr>
          <w:rFonts w:ascii="Times New Roman" w:hAnsi="Times New Roman" w:cs="Times New Roman"/>
          <w:sz w:val="24"/>
          <w:szCs w:val="24"/>
        </w:rPr>
        <w:t xml:space="preserve">). </w:t>
      </w:r>
      <w:r w:rsidR="00497866">
        <w:rPr>
          <w:rFonts w:ascii="Times New Roman" w:hAnsi="Times New Roman" w:cs="Times New Roman"/>
          <w:sz w:val="24"/>
          <w:szCs w:val="24"/>
        </w:rPr>
        <w:t>D</w:t>
      </w:r>
      <w:r w:rsidR="00020356">
        <w:rPr>
          <w:rFonts w:ascii="Times New Roman" w:hAnsi="Times New Roman" w:cs="Times New Roman"/>
          <w:sz w:val="24"/>
          <w:szCs w:val="24"/>
        </w:rPr>
        <w:t>epression screening ensures a timely initiation of interventions</w:t>
      </w:r>
      <w:r w:rsidR="00602082">
        <w:rPr>
          <w:rFonts w:ascii="Times New Roman" w:hAnsi="Times New Roman" w:cs="Times New Roman"/>
          <w:sz w:val="24"/>
          <w:szCs w:val="24"/>
        </w:rPr>
        <w:t xml:space="preserve">. In this regard, the patient should have undergone depression screening and safety risk assessment using appropriate measures and instruments. A comprehensive psychiatric assessment, including a mental health exam, would have been essential </w:t>
      </w:r>
      <w:r w:rsidR="009C5F51">
        <w:rPr>
          <w:rFonts w:ascii="Times New Roman" w:hAnsi="Times New Roman" w:cs="Times New Roman"/>
          <w:sz w:val="24"/>
          <w:szCs w:val="24"/>
        </w:rPr>
        <w:t xml:space="preserve">for the patient. As highlighted by </w:t>
      </w:r>
      <w:r w:rsidR="009C5F51" w:rsidRPr="00CC378F">
        <w:rPr>
          <w:rFonts w:ascii="Times New Roman" w:hAnsi="Times New Roman" w:cs="Times New Roman"/>
          <w:sz w:val="24"/>
          <w:szCs w:val="24"/>
        </w:rPr>
        <w:t>Mullen (2018),</w:t>
      </w:r>
      <w:r w:rsidR="009C5F51">
        <w:rPr>
          <w:rFonts w:ascii="Times New Roman" w:hAnsi="Times New Roman" w:cs="Times New Roman"/>
          <w:b/>
          <w:sz w:val="24"/>
          <w:szCs w:val="24"/>
        </w:rPr>
        <w:t xml:space="preserve"> </w:t>
      </w:r>
      <w:r w:rsidR="009C5F51">
        <w:rPr>
          <w:rFonts w:ascii="Times New Roman" w:hAnsi="Times New Roman" w:cs="Times New Roman"/>
          <w:sz w:val="24"/>
          <w:szCs w:val="24"/>
        </w:rPr>
        <w:t xml:space="preserve">evaluating a patient’s history, presenting symptoms, and psychosocial factors </w:t>
      </w:r>
      <w:r w:rsidR="00E37773">
        <w:rPr>
          <w:rFonts w:ascii="Times New Roman" w:hAnsi="Times New Roman" w:cs="Times New Roman"/>
          <w:sz w:val="24"/>
          <w:szCs w:val="24"/>
        </w:rPr>
        <w:t xml:space="preserve">that </w:t>
      </w:r>
      <w:r w:rsidR="0016087F">
        <w:rPr>
          <w:rFonts w:ascii="Times New Roman" w:hAnsi="Times New Roman" w:cs="Times New Roman"/>
          <w:sz w:val="24"/>
          <w:szCs w:val="24"/>
        </w:rPr>
        <w:t xml:space="preserve">give insights into the diagnosis. </w:t>
      </w:r>
      <w:r w:rsidR="00EE65C3">
        <w:rPr>
          <w:rFonts w:ascii="Times New Roman" w:hAnsi="Times New Roman" w:cs="Times New Roman"/>
          <w:sz w:val="24"/>
          <w:szCs w:val="24"/>
        </w:rPr>
        <w:t xml:space="preserve">As supported by </w:t>
      </w:r>
      <w:r w:rsidR="00FA7A30" w:rsidRPr="00CC378F">
        <w:rPr>
          <w:rFonts w:ascii="Times New Roman" w:hAnsi="Times New Roman" w:cs="Times New Roman"/>
          <w:sz w:val="24"/>
          <w:szCs w:val="24"/>
        </w:rPr>
        <w:t>Huline-Dickes (2023</w:t>
      </w:r>
      <w:r w:rsidR="00EE65C3">
        <w:rPr>
          <w:rFonts w:ascii="Times New Roman" w:hAnsi="Times New Roman" w:cs="Times New Roman"/>
          <w:sz w:val="24"/>
          <w:szCs w:val="24"/>
        </w:rPr>
        <w:t xml:space="preserve">), MSE </w:t>
      </w:r>
      <w:r w:rsidR="00FA7A30">
        <w:rPr>
          <w:rFonts w:ascii="Times New Roman" w:hAnsi="Times New Roman" w:cs="Times New Roman"/>
          <w:sz w:val="24"/>
          <w:szCs w:val="24"/>
        </w:rPr>
        <w:t xml:space="preserve">would have offered insights into the patient’s psychopathology based on her perspective and other features of their mental status. </w:t>
      </w:r>
      <w:r w:rsidR="00DD1655">
        <w:rPr>
          <w:rFonts w:ascii="Times New Roman" w:hAnsi="Times New Roman" w:cs="Times New Roman"/>
          <w:sz w:val="24"/>
          <w:szCs w:val="24"/>
        </w:rPr>
        <w:t xml:space="preserve">Secondly, the patient should have undergone a comprehensive suicide risk assessment to identify previous or current suicidal thoughts, attempts, and risk factors of self-harm. For example, the psychiatric NP could have used the Columbia-suicide severity Rating scale screen (C-SSSRS) </w:t>
      </w:r>
      <w:r w:rsidR="009D66C7">
        <w:rPr>
          <w:rFonts w:ascii="Times New Roman" w:hAnsi="Times New Roman" w:cs="Times New Roman"/>
          <w:sz w:val="24"/>
          <w:szCs w:val="24"/>
        </w:rPr>
        <w:t xml:space="preserve">in safety assessment. The tool has been found valuable in </w:t>
      </w:r>
      <w:r w:rsidR="00E2202F">
        <w:rPr>
          <w:rFonts w:ascii="Times New Roman" w:hAnsi="Times New Roman" w:cs="Times New Roman"/>
          <w:sz w:val="24"/>
          <w:szCs w:val="24"/>
        </w:rPr>
        <w:t xml:space="preserve">screening </w:t>
      </w:r>
      <w:r w:rsidR="00EB072B">
        <w:rPr>
          <w:rFonts w:ascii="Times New Roman" w:hAnsi="Times New Roman" w:cs="Times New Roman"/>
          <w:sz w:val="24"/>
          <w:szCs w:val="24"/>
        </w:rPr>
        <w:t>beneficial in predicting suicide risk in adolescents and adults, alike (</w:t>
      </w:r>
      <w:r w:rsidR="005C1E5D" w:rsidRPr="005C1E5D">
        <w:rPr>
          <w:rFonts w:ascii="Times New Roman" w:eastAsia="Times New Roman" w:hAnsi="Times New Roman" w:cs="Times New Roman"/>
          <w:sz w:val="24"/>
          <w:szCs w:val="24"/>
        </w:rPr>
        <w:t>Bjureberg</w:t>
      </w:r>
      <w:r w:rsidR="005C1E5D">
        <w:rPr>
          <w:rFonts w:ascii="Times New Roman" w:eastAsia="Times New Roman" w:hAnsi="Times New Roman" w:cs="Times New Roman"/>
          <w:sz w:val="24"/>
          <w:szCs w:val="24"/>
        </w:rPr>
        <w:t xml:space="preserve"> et al., 2022</w:t>
      </w:r>
      <w:r w:rsidR="00EB072B">
        <w:rPr>
          <w:rFonts w:ascii="Times New Roman" w:hAnsi="Times New Roman" w:cs="Times New Roman"/>
          <w:sz w:val="24"/>
          <w:szCs w:val="24"/>
        </w:rPr>
        <w:t>;</w:t>
      </w:r>
      <w:r w:rsidR="005C1E5D">
        <w:rPr>
          <w:rFonts w:ascii="Times New Roman" w:hAnsi="Times New Roman" w:cs="Times New Roman"/>
          <w:sz w:val="24"/>
          <w:szCs w:val="24"/>
        </w:rPr>
        <w:t xml:space="preserve"> Salvi, 2019</w:t>
      </w:r>
      <w:r w:rsidR="00EB072B">
        <w:rPr>
          <w:rFonts w:ascii="Times New Roman" w:hAnsi="Times New Roman" w:cs="Times New Roman"/>
          <w:sz w:val="24"/>
          <w:szCs w:val="24"/>
        </w:rPr>
        <w:t>). Applying the ins</w:t>
      </w:r>
      <w:r w:rsidR="00A0676E">
        <w:rPr>
          <w:rFonts w:ascii="Times New Roman" w:hAnsi="Times New Roman" w:cs="Times New Roman"/>
          <w:sz w:val="24"/>
          <w:szCs w:val="24"/>
        </w:rPr>
        <w:t xml:space="preserve">trument would have allowed the NP to integrate additional information from hospital records, healthcare professionals, and the patient’s family </w:t>
      </w:r>
      <w:r w:rsidR="00F45BA8">
        <w:rPr>
          <w:rFonts w:ascii="Times New Roman" w:hAnsi="Times New Roman" w:cs="Times New Roman"/>
          <w:sz w:val="24"/>
          <w:szCs w:val="24"/>
        </w:rPr>
        <w:t xml:space="preserve">to </w:t>
      </w:r>
      <w:r w:rsidR="00901B9B">
        <w:rPr>
          <w:rFonts w:ascii="Times New Roman" w:hAnsi="Times New Roman" w:cs="Times New Roman"/>
          <w:sz w:val="24"/>
          <w:szCs w:val="24"/>
        </w:rPr>
        <w:t xml:space="preserve">understand possible risk factors. Thirdly, a collaborative approach would have been necessary in accomplishing patient screening and safety assessment. </w:t>
      </w:r>
      <w:r w:rsidR="00262281">
        <w:rPr>
          <w:rFonts w:ascii="Times New Roman" w:hAnsi="Times New Roman" w:cs="Times New Roman"/>
          <w:sz w:val="24"/>
          <w:szCs w:val="24"/>
        </w:rPr>
        <w:t>Although the psychiatric NP was working under a psychiatrist’s supervision</w:t>
      </w:r>
      <w:r w:rsidR="00E25A46">
        <w:rPr>
          <w:rFonts w:ascii="Times New Roman" w:hAnsi="Times New Roman" w:cs="Times New Roman"/>
          <w:sz w:val="24"/>
          <w:szCs w:val="24"/>
        </w:rPr>
        <w:t xml:space="preserve">, they should have collaborated with other professionals to gain adequate information about the patient. </w:t>
      </w:r>
      <w:r w:rsidR="00FA50EF">
        <w:rPr>
          <w:rFonts w:ascii="Times New Roman" w:hAnsi="Times New Roman" w:cs="Times New Roman"/>
          <w:sz w:val="24"/>
          <w:szCs w:val="24"/>
        </w:rPr>
        <w:lastRenderedPageBreak/>
        <w:t>Collaborative efforts with other professionals could have allowed a comprehensive assessment and evaluation.</w:t>
      </w:r>
    </w:p>
    <w:p w:rsidR="00FA50EF" w:rsidRDefault="00FA50EF" w:rsidP="00402F3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Reflection on the Case</w:t>
      </w:r>
    </w:p>
    <w:p w:rsidR="00FA50EF" w:rsidRDefault="0075154A" w:rsidP="00402F3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case shows gaps in the psychiatric NP’s decisions regarding the approach to patient treatment. </w:t>
      </w:r>
      <w:r w:rsidR="00D708CC">
        <w:rPr>
          <w:rFonts w:ascii="Times New Roman" w:hAnsi="Times New Roman" w:cs="Times New Roman"/>
          <w:sz w:val="24"/>
          <w:szCs w:val="24"/>
        </w:rPr>
        <w:t>Based on this knowledge, I would take the following actions as a mental health nurse practitioner. Firstly, I would seek all the relevant information about the patient from the medical records and conduct further history taking</w:t>
      </w:r>
      <w:r w:rsidR="008D2929">
        <w:rPr>
          <w:rFonts w:ascii="Times New Roman" w:hAnsi="Times New Roman" w:cs="Times New Roman"/>
          <w:sz w:val="24"/>
          <w:szCs w:val="24"/>
        </w:rPr>
        <w:t xml:space="preserve">. The action would help in establishing whether the patient has indications of a mental health problem requiring a prescription. As supported by Li et al. (2022), a comprehensive </w:t>
      </w:r>
      <w:r w:rsidR="00FF7371">
        <w:rPr>
          <w:rFonts w:ascii="Times New Roman" w:hAnsi="Times New Roman" w:cs="Times New Roman"/>
          <w:sz w:val="24"/>
          <w:szCs w:val="24"/>
        </w:rPr>
        <w:t>evaluation and safety assessment would</w:t>
      </w:r>
      <w:r w:rsidR="001E7EEB">
        <w:rPr>
          <w:rFonts w:ascii="Times New Roman" w:hAnsi="Times New Roman" w:cs="Times New Roman"/>
          <w:sz w:val="24"/>
          <w:szCs w:val="24"/>
        </w:rPr>
        <w:t xml:space="preserve"> have enabled the identification of potential risk factors </w:t>
      </w:r>
      <w:r w:rsidR="00DD1612">
        <w:rPr>
          <w:rFonts w:ascii="Times New Roman" w:hAnsi="Times New Roman" w:cs="Times New Roman"/>
          <w:sz w:val="24"/>
          <w:szCs w:val="24"/>
        </w:rPr>
        <w:t xml:space="preserve">that would contribute to poor prognosis. Secondly, I would have considered alternative treatment approaches in case depressive symptoms were identified. </w:t>
      </w:r>
      <w:r w:rsidR="00F9648F">
        <w:rPr>
          <w:rFonts w:ascii="Times New Roman" w:hAnsi="Times New Roman" w:cs="Times New Roman"/>
          <w:sz w:val="24"/>
          <w:szCs w:val="24"/>
        </w:rPr>
        <w:t xml:space="preserve">While pharmacotherapy with SSRI remains the gold standard for depression treatment, </w:t>
      </w:r>
      <w:r w:rsidR="005C1E5D" w:rsidRPr="005C1E5D">
        <w:rPr>
          <w:rFonts w:ascii="Times New Roman" w:eastAsia="Times New Roman" w:hAnsi="Times New Roman" w:cs="Times New Roman"/>
          <w:sz w:val="24"/>
          <w:szCs w:val="24"/>
        </w:rPr>
        <w:t>Karrouri</w:t>
      </w:r>
      <w:r w:rsidR="005C1E5D">
        <w:rPr>
          <w:rFonts w:ascii="Times New Roman" w:hAnsi="Times New Roman" w:cs="Times New Roman"/>
          <w:sz w:val="24"/>
          <w:szCs w:val="24"/>
        </w:rPr>
        <w:t xml:space="preserve"> et al. (2021) </w:t>
      </w:r>
      <w:r w:rsidR="00F9648F">
        <w:rPr>
          <w:rFonts w:ascii="Times New Roman" w:hAnsi="Times New Roman" w:cs="Times New Roman"/>
          <w:sz w:val="24"/>
          <w:szCs w:val="24"/>
        </w:rPr>
        <w:t xml:space="preserve">noted that the acute phase could benefit from a combination of medications and depression-focused psychotherapy. </w:t>
      </w:r>
      <w:r w:rsidR="00285355">
        <w:rPr>
          <w:rFonts w:ascii="Times New Roman" w:hAnsi="Times New Roman" w:cs="Times New Roman"/>
          <w:sz w:val="24"/>
          <w:szCs w:val="24"/>
        </w:rPr>
        <w:t xml:space="preserve">Similarly, </w:t>
      </w:r>
      <w:r w:rsidR="00285355" w:rsidRPr="005C1E5D">
        <w:rPr>
          <w:rFonts w:ascii="Times New Roman" w:hAnsi="Times New Roman" w:cs="Times New Roman"/>
          <w:sz w:val="24"/>
          <w:szCs w:val="24"/>
        </w:rPr>
        <w:t>Beirão</w:t>
      </w:r>
      <w:r w:rsidR="00285355" w:rsidRPr="005C1E5D">
        <w:rPr>
          <w:rFonts w:ascii="Times New Roman" w:hAnsi="Times New Roman" w:cs="Times New Roman"/>
          <w:sz w:val="24"/>
          <w:szCs w:val="24"/>
        </w:rPr>
        <w:t xml:space="preserve"> et al. (2020) noted that</w:t>
      </w:r>
      <w:r w:rsidR="00285355">
        <w:rPr>
          <w:rFonts w:ascii="Times New Roman" w:hAnsi="Times New Roman" w:cs="Times New Roman"/>
          <w:b/>
          <w:sz w:val="24"/>
          <w:szCs w:val="24"/>
        </w:rPr>
        <w:t xml:space="preserve"> </w:t>
      </w:r>
      <w:r w:rsidR="000D4A71">
        <w:rPr>
          <w:rFonts w:ascii="Times New Roman" w:hAnsi="Times New Roman" w:cs="Times New Roman"/>
          <w:sz w:val="24"/>
          <w:szCs w:val="24"/>
        </w:rPr>
        <w:t xml:space="preserve">combining pharmacotherapy and psychotherapy is effective in treatment moderate and severe depression among adolescents. </w:t>
      </w:r>
      <w:r w:rsidR="00830571">
        <w:rPr>
          <w:rFonts w:ascii="Times New Roman" w:hAnsi="Times New Roman" w:cs="Times New Roman"/>
          <w:sz w:val="24"/>
          <w:szCs w:val="24"/>
        </w:rPr>
        <w:t xml:space="preserve">Therefore, I would ensure the patient receives or is referred to appropriate psychotherapy. Thirdly, I would ensure </w:t>
      </w:r>
      <w:r w:rsidR="00AE1367">
        <w:rPr>
          <w:rFonts w:ascii="Times New Roman" w:hAnsi="Times New Roman" w:cs="Times New Roman"/>
          <w:sz w:val="24"/>
          <w:szCs w:val="24"/>
        </w:rPr>
        <w:t>adequate monitoring</w:t>
      </w:r>
      <w:r w:rsidR="00CF03A1">
        <w:rPr>
          <w:rFonts w:ascii="Times New Roman" w:hAnsi="Times New Roman" w:cs="Times New Roman"/>
          <w:sz w:val="24"/>
          <w:szCs w:val="24"/>
        </w:rPr>
        <w:t xml:space="preserve"> and follow-up for the patient contingent upon her safety assessment. On this note, </w:t>
      </w:r>
      <w:r w:rsidR="00CE6B0E">
        <w:rPr>
          <w:rFonts w:ascii="Times New Roman" w:hAnsi="Times New Roman" w:cs="Times New Roman"/>
          <w:sz w:val="24"/>
          <w:szCs w:val="24"/>
        </w:rPr>
        <w:t>shared decision-making through family involvement would play a crucial role. According to</w:t>
      </w:r>
      <w:r w:rsidR="005C1E5D">
        <w:rPr>
          <w:rFonts w:ascii="Times New Roman" w:hAnsi="Times New Roman" w:cs="Times New Roman"/>
          <w:sz w:val="24"/>
          <w:szCs w:val="24"/>
        </w:rPr>
        <w:t xml:space="preserve"> Gorman et al. (2023)</w:t>
      </w:r>
      <w:r w:rsidR="00CE6B0E">
        <w:rPr>
          <w:rFonts w:ascii="Times New Roman" w:hAnsi="Times New Roman" w:cs="Times New Roman"/>
          <w:sz w:val="24"/>
          <w:szCs w:val="24"/>
        </w:rPr>
        <w:t xml:space="preserve">, communicating with patients’ family </w:t>
      </w:r>
      <w:r w:rsidR="00382449">
        <w:rPr>
          <w:rFonts w:ascii="Times New Roman" w:hAnsi="Times New Roman" w:cs="Times New Roman"/>
          <w:sz w:val="24"/>
          <w:szCs w:val="24"/>
        </w:rPr>
        <w:t xml:space="preserve">helps in developing </w:t>
      </w:r>
      <w:r w:rsidR="005E0171">
        <w:rPr>
          <w:rFonts w:ascii="Times New Roman" w:hAnsi="Times New Roman" w:cs="Times New Roman"/>
          <w:sz w:val="24"/>
          <w:szCs w:val="24"/>
        </w:rPr>
        <w:t xml:space="preserve">mutually agreed safety plans, with flexible appointment times and adequate follow-up. </w:t>
      </w:r>
      <w:r w:rsidR="00FD4C5F">
        <w:rPr>
          <w:rFonts w:ascii="Times New Roman" w:hAnsi="Times New Roman" w:cs="Times New Roman"/>
          <w:sz w:val="24"/>
          <w:szCs w:val="24"/>
        </w:rPr>
        <w:t xml:space="preserve">Therefore, involving her family would ensure close monitoring at home for the identification and mitigation of possible risk factors. </w:t>
      </w:r>
    </w:p>
    <w:p w:rsidR="00FD4C5F" w:rsidRDefault="00FD4C5F" w:rsidP="00402F3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Risks and Risk Management Strategies</w:t>
      </w:r>
    </w:p>
    <w:p w:rsidR="00FD4C5F" w:rsidRDefault="00315B99" w:rsidP="00402F3D">
      <w:pPr>
        <w:spacing w:after="0" w:line="480" w:lineRule="auto"/>
        <w:rPr>
          <w:rFonts w:ascii="Times New Roman" w:hAnsi="Times New Roman" w:cs="Times New Roman"/>
          <w:sz w:val="24"/>
          <w:szCs w:val="24"/>
        </w:rPr>
      </w:pPr>
      <w:r w:rsidRPr="00315B99">
        <w:rPr>
          <w:rFonts w:ascii="Times New Roman" w:hAnsi="Times New Roman" w:cs="Times New Roman"/>
          <w:sz w:val="24"/>
          <w:szCs w:val="24"/>
        </w:rPr>
        <w:lastRenderedPageBreak/>
        <w:tab/>
        <w:t>Psychiatric</w:t>
      </w:r>
      <w:r>
        <w:rPr>
          <w:rFonts w:ascii="Times New Roman" w:hAnsi="Times New Roman" w:cs="Times New Roman"/>
          <w:sz w:val="24"/>
          <w:szCs w:val="24"/>
        </w:rPr>
        <w:t>-Mental Health Nurse Practitioners face a range of risks in the treatment and care for people with mental health disorders.</w:t>
      </w:r>
      <w:r w:rsidR="00587D1E">
        <w:rPr>
          <w:rFonts w:ascii="Times New Roman" w:hAnsi="Times New Roman" w:cs="Times New Roman"/>
          <w:sz w:val="24"/>
          <w:szCs w:val="24"/>
        </w:rPr>
        <w:t xml:space="preserve"> For example, </w:t>
      </w:r>
      <w:r w:rsidR="00587D1E">
        <w:rPr>
          <w:rFonts w:ascii="Times New Roman" w:hAnsi="Times New Roman" w:cs="Times New Roman"/>
          <w:sz w:val="24"/>
          <w:szCs w:val="24"/>
        </w:rPr>
        <w:t>Buppert et al. (2021</w:t>
      </w:r>
      <w:r w:rsidR="00587D1E">
        <w:rPr>
          <w:rFonts w:ascii="Times New Roman" w:hAnsi="Times New Roman" w:cs="Times New Roman"/>
          <w:sz w:val="24"/>
          <w:szCs w:val="24"/>
        </w:rPr>
        <w:t>) identified the failure to diagnose or treat patient appropriately and adequately as one of t</w:t>
      </w:r>
      <w:r w:rsidR="00FE7627">
        <w:rPr>
          <w:rFonts w:ascii="Times New Roman" w:hAnsi="Times New Roman" w:cs="Times New Roman"/>
          <w:sz w:val="24"/>
          <w:szCs w:val="24"/>
        </w:rPr>
        <w:t xml:space="preserve">he risks. Dimensions of care accessibility, including affordability, availability, clinician’s approachability, and acceptability of treatment options affect NPs’ ability to diagnose and treat patients significantly (Coombs et al., 2021). </w:t>
      </w:r>
      <w:r w:rsidR="00E517DE">
        <w:rPr>
          <w:rFonts w:ascii="Times New Roman" w:hAnsi="Times New Roman" w:cs="Times New Roman"/>
          <w:sz w:val="24"/>
          <w:szCs w:val="24"/>
        </w:rPr>
        <w:t xml:space="preserve">An empathetic approach to patient engagement during initial presentation could mitigate the risk. </w:t>
      </w:r>
      <w:r w:rsidR="00FE7627">
        <w:rPr>
          <w:rFonts w:ascii="Times New Roman" w:hAnsi="Times New Roman" w:cs="Times New Roman"/>
          <w:sz w:val="24"/>
          <w:szCs w:val="24"/>
        </w:rPr>
        <w:t xml:space="preserve">Secondly, NPs face the risk of inadequate care documentation. </w:t>
      </w:r>
      <w:r w:rsidR="00026661" w:rsidRPr="00026661">
        <w:rPr>
          <w:rFonts w:ascii="Times New Roman" w:eastAsia="Times New Roman" w:hAnsi="Times New Roman" w:cs="Times New Roman"/>
          <w:sz w:val="24"/>
          <w:szCs w:val="24"/>
        </w:rPr>
        <w:t>Mutshatshi</w:t>
      </w:r>
      <w:r w:rsidR="00026661">
        <w:rPr>
          <w:rFonts w:ascii="Times New Roman" w:hAnsi="Times New Roman" w:cs="Times New Roman"/>
          <w:sz w:val="24"/>
          <w:szCs w:val="24"/>
        </w:rPr>
        <w:t xml:space="preserve"> et al. (2018) </w:t>
      </w:r>
      <w:r w:rsidR="00FE7627">
        <w:rPr>
          <w:rFonts w:ascii="Times New Roman" w:hAnsi="Times New Roman" w:cs="Times New Roman"/>
          <w:sz w:val="24"/>
          <w:szCs w:val="24"/>
        </w:rPr>
        <w:t xml:space="preserve">found that inaccurate, substandard, or incomplete documentation as </w:t>
      </w:r>
      <w:r w:rsidR="00A0110E">
        <w:rPr>
          <w:rFonts w:ascii="Times New Roman" w:hAnsi="Times New Roman" w:cs="Times New Roman"/>
          <w:sz w:val="24"/>
          <w:szCs w:val="24"/>
        </w:rPr>
        <w:t xml:space="preserve">a factor that contributed significantly to adverse events and increased risk of mortality. </w:t>
      </w:r>
      <w:r w:rsidR="00801BC0">
        <w:rPr>
          <w:rFonts w:ascii="Times New Roman" w:hAnsi="Times New Roman" w:cs="Times New Roman"/>
          <w:sz w:val="24"/>
          <w:szCs w:val="24"/>
        </w:rPr>
        <w:t xml:space="preserve">Time limitations and patients’ willingness to disclose their symptoms could significantly expose NPs to the risk of poor documentation. </w:t>
      </w:r>
      <w:r w:rsidR="00E517DE">
        <w:rPr>
          <w:rFonts w:ascii="Times New Roman" w:hAnsi="Times New Roman" w:cs="Times New Roman"/>
          <w:sz w:val="24"/>
          <w:szCs w:val="24"/>
        </w:rPr>
        <w:t xml:space="preserve">Consequently, NPs </w:t>
      </w:r>
      <w:r w:rsidR="008217E2">
        <w:rPr>
          <w:rFonts w:ascii="Times New Roman" w:hAnsi="Times New Roman" w:cs="Times New Roman"/>
          <w:sz w:val="24"/>
          <w:szCs w:val="24"/>
        </w:rPr>
        <w:t>could mitigate the risk by</w:t>
      </w:r>
      <w:r w:rsidR="00476D97">
        <w:rPr>
          <w:rFonts w:ascii="Times New Roman" w:hAnsi="Times New Roman" w:cs="Times New Roman"/>
          <w:sz w:val="24"/>
          <w:szCs w:val="24"/>
        </w:rPr>
        <w:t xml:space="preserve"> documenting all the relevant patient information based on a comprehensive evaluation and assessment. </w:t>
      </w:r>
      <w:r w:rsidR="00801BC0">
        <w:rPr>
          <w:rFonts w:ascii="Times New Roman" w:hAnsi="Times New Roman" w:cs="Times New Roman"/>
          <w:sz w:val="24"/>
          <w:szCs w:val="24"/>
        </w:rPr>
        <w:t xml:space="preserve">Thirdly, NPs face medication-related risks that may expose them to legal liability. </w:t>
      </w:r>
      <w:r w:rsidR="00476D97">
        <w:rPr>
          <w:rFonts w:ascii="Times New Roman" w:hAnsi="Times New Roman" w:cs="Times New Roman"/>
          <w:sz w:val="24"/>
          <w:szCs w:val="24"/>
        </w:rPr>
        <w:t>The risk factor demands NPs to maintain up-to-date information about FDA warnings and guidelines on medication use, especially among special populations such as adolescents.</w:t>
      </w:r>
      <w:r w:rsidR="008217E2">
        <w:rPr>
          <w:rFonts w:ascii="Times New Roman" w:hAnsi="Times New Roman" w:cs="Times New Roman"/>
          <w:sz w:val="24"/>
          <w:szCs w:val="24"/>
        </w:rPr>
        <w:t xml:space="preserve"> As supported by </w:t>
      </w:r>
      <w:r w:rsidR="008217E2" w:rsidRPr="002213BA">
        <w:rPr>
          <w:rFonts w:ascii="Times New Roman" w:hAnsi="Times New Roman" w:cs="Times New Roman"/>
          <w:sz w:val="24"/>
          <w:szCs w:val="24"/>
        </w:rPr>
        <w:t>Fornaro et al. (2019),</w:t>
      </w:r>
      <w:r w:rsidR="008217E2">
        <w:rPr>
          <w:rFonts w:ascii="Times New Roman" w:hAnsi="Times New Roman" w:cs="Times New Roman"/>
          <w:b/>
          <w:sz w:val="24"/>
          <w:szCs w:val="24"/>
        </w:rPr>
        <w:t xml:space="preserve"> </w:t>
      </w:r>
      <w:r w:rsidR="0041312B">
        <w:rPr>
          <w:rFonts w:ascii="Times New Roman" w:hAnsi="Times New Roman" w:cs="Times New Roman"/>
          <w:sz w:val="24"/>
          <w:szCs w:val="24"/>
        </w:rPr>
        <w:t xml:space="preserve">maintaining evidence-based guidelines and training NPs on existing regulations regarding medication use could mitigate the risk. </w:t>
      </w:r>
      <w:r w:rsidR="00476D97">
        <w:rPr>
          <w:rFonts w:ascii="Times New Roman" w:hAnsi="Times New Roman" w:cs="Times New Roman"/>
          <w:sz w:val="24"/>
          <w:szCs w:val="24"/>
        </w:rPr>
        <w:t>Finally, NPs could face risks associated with gaps in collaboration and supervision.</w:t>
      </w:r>
      <w:r w:rsidR="00D11CD1">
        <w:rPr>
          <w:rFonts w:ascii="Times New Roman" w:hAnsi="Times New Roman" w:cs="Times New Roman"/>
          <w:sz w:val="24"/>
          <w:szCs w:val="24"/>
        </w:rPr>
        <w:t xml:space="preserve"> When working under the supervision of another qualified medical practitioner, NPs should ensure and seek clear lines of communication. In addition, they should constantly seek feedback and guidance from the supervising clinician to ensure appropriate diagnosis and treatment. </w:t>
      </w:r>
      <w:r w:rsidR="0041312B">
        <w:rPr>
          <w:rFonts w:ascii="Times New Roman" w:hAnsi="Times New Roman" w:cs="Times New Roman"/>
          <w:sz w:val="24"/>
          <w:szCs w:val="24"/>
        </w:rPr>
        <w:t xml:space="preserve">Besides, NPs have a professional responsibility for their patients and should ensure care extends beyond the clinical setting. Therefore, patient monitoring and follow-up, for example, through telephone, could </w:t>
      </w:r>
      <w:r w:rsidR="00C05770">
        <w:rPr>
          <w:rFonts w:ascii="Times New Roman" w:hAnsi="Times New Roman" w:cs="Times New Roman"/>
          <w:sz w:val="24"/>
          <w:szCs w:val="24"/>
        </w:rPr>
        <w:t>ensure adequate treatment.</w:t>
      </w:r>
    </w:p>
    <w:p w:rsidR="00C05770" w:rsidRDefault="00C05770" w:rsidP="00402F3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Verdict Speculation</w:t>
      </w:r>
    </w:p>
    <w:p w:rsidR="00C05770" w:rsidRDefault="00C05770" w:rsidP="00402F3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information in the case </w:t>
      </w:r>
      <w:r w:rsidR="00142B74">
        <w:rPr>
          <w:rFonts w:ascii="Times New Roman" w:hAnsi="Times New Roman" w:cs="Times New Roman"/>
          <w:sz w:val="24"/>
          <w:szCs w:val="24"/>
        </w:rPr>
        <w:t xml:space="preserve">presents a </w:t>
      </w:r>
      <w:r w:rsidR="00CE1740">
        <w:rPr>
          <w:rFonts w:ascii="Times New Roman" w:hAnsi="Times New Roman" w:cs="Times New Roman"/>
          <w:sz w:val="24"/>
          <w:szCs w:val="24"/>
        </w:rPr>
        <w:t>complex</w:t>
      </w:r>
      <w:r w:rsidR="00142B74">
        <w:rPr>
          <w:rFonts w:ascii="Times New Roman" w:hAnsi="Times New Roman" w:cs="Times New Roman"/>
          <w:sz w:val="24"/>
          <w:szCs w:val="24"/>
        </w:rPr>
        <w:t xml:space="preserve"> issue</w:t>
      </w:r>
      <w:r w:rsidR="00CE1740">
        <w:rPr>
          <w:rFonts w:ascii="Times New Roman" w:hAnsi="Times New Roman" w:cs="Times New Roman"/>
          <w:sz w:val="24"/>
          <w:szCs w:val="24"/>
        </w:rPr>
        <w:t xml:space="preserve"> that makes the speculation of the verdict challenging</w:t>
      </w:r>
      <w:r w:rsidR="00142B74">
        <w:rPr>
          <w:rFonts w:ascii="Times New Roman" w:hAnsi="Times New Roman" w:cs="Times New Roman"/>
          <w:sz w:val="24"/>
          <w:szCs w:val="24"/>
        </w:rPr>
        <w:t>. The psychiatric NP, as the defendant, had the responsibility for patient care</w:t>
      </w:r>
      <w:r w:rsidR="00CE1740">
        <w:rPr>
          <w:rFonts w:ascii="Times New Roman" w:hAnsi="Times New Roman" w:cs="Times New Roman"/>
          <w:sz w:val="24"/>
          <w:szCs w:val="24"/>
        </w:rPr>
        <w:t xml:space="preserve">. On the one hand, she failed to uphold her professional duty of conducting a comprehensive patient assessment and evaluation before </w:t>
      </w:r>
      <w:r w:rsidR="00EA14D7">
        <w:rPr>
          <w:rFonts w:ascii="Times New Roman" w:hAnsi="Times New Roman" w:cs="Times New Roman"/>
          <w:sz w:val="24"/>
          <w:szCs w:val="24"/>
        </w:rPr>
        <w:t xml:space="preserve">prescribing Prozac. Therefore, she may be deemed liable. On the other hand, the suicide attempt occurred after the patient broke up with her boyfriend and had a fight with her father. The argument implies that the medication may not have played a role in the incident. </w:t>
      </w:r>
      <w:r w:rsidR="00DE716D">
        <w:rPr>
          <w:rFonts w:ascii="Times New Roman" w:hAnsi="Times New Roman" w:cs="Times New Roman"/>
          <w:sz w:val="24"/>
          <w:szCs w:val="24"/>
        </w:rPr>
        <w:t xml:space="preserve">Consequently, the final verdict would depend on the legal process and the consideration of other factors, including the evidence presented, expert testimonies, and interpretation of laws. </w:t>
      </w:r>
    </w:p>
    <w:p w:rsidR="00DE716D" w:rsidRDefault="00DE716D" w:rsidP="00402F3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DE716D" w:rsidRDefault="00DE716D" w:rsidP="00402F3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17F64">
        <w:rPr>
          <w:rFonts w:ascii="Times New Roman" w:hAnsi="Times New Roman" w:cs="Times New Roman"/>
          <w:sz w:val="24"/>
          <w:szCs w:val="24"/>
        </w:rPr>
        <w:t xml:space="preserve">The paper analyzed the case of a 15-year-old patient who committed suicide after a Prozac prescription. It highlights the complex nature of treating individuals </w:t>
      </w:r>
      <w:r w:rsidR="00ED1E86">
        <w:rPr>
          <w:rFonts w:ascii="Times New Roman" w:hAnsi="Times New Roman" w:cs="Times New Roman"/>
          <w:sz w:val="24"/>
          <w:szCs w:val="24"/>
        </w:rPr>
        <w:t xml:space="preserve">in mental health settings pertinent to healthcare professional’s ethical and legal responsibility. The NP and the outpatient clinic had a legal responsibility for the patient. As outlined, the NP did not conduct adequate patient assessment, despite evidence showing the benefits of several screening measures and safety risk assessment tools that could have been applied. </w:t>
      </w:r>
      <w:r w:rsidR="00C73FC9">
        <w:rPr>
          <w:rFonts w:ascii="Times New Roman" w:hAnsi="Times New Roman" w:cs="Times New Roman"/>
          <w:sz w:val="24"/>
          <w:szCs w:val="24"/>
        </w:rPr>
        <w:t>The case illustrates a myriad of risks that NPs should address in their</w:t>
      </w:r>
      <w:r w:rsidR="0044774E">
        <w:rPr>
          <w:rFonts w:ascii="Times New Roman" w:hAnsi="Times New Roman" w:cs="Times New Roman"/>
          <w:sz w:val="24"/>
          <w:szCs w:val="24"/>
        </w:rPr>
        <w:t xml:space="preserve"> practice to ensure optimal patient outcomes. While the case could implicate the NP as negligent, the verdict requires the presentation of evidence showing the role of the prescription on the incident.</w:t>
      </w:r>
    </w:p>
    <w:p w:rsidR="0044774E" w:rsidRDefault="0044774E" w:rsidP="00402F3D">
      <w:pPr>
        <w:spacing w:after="0"/>
        <w:rPr>
          <w:rFonts w:ascii="Times New Roman" w:hAnsi="Times New Roman" w:cs="Times New Roman"/>
          <w:sz w:val="24"/>
          <w:szCs w:val="24"/>
        </w:rPr>
      </w:pPr>
      <w:r>
        <w:rPr>
          <w:rFonts w:ascii="Times New Roman" w:hAnsi="Times New Roman" w:cs="Times New Roman"/>
          <w:sz w:val="24"/>
          <w:szCs w:val="24"/>
        </w:rPr>
        <w:br w:type="page"/>
      </w:r>
    </w:p>
    <w:p w:rsidR="0044774E" w:rsidRDefault="0044774E" w:rsidP="00402F3D">
      <w:pPr>
        <w:spacing w:after="0" w:line="480" w:lineRule="auto"/>
        <w:jc w:val="center"/>
        <w:rPr>
          <w:rFonts w:ascii="Times New Roman" w:hAnsi="Times New Roman" w:cs="Times New Roman"/>
          <w:sz w:val="24"/>
          <w:szCs w:val="24"/>
        </w:rPr>
      </w:pPr>
      <w:r w:rsidRPr="0044774E">
        <w:rPr>
          <w:rFonts w:ascii="Times New Roman" w:hAnsi="Times New Roman" w:cs="Times New Roman"/>
          <w:b/>
          <w:sz w:val="24"/>
          <w:szCs w:val="24"/>
        </w:rPr>
        <w:lastRenderedPageBreak/>
        <w:t>References</w:t>
      </w:r>
    </w:p>
    <w:p w:rsidR="002213BA" w:rsidRPr="0090030F" w:rsidRDefault="002213BA" w:rsidP="00402F3D">
      <w:pPr>
        <w:spacing w:after="0" w:line="480" w:lineRule="auto"/>
        <w:ind w:left="720" w:hanging="720"/>
        <w:rPr>
          <w:rFonts w:ascii="Times New Roman" w:hAnsi="Times New Roman" w:cs="Times New Roman"/>
          <w:sz w:val="24"/>
          <w:szCs w:val="24"/>
          <w:shd w:val="clear" w:color="auto" w:fill="FFFFFF"/>
        </w:rPr>
      </w:pPr>
      <w:r w:rsidRPr="0090030F">
        <w:rPr>
          <w:rFonts w:ascii="Times New Roman" w:hAnsi="Times New Roman" w:cs="Times New Roman"/>
          <w:sz w:val="24"/>
          <w:szCs w:val="24"/>
          <w:shd w:val="clear" w:color="auto" w:fill="FFFFFF"/>
        </w:rPr>
        <w:t xml:space="preserve">Balestra, M. (2018). Telehealth and legal implications for nurse practitioners. The Journal for Nurse Practitioners, 14(1), 33–39. </w:t>
      </w:r>
      <w:hyperlink r:id="rId6" w:history="1">
        <w:r w:rsidRPr="0090030F">
          <w:rPr>
            <w:rStyle w:val="Hyperlink"/>
            <w:rFonts w:ascii="Times New Roman" w:hAnsi="Times New Roman" w:cs="Times New Roman"/>
            <w:sz w:val="24"/>
            <w:szCs w:val="24"/>
            <w:shd w:val="clear" w:color="auto" w:fill="FFFFFF"/>
          </w:rPr>
          <w:t>https://doi.org/10.1016/j.nurpra.2017.10.003</w:t>
        </w:r>
      </w:hyperlink>
      <w:r w:rsidRPr="0090030F">
        <w:rPr>
          <w:rFonts w:ascii="Times New Roman" w:hAnsi="Times New Roman" w:cs="Times New Roman"/>
          <w:sz w:val="24"/>
          <w:szCs w:val="24"/>
          <w:shd w:val="clear" w:color="auto" w:fill="FFFFFF"/>
        </w:rPr>
        <w:t xml:space="preserve"> </w:t>
      </w:r>
    </w:p>
    <w:p w:rsidR="002213BA" w:rsidRDefault="002213BA" w:rsidP="00402F3D">
      <w:pPr>
        <w:spacing w:after="0" w:line="480" w:lineRule="auto"/>
        <w:ind w:left="720" w:hanging="720"/>
        <w:rPr>
          <w:rFonts w:ascii="Times New Roman" w:hAnsi="Times New Roman" w:cs="Times New Roman"/>
          <w:sz w:val="24"/>
          <w:szCs w:val="24"/>
        </w:rPr>
      </w:pPr>
      <w:r w:rsidRPr="00006D63">
        <w:rPr>
          <w:rFonts w:ascii="Times New Roman" w:hAnsi="Times New Roman" w:cs="Times New Roman"/>
          <w:sz w:val="24"/>
          <w:szCs w:val="24"/>
        </w:rPr>
        <w:t xml:space="preserve">Beirão, D., Monte, H., Amaral, M., Longras, A., &amp; Matos, C. (2020). Depression in adolescence: A review. </w:t>
      </w:r>
      <w:r w:rsidRPr="00006D63">
        <w:rPr>
          <w:rFonts w:ascii="Times New Roman" w:hAnsi="Times New Roman" w:cs="Times New Roman"/>
          <w:i/>
          <w:iCs/>
          <w:sz w:val="24"/>
          <w:szCs w:val="24"/>
        </w:rPr>
        <w:t>Middle East Current Psychiatry</w:t>
      </w:r>
      <w:r w:rsidRPr="00006D63">
        <w:rPr>
          <w:rFonts w:ascii="Times New Roman" w:hAnsi="Times New Roman" w:cs="Times New Roman"/>
          <w:sz w:val="24"/>
          <w:szCs w:val="24"/>
        </w:rPr>
        <w:t xml:space="preserve">, </w:t>
      </w:r>
      <w:r w:rsidRPr="00006D63">
        <w:rPr>
          <w:rFonts w:ascii="Times New Roman" w:hAnsi="Times New Roman" w:cs="Times New Roman"/>
          <w:i/>
          <w:iCs/>
          <w:sz w:val="24"/>
          <w:szCs w:val="24"/>
        </w:rPr>
        <w:t>27</w:t>
      </w:r>
      <w:r w:rsidRPr="00006D63">
        <w:rPr>
          <w:rFonts w:ascii="Times New Roman" w:hAnsi="Times New Roman" w:cs="Times New Roman"/>
          <w:sz w:val="24"/>
          <w:szCs w:val="24"/>
        </w:rPr>
        <w:t xml:space="preserve">(1), 1-9. </w:t>
      </w:r>
      <w:hyperlink r:id="rId7" w:history="1">
        <w:r w:rsidRPr="00006D63">
          <w:rPr>
            <w:rStyle w:val="Hyperlink"/>
            <w:rFonts w:ascii="Times New Roman" w:hAnsi="Times New Roman" w:cs="Times New Roman"/>
            <w:sz w:val="24"/>
            <w:szCs w:val="24"/>
          </w:rPr>
          <w:t>https://doi.org/10.1186/s43045-020-00050-z</w:t>
        </w:r>
      </w:hyperlink>
      <w:r w:rsidRPr="00006D6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213BA" w:rsidRDefault="002213BA" w:rsidP="00402F3D">
      <w:pPr>
        <w:spacing w:after="0" w:line="480" w:lineRule="auto"/>
        <w:ind w:left="720" w:hanging="720"/>
        <w:rPr>
          <w:rFonts w:ascii="Times New Roman" w:eastAsia="Times New Roman" w:hAnsi="Times New Roman" w:cs="Times New Roman"/>
          <w:sz w:val="24"/>
          <w:szCs w:val="24"/>
        </w:rPr>
      </w:pPr>
      <w:r w:rsidRPr="005C1E5D">
        <w:rPr>
          <w:rFonts w:ascii="Times New Roman" w:eastAsia="Times New Roman" w:hAnsi="Times New Roman" w:cs="Times New Roman"/>
          <w:sz w:val="24"/>
          <w:szCs w:val="24"/>
        </w:rPr>
        <w:t xml:space="preserve">Bjureberg, J., Dahlin, M., Carlborg, A., Edberg, H., Haglund, A., &amp; Runeson, B. (2022). Columbia-Suicide Severity Rating Scale Screen Version: Initial screening for suicide risk in a psychiatric emergency department. </w:t>
      </w:r>
      <w:r w:rsidRPr="005C1E5D">
        <w:rPr>
          <w:rFonts w:ascii="Times New Roman" w:eastAsia="Times New Roman" w:hAnsi="Times New Roman" w:cs="Times New Roman"/>
          <w:i/>
          <w:iCs/>
          <w:sz w:val="24"/>
          <w:szCs w:val="24"/>
        </w:rPr>
        <w:t>Psychological Medicine</w:t>
      </w:r>
      <w:r w:rsidRPr="005C1E5D">
        <w:rPr>
          <w:rFonts w:ascii="Times New Roman" w:eastAsia="Times New Roman" w:hAnsi="Times New Roman" w:cs="Times New Roman"/>
          <w:sz w:val="24"/>
          <w:szCs w:val="24"/>
        </w:rPr>
        <w:t xml:space="preserve">, </w:t>
      </w:r>
      <w:r w:rsidRPr="005C1E5D">
        <w:rPr>
          <w:rFonts w:ascii="Times New Roman" w:eastAsia="Times New Roman" w:hAnsi="Times New Roman" w:cs="Times New Roman"/>
          <w:i/>
          <w:iCs/>
          <w:sz w:val="24"/>
          <w:szCs w:val="24"/>
        </w:rPr>
        <w:t>52</w:t>
      </w:r>
      <w:r w:rsidRPr="005C1E5D">
        <w:rPr>
          <w:rFonts w:ascii="Times New Roman" w:eastAsia="Times New Roman" w:hAnsi="Times New Roman" w:cs="Times New Roman"/>
          <w:sz w:val="24"/>
          <w:szCs w:val="24"/>
        </w:rPr>
        <w:t xml:space="preserve">(16), 3904-3912. </w:t>
      </w:r>
      <w:hyperlink r:id="rId8" w:history="1">
        <w:r w:rsidRPr="00E85277">
          <w:rPr>
            <w:rStyle w:val="Hyperlink"/>
            <w:rFonts w:ascii="Times New Roman" w:eastAsia="Times New Roman" w:hAnsi="Times New Roman" w:cs="Times New Roman"/>
            <w:sz w:val="24"/>
            <w:szCs w:val="24"/>
          </w:rPr>
          <w:t>https://doi.org/10.1017/S0033291721000751</w:t>
        </w:r>
      </w:hyperlink>
      <w:r>
        <w:rPr>
          <w:rFonts w:ascii="Times New Roman" w:eastAsia="Times New Roman" w:hAnsi="Times New Roman" w:cs="Times New Roman"/>
          <w:sz w:val="24"/>
          <w:szCs w:val="24"/>
        </w:rPr>
        <w:t xml:space="preserve"> </w:t>
      </w:r>
    </w:p>
    <w:p w:rsidR="002213BA" w:rsidRDefault="002213BA" w:rsidP="00402F3D">
      <w:pPr>
        <w:spacing w:after="0" w:line="480" w:lineRule="auto"/>
        <w:ind w:left="720" w:hanging="720"/>
        <w:rPr>
          <w:rFonts w:ascii="Times New Roman" w:hAnsi="Times New Roman" w:cs="Times New Roman"/>
          <w:sz w:val="24"/>
          <w:szCs w:val="24"/>
          <w:shd w:val="clear" w:color="auto" w:fill="FFFFFF"/>
        </w:rPr>
      </w:pPr>
      <w:r w:rsidRPr="00006D63">
        <w:rPr>
          <w:rFonts w:ascii="Times New Roman" w:hAnsi="Times New Roman" w:cs="Times New Roman"/>
          <w:sz w:val="24"/>
          <w:szCs w:val="24"/>
          <w:shd w:val="clear" w:color="auto" w:fill="FFFFFF"/>
        </w:rPr>
        <w:t>Buppert, C. (2021). Nurse practitioner’s business practice and legal guide (7th ed.). Jones and Bartlett Publishers.</w:t>
      </w:r>
      <w:r>
        <w:rPr>
          <w:rFonts w:ascii="Times New Roman" w:hAnsi="Times New Roman" w:cs="Times New Roman"/>
          <w:sz w:val="24"/>
          <w:szCs w:val="24"/>
          <w:shd w:val="clear" w:color="auto" w:fill="FFFFFF"/>
        </w:rPr>
        <w:t xml:space="preserve"> </w:t>
      </w:r>
    </w:p>
    <w:p w:rsidR="002213BA" w:rsidRDefault="002213BA" w:rsidP="00402F3D">
      <w:pPr>
        <w:spacing w:after="0" w:line="480" w:lineRule="auto"/>
        <w:ind w:left="720" w:hanging="720"/>
        <w:rPr>
          <w:rStyle w:val="Hyperlink"/>
          <w:rFonts w:ascii="Times New Roman" w:hAnsi="Times New Roman" w:cs="Times New Roman"/>
          <w:sz w:val="24"/>
          <w:szCs w:val="24"/>
        </w:rPr>
      </w:pPr>
      <w:r w:rsidRPr="00006D63">
        <w:rPr>
          <w:rFonts w:ascii="Times New Roman" w:hAnsi="Times New Roman" w:cs="Times New Roman"/>
          <w:sz w:val="24"/>
          <w:szCs w:val="24"/>
        </w:rPr>
        <w:t xml:space="preserve">Coombs, N. C., Meriwether, W. E., Caringi, J., &amp; Newcomer, S. R. (2021). Barriers to healthcare access among U.S. adults with mental health challenges: A population-based study. </w:t>
      </w:r>
      <w:r w:rsidRPr="00006D63">
        <w:rPr>
          <w:rFonts w:ascii="Times New Roman" w:hAnsi="Times New Roman" w:cs="Times New Roman"/>
          <w:i/>
          <w:iCs/>
          <w:sz w:val="24"/>
          <w:szCs w:val="24"/>
        </w:rPr>
        <w:t>SSM - Population Health</w:t>
      </w:r>
      <w:r w:rsidRPr="00006D63">
        <w:rPr>
          <w:rFonts w:ascii="Times New Roman" w:hAnsi="Times New Roman" w:cs="Times New Roman"/>
          <w:sz w:val="24"/>
          <w:szCs w:val="24"/>
        </w:rPr>
        <w:t xml:space="preserve">, </w:t>
      </w:r>
      <w:r w:rsidRPr="00006D63">
        <w:rPr>
          <w:rFonts w:ascii="Times New Roman" w:hAnsi="Times New Roman" w:cs="Times New Roman"/>
          <w:i/>
          <w:iCs/>
          <w:sz w:val="24"/>
          <w:szCs w:val="24"/>
        </w:rPr>
        <w:t>15</w:t>
      </w:r>
      <w:r w:rsidRPr="00006D63">
        <w:rPr>
          <w:rFonts w:ascii="Times New Roman" w:hAnsi="Times New Roman" w:cs="Times New Roman"/>
          <w:sz w:val="24"/>
          <w:szCs w:val="24"/>
        </w:rPr>
        <w:t xml:space="preserve">. </w:t>
      </w:r>
      <w:hyperlink r:id="rId9" w:history="1">
        <w:r w:rsidRPr="00006D63">
          <w:rPr>
            <w:rStyle w:val="Hyperlink"/>
            <w:rFonts w:ascii="Times New Roman" w:hAnsi="Times New Roman" w:cs="Times New Roman"/>
            <w:sz w:val="24"/>
            <w:szCs w:val="24"/>
          </w:rPr>
          <w:t>https://doi.org/10.1016/j.ssmph.2021.100847</w:t>
        </w:r>
      </w:hyperlink>
    </w:p>
    <w:p w:rsidR="002213BA" w:rsidRPr="002213BA" w:rsidRDefault="002213BA" w:rsidP="00402F3D">
      <w:pPr>
        <w:spacing w:after="0" w:line="480" w:lineRule="auto"/>
        <w:ind w:left="720" w:hanging="720"/>
        <w:rPr>
          <w:rFonts w:ascii="Times New Roman" w:hAnsi="Times New Roman" w:cs="Times New Roman"/>
          <w:b/>
          <w:bCs/>
          <w:sz w:val="24"/>
          <w:szCs w:val="24"/>
        </w:rPr>
      </w:pPr>
      <w:r w:rsidRPr="00006D63">
        <w:rPr>
          <w:rFonts w:ascii="Times New Roman" w:hAnsi="Times New Roman" w:cs="Times New Roman"/>
          <w:sz w:val="24"/>
          <w:szCs w:val="24"/>
        </w:rPr>
        <w:t xml:space="preserve">Fornaro, M., Anastasia, A., Valchera, A., Carano, A., Orsolini, L., Vellante, F., Rapini, G., Olivieri, L., Natale, S. D., Perna, G., Martinotti, G., Giannantonio, M. D., &amp; Berardis, D. </w:t>
      </w:r>
      <w:r>
        <w:rPr>
          <w:rFonts w:ascii="Times New Roman" w:hAnsi="Times New Roman" w:cs="Times New Roman"/>
          <w:sz w:val="24"/>
          <w:szCs w:val="24"/>
        </w:rPr>
        <w:t>D. (2019). The FDA “Black Box” w</w:t>
      </w:r>
      <w:r w:rsidRPr="00006D63">
        <w:rPr>
          <w:rFonts w:ascii="Times New Roman" w:hAnsi="Times New Roman" w:cs="Times New Roman"/>
          <w:sz w:val="24"/>
          <w:szCs w:val="24"/>
        </w:rPr>
        <w:t xml:space="preserve">arning on </w:t>
      </w:r>
      <w:r w:rsidRPr="00006D63">
        <w:rPr>
          <w:rFonts w:ascii="Times New Roman" w:hAnsi="Times New Roman" w:cs="Times New Roman"/>
          <w:sz w:val="24"/>
          <w:szCs w:val="24"/>
        </w:rPr>
        <w:t xml:space="preserve">antidepressant suicide risk in young adults: </w:t>
      </w:r>
      <w:r>
        <w:rPr>
          <w:rFonts w:ascii="Times New Roman" w:hAnsi="Times New Roman" w:cs="Times New Roman"/>
          <w:sz w:val="24"/>
          <w:szCs w:val="24"/>
        </w:rPr>
        <w:t>More harm than b</w:t>
      </w:r>
      <w:r w:rsidRPr="00006D63">
        <w:rPr>
          <w:rFonts w:ascii="Times New Roman" w:hAnsi="Times New Roman" w:cs="Times New Roman"/>
          <w:sz w:val="24"/>
          <w:szCs w:val="24"/>
        </w:rPr>
        <w:t xml:space="preserve">enefits? </w:t>
      </w:r>
      <w:r w:rsidRPr="00006D63">
        <w:rPr>
          <w:rFonts w:ascii="Times New Roman" w:hAnsi="Times New Roman" w:cs="Times New Roman"/>
          <w:i/>
          <w:iCs/>
          <w:sz w:val="24"/>
          <w:szCs w:val="24"/>
        </w:rPr>
        <w:t>Frontiers in Psychiatry</w:t>
      </w:r>
      <w:r w:rsidRPr="00006D63">
        <w:rPr>
          <w:rFonts w:ascii="Times New Roman" w:hAnsi="Times New Roman" w:cs="Times New Roman"/>
          <w:sz w:val="24"/>
          <w:szCs w:val="24"/>
        </w:rPr>
        <w:t xml:space="preserve">, </w:t>
      </w:r>
      <w:r w:rsidRPr="00006D63">
        <w:rPr>
          <w:rFonts w:ascii="Times New Roman" w:hAnsi="Times New Roman" w:cs="Times New Roman"/>
          <w:i/>
          <w:iCs/>
          <w:sz w:val="24"/>
          <w:szCs w:val="24"/>
        </w:rPr>
        <w:t>10</w:t>
      </w:r>
      <w:r w:rsidRPr="00006D63">
        <w:rPr>
          <w:rFonts w:ascii="Times New Roman" w:hAnsi="Times New Roman" w:cs="Times New Roman"/>
          <w:sz w:val="24"/>
          <w:szCs w:val="24"/>
        </w:rPr>
        <w:t xml:space="preserve">. </w:t>
      </w:r>
      <w:hyperlink r:id="rId10" w:history="1">
        <w:r w:rsidRPr="00006D63">
          <w:rPr>
            <w:rStyle w:val="Hyperlink"/>
            <w:rFonts w:ascii="Times New Roman" w:hAnsi="Times New Roman" w:cs="Times New Roman"/>
            <w:sz w:val="24"/>
            <w:szCs w:val="24"/>
          </w:rPr>
          <w:t>https://doi.org/10.3389/fpsyt.2019.00294</w:t>
        </w:r>
      </w:hyperlink>
      <w:r w:rsidRPr="00006D63">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2213BA" w:rsidRDefault="002213BA" w:rsidP="00402F3D">
      <w:pPr>
        <w:spacing w:after="0" w:line="480" w:lineRule="auto"/>
        <w:ind w:left="720" w:hanging="720"/>
        <w:rPr>
          <w:rFonts w:ascii="Times New Roman" w:eastAsia="Times New Roman" w:hAnsi="Times New Roman" w:cs="Times New Roman"/>
          <w:sz w:val="24"/>
          <w:szCs w:val="24"/>
        </w:rPr>
      </w:pPr>
      <w:r w:rsidRPr="005C1E5D">
        <w:rPr>
          <w:rFonts w:ascii="Times New Roman" w:eastAsia="Times New Roman" w:hAnsi="Times New Roman" w:cs="Times New Roman"/>
          <w:sz w:val="24"/>
          <w:szCs w:val="24"/>
        </w:rPr>
        <w:t xml:space="preserve">Gorman, L. S., Littlewood, D. L., Quinlivan, L., Monaghan, E., Smith, J., Barlow, S., Webb, R. T., &amp; Kapur, N. (2023). Family involvement, patient safety and suicide prevention in </w:t>
      </w:r>
      <w:r w:rsidRPr="005C1E5D">
        <w:rPr>
          <w:rFonts w:ascii="Times New Roman" w:eastAsia="Times New Roman" w:hAnsi="Times New Roman" w:cs="Times New Roman"/>
          <w:sz w:val="24"/>
          <w:szCs w:val="24"/>
        </w:rPr>
        <w:lastRenderedPageBreak/>
        <w:t xml:space="preserve">mental healthcare: Ethnographic study. </w:t>
      </w:r>
      <w:r w:rsidRPr="005C1E5D">
        <w:rPr>
          <w:rFonts w:ascii="Times New Roman" w:eastAsia="Times New Roman" w:hAnsi="Times New Roman" w:cs="Times New Roman"/>
          <w:i/>
          <w:iCs/>
          <w:sz w:val="24"/>
          <w:szCs w:val="24"/>
        </w:rPr>
        <w:t>BJPsych Open</w:t>
      </w:r>
      <w:r w:rsidRPr="005C1E5D">
        <w:rPr>
          <w:rFonts w:ascii="Times New Roman" w:eastAsia="Times New Roman" w:hAnsi="Times New Roman" w:cs="Times New Roman"/>
          <w:sz w:val="24"/>
          <w:szCs w:val="24"/>
        </w:rPr>
        <w:t xml:space="preserve">, </w:t>
      </w:r>
      <w:r w:rsidRPr="005C1E5D">
        <w:rPr>
          <w:rFonts w:ascii="Times New Roman" w:eastAsia="Times New Roman" w:hAnsi="Times New Roman" w:cs="Times New Roman"/>
          <w:i/>
          <w:iCs/>
          <w:sz w:val="24"/>
          <w:szCs w:val="24"/>
        </w:rPr>
        <w:t>9</w:t>
      </w:r>
      <w:r w:rsidRPr="005C1E5D">
        <w:rPr>
          <w:rFonts w:ascii="Times New Roman" w:eastAsia="Times New Roman" w:hAnsi="Times New Roman" w:cs="Times New Roman"/>
          <w:sz w:val="24"/>
          <w:szCs w:val="24"/>
        </w:rPr>
        <w:t xml:space="preserve">(2). </w:t>
      </w:r>
      <w:hyperlink r:id="rId11" w:history="1">
        <w:r w:rsidRPr="00E85277">
          <w:rPr>
            <w:rStyle w:val="Hyperlink"/>
            <w:rFonts w:ascii="Times New Roman" w:eastAsia="Times New Roman" w:hAnsi="Times New Roman" w:cs="Times New Roman"/>
            <w:sz w:val="24"/>
            <w:szCs w:val="24"/>
          </w:rPr>
          <w:t>https://doi.org/10.1192/bjo.2023.26</w:t>
        </w:r>
      </w:hyperlink>
      <w:r>
        <w:rPr>
          <w:rFonts w:ascii="Times New Roman" w:eastAsia="Times New Roman" w:hAnsi="Times New Roman" w:cs="Times New Roman"/>
          <w:sz w:val="24"/>
          <w:szCs w:val="24"/>
        </w:rPr>
        <w:t xml:space="preserve"> </w:t>
      </w:r>
    </w:p>
    <w:p w:rsidR="002213BA" w:rsidRPr="00CC378F" w:rsidRDefault="002213BA" w:rsidP="00402F3D">
      <w:pPr>
        <w:spacing w:after="0" w:line="480" w:lineRule="auto"/>
        <w:ind w:left="720" w:hanging="720"/>
        <w:rPr>
          <w:rFonts w:ascii="Times New Roman" w:eastAsia="Times New Roman" w:hAnsi="Times New Roman" w:cs="Times New Roman"/>
          <w:sz w:val="24"/>
          <w:szCs w:val="24"/>
        </w:rPr>
      </w:pPr>
      <w:r w:rsidRPr="00CC378F">
        <w:rPr>
          <w:rFonts w:ascii="Times New Roman" w:eastAsia="Times New Roman" w:hAnsi="Times New Roman" w:cs="Times New Roman"/>
          <w:sz w:val="24"/>
          <w:szCs w:val="24"/>
        </w:rPr>
        <w:t xml:space="preserve">Huline-Dickens, S. (2023). The mental state examination. </w:t>
      </w:r>
      <w:r w:rsidRPr="00CC378F">
        <w:rPr>
          <w:rFonts w:ascii="Times New Roman" w:eastAsia="Times New Roman" w:hAnsi="Times New Roman" w:cs="Times New Roman"/>
          <w:i/>
          <w:iCs/>
          <w:sz w:val="24"/>
          <w:szCs w:val="24"/>
        </w:rPr>
        <w:t>Advances in Psychiatric Treatment</w:t>
      </w:r>
      <w:r w:rsidRPr="00CC378F">
        <w:rPr>
          <w:rFonts w:ascii="Times New Roman" w:eastAsia="Times New Roman" w:hAnsi="Times New Roman" w:cs="Times New Roman"/>
          <w:sz w:val="24"/>
          <w:szCs w:val="24"/>
        </w:rPr>
        <w:t xml:space="preserve">, </w:t>
      </w:r>
      <w:r w:rsidRPr="00CC378F">
        <w:rPr>
          <w:rFonts w:ascii="Times New Roman" w:eastAsia="Times New Roman" w:hAnsi="Times New Roman" w:cs="Times New Roman"/>
          <w:i/>
          <w:iCs/>
          <w:sz w:val="24"/>
          <w:szCs w:val="24"/>
        </w:rPr>
        <w:t>19</w:t>
      </w:r>
      <w:r w:rsidRPr="00CC378F">
        <w:rPr>
          <w:rFonts w:ascii="Times New Roman" w:eastAsia="Times New Roman" w:hAnsi="Times New Roman" w:cs="Times New Roman"/>
          <w:sz w:val="24"/>
          <w:szCs w:val="24"/>
        </w:rPr>
        <w:t xml:space="preserve">(2), 97-98. </w:t>
      </w:r>
      <w:hyperlink r:id="rId12" w:history="1">
        <w:r w:rsidRPr="00CC378F">
          <w:rPr>
            <w:rStyle w:val="Hyperlink"/>
            <w:rFonts w:ascii="Times New Roman" w:eastAsia="Times New Roman" w:hAnsi="Times New Roman" w:cs="Times New Roman"/>
            <w:sz w:val="24"/>
            <w:szCs w:val="24"/>
          </w:rPr>
          <w:t>https://doi.org/10.1192/apt.bp.112.010215</w:t>
        </w:r>
      </w:hyperlink>
      <w:r w:rsidRPr="00CC378F">
        <w:rPr>
          <w:rFonts w:ascii="Times New Roman" w:eastAsia="Times New Roman" w:hAnsi="Times New Roman" w:cs="Times New Roman"/>
          <w:sz w:val="24"/>
          <w:szCs w:val="24"/>
        </w:rPr>
        <w:t xml:space="preserve"> </w:t>
      </w:r>
    </w:p>
    <w:p w:rsidR="002213BA" w:rsidRDefault="002213BA" w:rsidP="00402F3D">
      <w:pPr>
        <w:spacing w:after="0" w:line="480" w:lineRule="auto"/>
        <w:ind w:left="720" w:hanging="720"/>
        <w:rPr>
          <w:rFonts w:ascii="Times New Roman" w:eastAsia="Times New Roman" w:hAnsi="Times New Roman" w:cs="Times New Roman"/>
          <w:sz w:val="24"/>
          <w:szCs w:val="24"/>
        </w:rPr>
      </w:pPr>
      <w:r w:rsidRPr="005C1E5D">
        <w:rPr>
          <w:rFonts w:ascii="Times New Roman" w:eastAsia="Times New Roman" w:hAnsi="Times New Roman" w:cs="Times New Roman"/>
          <w:sz w:val="24"/>
          <w:szCs w:val="24"/>
        </w:rPr>
        <w:t xml:space="preserve">Karrouri, R., Hammani, Z., Benjelloun, R., &amp; Otheman, Y. (2021). Major depressive disorder: Validated treatments and future challenges. </w:t>
      </w:r>
      <w:r w:rsidRPr="005C1E5D">
        <w:rPr>
          <w:rFonts w:ascii="Times New Roman" w:eastAsia="Times New Roman" w:hAnsi="Times New Roman" w:cs="Times New Roman"/>
          <w:i/>
          <w:iCs/>
          <w:sz w:val="24"/>
          <w:szCs w:val="24"/>
        </w:rPr>
        <w:t>World Journal of Clinical Cases</w:t>
      </w:r>
      <w:r w:rsidRPr="005C1E5D">
        <w:rPr>
          <w:rFonts w:ascii="Times New Roman" w:eastAsia="Times New Roman" w:hAnsi="Times New Roman" w:cs="Times New Roman"/>
          <w:sz w:val="24"/>
          <w:szCs w:val="24"/>
        </w:rPr>
        <w:t xml:space="preserve">, </w:t>
      </w:r>
      <w:r w:rsidRPr="005C1E5D">
        <w:rPr>
          <w:rFonts w:ascii="Times New Roman" w:eastAsia="Times New Roman" w:hAnsi="Times New Roman" w:cs="Times New Roman"/>
          <w:i/>
          <w:iCs/>
          <w:sz w:val="24"/>
          <w:szCs w:val="24"/>
        </w:rPr>
        <w:t>9</w:t>
      </w:r>
      <w:r w:rsidRPr="005C1E5D">
        <w:rPr>
          <w:rFonts w:ascii="Times New Roman" w:eastAsia="Times New Roman" w:hAnsi="Times New Roman" w:cs="Times New Roman"/>
          <w:sz w:val="24"/>
          <w:szCs w:val="24"/>
        </w:rPr>
        <w:t xml:space="preserve">(31), 9350-9367. </w:t>
      </w:r>
      <w:hyperlink r:id="rId13" w:history="1">
        <w:r w:rsidRPr="00E85277">
          <w:rPr>
            <w:rStyle w:val="Hyperlink"/>
            <w:rFonts w:ascii="Times New Roman" w:eastAsia="Times New Roman" w:hAnsi="Times New Roman" w:cs="Times New Roman"/>
            <w:sz w:val="24"/>
            <w:szCs w:val="24"/>
          </w:rPr>
          <w:t>https://doi.org/10.12998/wjcc.v9.i31.9350</w:t>
        </w:r>
      </w:hyperlink>
      <w:r>
        <w:rPr>
          <w:rFonts w:ascii="Times New Roman" w:eastAsia="Times New Roman" w:hAnsi="Times New Roman" w:cs="Times New Roman"/>
          <w:sz w:val="24"/>
          <w:szCs w:val="24"/>
        </w:rPr>
        <w:t xml:space="preserve"> </w:t>
      </w:r>
    </w:p>
    <w:p w:rsidR="002213BA" w:rsidRDefault="002213BA" w:rsidP="00402F3D">
      <w:pPr>
        <w:spacing w:after="0" w:line="480" w:lineRule="auto"/>
        <w:ind w:left="720" w:hanging="720"/>
        <w:rPr>
          <w:rStyle w:val="Hyperlink"/>
          <w:rFonts w:ascii="Times New Roman" w:hAnsi="Times New Roman" w:cs="Times New Roman"/>
          <w:sz w:val="24"/>
          <w:szCs w:val="24"/>
        </w:rPr>
      </w:pPr>
      <w:r w:rsidRPr="00006D63">
        <w:rPr>
          <w:rFonts w:ascii="Times New Roman" w:hAnsi="Times New Roman" w:cs="Times New Roman"/>
          <w:sz w:val="24"/>
          <w:szCs w:val="24"/>
        </w:rPr>
        <w:t>Li, K., Zhou, G., Xiao, Y., Gu, J., Chen, Q., Xie</w:t>
      </w:r>
      <w:r>
        <w:rPr>
          <w:rFonts w:ascii="Times New Roman" w:hAnsi="Times New Roman" w:cs="Times New Roman"/>
          <w:sz w:val="24"/>
          <w:szCs w:val="24"/>
        </w:rPr>
        <w:t>, S., &amp; Wu, J. (2022). Risk of s</w:t>
      </w:r>
      <w:r w:rsidRPr="00006D63">
        <w:rPr>
          <w:rFonts w:ascii="Times New Roman" w:hAnsi="Times New Roman" w:cs="Times New Roman"/>
          <w:sz w:val="24"/>
          <w:szCs w:val="24"/>
        </w:rPr>
        <w:t xml:space="preserve">uicidal </w:t>
      </w:r>
      <w:r w:rsidRPr="00006D63">
        <w:rPr>
          <w:rFonts w:ascii="Times New Roman" w:hAnsi="Times New Roman" w:cs="Times New Roman"/>
          <w:sz w:val="24"/>
          <w:szCs w:val="24"/>
        </w:rPr>
        <w:t>behaviors and antidepressant exposure among children and adolescents</w:t>
      </w:r>
      <w:r w:rsidRPr="00006D63">
        <w:rPr>
          <w:rFonts w:ascii="Times New Roman" w:hAnsi="Times New Roman" w:cs="Times New Roman"/>
          <w:sz w:val="24"/>
          <w:szCs w:val="24"/>
        </w:rPr>
        <w:t>: A</w:t>
      </w:r>
      <w:r>
        <w:rPr>
          <w:rFonts w:ascii="Times New Roman" w:hAnsi="Times New Roman" w:cs="Times New Roman"/>
          <w:sz w:val="24"/>
          <w:szCs w:val="24"/>
        </w:rPr>
        <w:t xml:space="preserve"> meta-analysis of observational s</w:t>
      </w:r>
      <w:r w:rsidRPr="00006D63">
        <w:rPr>
          <w:rFonts w:ascii="Times New Roman" w:hAnsi="Times New Roman" w:cs="Times New Roman"/>
          <w:sz w:val="24"/>
          <w:szCs w:val="24"/>
        </w:rPr>
        <w:t xml:space="preserve">tudies. </w:t>
      </w:r>
      <w:r w:rsidRPr="00006D63">
        <w:rPr>
          <w:rFonts w:ascii="Times New Roman" w:hAnsi="Times New Roman" w:cs="Times New Roman"/>
          <w:i/>
          <w:iCs/>
          <w:sz w:val="24"/>
          <w:szCs w:val="24"/>
        </w:rPr>
        <w:t>Frontiers in Psychiatry</w:t>
      </w:r>
      <w:r w:rsidRPr="00006D63">
        <w:rPr>
          <w:rFonts w:ascii="Times New Roman" w:hAnsi="Times New Roman" w:cs="Times New Roman"/>
          <w:sz w:val="24"/>
          <w:szCs w:val="24"/>
        </w:rPr>
        <w:t xml:space="preserve">, </w:t>
      </w:r>
      <w:r w:rsidRPr="00006D63">
        <w:rPr>
          <w:rFonts w:ascii="Times New Roman" w:hAnsi="Times New Roman" w:cs="Times New Roman"/>
          <w:i/>
          <w:iCs/>
          <w:sz w:val="24"/>
          <w:szCs w:val="24"/>
        </w:rPr>
        <w:t>13</w:t>
      </w:r>
      <w:r w:rsidRPr="00006D63">
        <w:rPr>
          <w:rFonts w:ascii="Times New Roman" w:hAnsi="Times New Roman" w:cs="Times New Roman"/>
          <w:sz w:val="24"/>
          <w:szCs w:val="24"/>
        </w:rPr>
        <w:t xml:space="preserve">, 880496. </w:t>
      </w:r>
      <w:hyperlink r:id="rId14" w:history="1">
        <w:r w:rsidRPr="00006D63">
          <w:rPr>
            <w:rStyle w:val="Hyperlink"/>
            <w:rFonts w:ascii="Times New Roman" w:hAnsi="Times New Roman" w:cs="Times New Roman"/>
            <w:sz w:val="24"/>
            <w:szCs w:val="24"/>
          </w:rPr>
          <w:t>https://doi.org/10.3389/fpsyt.2022.880496</w:t>
        </w:r>
      </w:hyperlink>
    </w:p>
    <w:p w:rsidR="002213BA" w:rsidRDefault="002213BA" w:rsidP="00402F3D">
      <w:pPr>
        <w:spacing w:after="0" w:line="480" w:lineRule="auto"/>
        <w:ind w:left="720" w:hanging="720"/>
        <w:rPr>
          <w:rFonts w:ascii="Times New Roman" w:eastAsia="Times New Roman" w:hAnsi="Times New Roman" w:cs="Times New Roman"/>
          <w:sz w:val="24"/>
          <w:szCs w:val="24"/>
        </w:rPr>
      </w:pPr>
      <w:r w:rsidRPr="00006D63">
        <w:rPr>
          <w:rFonts w:ascii="Times New Roman" w:hAnsi="Times New Roman" w:cs="Times New Roman"/>
          <w:color w:val="222222"/>
          <w:sz w:val="24"/>
          <w:szCs w:val="24"/>
          <w:shd w:val="clear" w:color="auto" w:fill="FFFFFF"/>
        </w:rPr>
        <w:t>Mangione, C. M., Barry, M. J., Nicholson, W. K., Cabana, M., Chelmow, D., Coker, T. R., ... &amp; US Preventive Services Task Force. (2022). Screening for depression and suicide risk in children and adolescents: US Preventive Services Task Force Recommendation Statement. </w:t>
      </w:r>
      <w:r w:rsidRPr="00006D63">
        <w:rPr>
          <w:rFonts w:ascii="Times New Roman" w:hAnsi="Times New Roman" w:cs="Times New Roman"/>
          <w:i/>
          <w:iCs/>
          <w:color w:val="222222"/>
          <w:sz w:val="24"/>
          <w:szCs w:val="24"/>
          <w:shd w:val="clear" w:color="auto" w:fill="FFFFFF"/>
        </w:rPr>
        <w:t>JAMA</w:t>
      </w:r>
      <w:r w:rsidRPr="00006D63">
        <w:rPr>
          <w:rFonts w:ascii="Times New Roman" w:hAnsi="Times New Roman" w:cs="Times New Roman"/>
          <w:color w:val="222222"/>
          <w:sz w:val="24"/>
          <w:szCs w:val="24"/>
          <w:shd w:val="clear" w:color="auto" w:fill="FFFFFF"/>
        </w:rPr>
        <w:t>, </w:t>
      </w:r>
      <w:r w:rsidRPr="00006D63">
        <w:rPr>
          <w:rFonts w:ascii="Times New Roman" w:hAnsi="Times New Roman" w:cs="Times New Roman"/>
          <w:i/>
          <w:iCs/>
          <w:color w:val="222222"/>
          <w:sz w:val="24"/>
          <w:szCs w:val="24"/>
          <w:shd w:val="clear" w:color="auto" w:fill="FFFFFF"/>
        </w:rPr>
        <w:t>328</w:t>
      </w:r>
      <w:r w:rsidRPr="00006D63">
        <w:rPr>
          <w:rFonts w:ascii="Times New Roman" w:hAnsi="Times New Roman" w:cs="Times New Roman"/>
          <w:color w:val="222222"/>
          <w:sz w:val="24"/>
          <w:szCs w:val="24"/>
          <w:shd w:val="clear" w:color="auto" w:fill="FFFFFF"/>
        </w:rPr>
        <w:t xml:space="preserve">(15), 1534-1542. </w:t>
      </w:r>
      <w:hyperlink r:id="rId15" w:history="1">
        <w:r w:rsidRPr="00006D63">
          <w:rPr>
            <w:rStyle w:val="Hyperlink"/>
            <w:rFonts w:ascii="Times New Roman" w:hAnsi="Times New Roman" w:cs="Times New Roman"/>
            <w:sz w:val="24"/>
            <w:szCs w:val="24"/>
            <w:shd w:val="clear" w:color="auto" w:fill="FFFFFF"/>
          </w:rPr>
          <w:t>https://doi.org/</w:t>
        </w:r>
        <w:r w:rsidRPr="00006D63">
          <w:rPr>
            <w:rStyle w:val="Hyperlink"/>
            <w:rFonts w:ascii="Times New Roman" w:hAnsi="Times New Roman" w:cs="Times New Roman"/>
            <w:sz w:val="24"/>
            <w:szCs w:val="24"/>
          </w:rPr>
          <w:t>10.1001/jama.2022.16946</w:t>
        </w:r>
      </w:hyperlink>
      <w:r w:rsidRPr="00006D63">
        <w:rPr>
          <w:rFonts w:ascii="Times New Roman" w:hAnsi="Times New Roman" w:cs="Times New Roman"/>
          <w:color w:val="333333"/>
          <w:sz w:val="24"/>
          <w:szCs w:val="24"/>
        </w:rPr>
        <w:t xml:space="preserve"> </w:t>
      </w:r>
      <w:r>
        <w:rPr>
          <w:rFonts w:ascii="Times New Roman" w:eastAsia="Times New Roman" w:hAnsi="Times New Roman" w:cs="Times New Roman"/>
          <w:sz w:val="24"/>
          <w:szCs w:val="24"/>
        </w:rPr>
        <w:t xml:space="preserve"> </w:t>
      </w:r>
    </w:p>
    <w:p w:rsidR="002213BA" w:rsidRDefault="002213BA" w:rsidP="00402F3D">
      <w:pPr>
        <w:spacing w:after="0" w:line="480" w:lineRule="auto"/>
        <w:ind w:left="720" w:hanging="720"/>
        <w:rPr>
          <w:rFonts w:ascii="Times New Roman" w:eastAsia="Times New Roman" w:hAnsi="Times New Roman" w:cs="Times New Roman"/>
          <w:sz w:val="24"/>
          <w:szCs w:val="24"/>
        </w:rPr>
      </w:pPr>
      <w:r w:rsidRPr="00E31BC9">
        <w:rPr>
          <w:rFonts w:ascii="Times New Roman" w:eastAsia="Times New Roman" w:hAnsi="Times New Roman" w:cs="Times New Roman"/>
          <w:sz w:val="24"/>
          <w:szCs w:val="24"/>
        </w:rPr>
        <w:t xml:space="preserve">Moukalled, T., &amp; Elhaj, A. (2021). Patient negligence in healthcare systems: Accountability model formulation. </w:t>
      </w:r>
      <w:r w:rsidRPr="00E31BC9">
        <w:rPr>
          <w:rFonts w:ascii="Times New Roman" w:eastAsia="Times New Roman" w:hAnsi="Times New Roman" w:cs="Times New Roman"/>
          <w:i/>
          <w:iCs/>
          <w:sz w:val="24"/>
          <w:szCs w:val="24"/>
        </w:rPr>
        <w:t>Health Policy OPEN</w:t>
      </w:r>
      <w:r w:rsidRPr="00E31BC9">
        <w:rPr>
          <w:rFonts w:ascii="Times New Roman" w:eastAsia="Times New Roman" w:hAnsi="Times New Roman" w:cs="Times New Roman"/>
          <w:sz w:val="24"/>
          <w:szCs w:val="24"/>
        </w:rPr>
        <w:t xml:space="preserve">, </w:t>
      </w:r>
      <w:r w:rsidRPr="00E31BC9">
        <w:rPr>
          <w:rFonts w:ascii="Times New Roman" w:eastAsia="Times New Roman" w:hAnsi="Times New Roman" w:cs="Times New Roman"/>
          <w:i/>
          <w:iCs/>
          <w:sz w:val="24"/>
          <w:szCs w:val="24"/>
        </w:rPr>
        <w:t>2</w:t>
      </w:r>
      <w:r w:rsidRPr="00E31BC9">
        <w:rPr>
          <w:rFonts w:ascii="Times New Roman" w:eastAsia="Times New Roman" w:hAnsi="Times New Roman" w:cs="Times New Roman"/>
          <w:sz w:val="24"/>
          <w:szCs w:val="24"/>
        </w:rPr>
        <w:t xml:space="preserve">. </w:t>
      </w:r>
      <w:hyperlink r:id="rId16" w:history="1">
        <w:r w:rsidRPr="00E85277">
          <w:rPr>
            <w:rStyle w:val="Hyperlink"/>
            <w:rFonts w:ascii="Times New Roman" w:eastAsia="Times New Roman" w:hAnsi="Times New Roman" w:cs="Times New Roman"/>
            <w:sz w:val="24"/>
            <w:szCs w:val="24"/>
          </w:rPr>
          <w:t>https://doi.org/10.1016/j.hpopen.2021.100037</w:t>
        </w:r>
      </w:hyperlink>
      <w:r>
        <w:rPr>
          <w:rFonts w:ascii="Times New Roman" w:eastAsia="Times New Roman" w:hAnsi="Times New Roman" w:cs="Times New Roman"/>
          <w:sz w:val="24"/>
          <w:szCs w:val="24"/>
        </w:rPr>
        <w:t xml:space="preserve"> </w:t>
      </w:r>
    </w:p>
    <w:p w:rsidR="002213BA" w:rsidRDefault="002213BA" w:rsidP="00402F3D">
      <w:pPr>
        <w:spacing w:after="0" w:line="480" w:lineRule="auto"/>
        <w:ind w:left="720" w:hanging="720"/>
        <w:rPr>
          <w:rFonts w:ascii="Times New Roman" w:hAnsi="Times New Roman" w:cs="Times New Roman"/>
          <w:sz w:val="24"/>
          <w:szCs w:val="24"/>
        </w:rPr>
      </w:pPr>
      <w:r w:rsidRPr="00006D63">
        <w:rPr>
          <w:rFonts w:ascii="Times New Roman" w:hAnsi="Times New Roman" w:cs="Times New Roman"/>
          <w:sz w:val="24"/>
          <w:szCs w:val="24"/>
        </w:rPr>
        <w:t xml:space="preserve">Mullen, S. (2018). Major depressive disorder in children and adolescents. </w:t>
      </w:r>
      <w:r w:rsidRPr="00006D63">
        <w:rPr>
          <w:rFonts w:ascii="Times New Roman" w:hAnsi="Times New Roman" w:cs="Times New Roman"/>
          <w:i/>
          <w:iCs/>
          <w:sz w:val="24"/>
          <w:szCs w:val="24"/>
        </w:rPr>
        <w:t>The Mental Health Clinician</w:t>
      </w:r>
      <w:r w:rsidRPr="00006D63">
        <w:rPr>
          <w:rFonts w:ascii="Times New Roman" w:hAnsi="Times New Roman" w:cs="Times New Roman"/>
          <w:sz w:val="24"/>
          <w:szCs w:val="24"/>
        </w:rPr>
        <w:t xml:space="preserve">, </w:t>
      </w:r>
      <w:r w:rsidRPr="00006D63">
        <w:rPr>
          <w:rFonts w:ascii="Times New Roman" w:hAnsi="Times New Roman" w:cs="Times New Roman"/>
          <w:i/>
          <w:iCs/>
          <w:sz w:val="24"/>
          <w:szCs w:val="24"/>
        </w:rPr>
        <w:t>8</w:t>
      </w:r>
      <w:r w:rsidRPr="00006D63">
        <w:rPr>
          <w:rFonts w:ascii="Times New Roman" w:hAnsi="Times New Roman" w:cs="Times New Roman"/>
          <w:sz w:val="24"/>
          <w:szCs w:val="24"/>
        </w:rPr>
        <w:t xml:space="preserve">(6), 275-283. </w:t>
      </w:r>
      <w:hyperlink r:id="rId17" w:history="1">
        <w:r w:rsidRPr="00006D63">
          <w:rPr>
            <w:rStyle w:val="Hyperlink"/>
            <w:rFonts w:ascii="Times New Roman" w:hAnsi="Times New Roman" w:cs="Times New Roman"/>
            <w:sz w:val="24"/>
            <w:szCs w:val="24"/>
          </w:rPr>
          <w:t>https://doi.org/10.9740/mhc.2018.11.275</w:t>
        </w:r>
      </w:hyperlink>
      <w:r w:rsidRPr="00006D63">
        <w:rPr>
          <w:rFonts w:ascii="Times New Roman" w:hAnsi="Times New Roman" w:cs="Times New Roman"/>
          <w:sz w:val="24"/>
          <w:szCs w:val="24"/>
        </w:rPr>
        <w:t xml:space="preserve"> </w:t>
      </w:r>
    </w:p>
    <w:p w:rsidR="002213BA" w:rsidRDefault="002213BA" w:rsidP="00402F3D">
      <w:pPr>
        <w:spacing w:after="0" w:line="480" w:lineRule="auto"/>
        <w:ind w:left="720" w:hanging="720"/>
        <w:rPr>
          <w:rFonts w:ascii="Times New Roman" w:eastAsia="Times New Roman" w:hAnsi="Times New Roman" w:cs="Times New Roman"/>
          <w:sz w:val="24"/>
          <w:szCs w:val="24"/>
        </w:rPr>
      </w:pPr>
      <w:r w:rsidRPr="00026661">
        <w:rPr>
          <w:rFonts w:ascii="Times New Roman" w:eastAsia="Times New Roman" w:hAnsi="Times New Roman" w:cs="Times New Roman"/>
          <w:sz w:val="24"/>
          <w:szCs w:val="24"/>
        </w:rPr>
        <w:t xml:space="preserve">Mutshatshi, T. E., Mothiba, T. M., Mamogobo, P. M., &amp; Mbombi, M. O. (2018). Record-keeping: Challenges experienced by nurses in selected public hospitals. </w:t>
      </w:r>
      <w:r w:rsidRPr="00026661">
        <w:rPr>
          <w:rFonts w:ascii="Times New Roman" w:eastAsia="Times New Roman" w:hAnsi="Times New Roman" w:cs="Times New Roman"/>
          <w:i/>
          <w:iCs/>
          <w:sz w:val="24"/>
          <w:szCs w:val="24"/>
        </w:rPr>
        <w:t>Curationis</w:t>
      </w:r>
      <w:r w:rsidRPr="00026661">
        <w:rPr>
          <w:rFonts w:ascii="Times New Roman" w:eastAsia="Times New Roman" w:hAnsi="Times New Roman" w:cs="Times New Roman"/>
          <w:sz w:val="24"/>
          <w:szCs w:val="24"/>
        </w:rPr>
        <w:t xml:space="preserve">, </w:t>
      </w:r>
      <w:r w:rsidRPr="00026661">
        <w:rPr>
          <w:rFonts w:ascii="Times New Roman" w:eastAsia="Times New Roman" w:hAnsi="Times New Roman" w:cs="Times New Roman"/>
          <w:i/>
          <w:iCs/>
          <w:sz w:val="24"/>
          <w:szCs w:val="24"/>
        </w:rPr>
        <w:t>41</w:t>
      </w:r>
      <w:r w:rsidRPr="00026661">
        <w:rPr>
          <w:rFonts w:ascii="Times New Roman" w:eastAsia="Times New Roman" w:hAnsi="Times New Roman" w:cs="Times New Roman"/>
          <w:sz w:val="24"/>
          <w:szCs w:val="24"/>
        </w:rPr>
        <w:t xml:space="preserve">(1). </w:t>
      </w:r>
      <w:hyperlink r:id="rId18" w:history="1">
        <w:r w:rsidRPr="00E85277">
          <w:rPr>
            <w:rStyle w:val="Hyperlink"/>
            <w:rFonts w:ascii="Times New Roman" w:eastAsia="Times New Roman" w:hAnsi="Times New Roman" w:cs="Times New Roman"/>
            <w:sz w:val="24"/>
            <w:szCs w:val="24"/>
          </w:rPr>
          <w:t>https://doi.org/10.4102/curationis.v41i1.1931</w:t>
        </w:r>
      </w:hyperlink>
      <w:r>
        <w:rPr>
          <w:rFonts w:ascii="Times New Roman" w:eastAsia="Times New Roman" w:hAnsi="Times New Roman" w:cs="Times New Roman"/>
          <w:sz w:val="24"/>
          <w:szCs w:val="24"/>
        </w:rPr>
        <w:t xml:space="preserve"> </w:t>
      </w:r>
    </w:p>
    <w:p w:rsidR="002213BA" w:rsidRDefault="002213BA" w:rsidP="00402F3D">
      <w:pPr>
        <w:spacing w:after="0" w:line="480" w:lineRule="auto"/>
        <w:ind w:left="720" w:hanging="720"/>
        <w:rPr>
          <w:rFonts w:ascii="Times New Roman" w:eastAsia="Times New Roman" w:hAnsi="Times New Roman" w:cs="Times New Roman"/>
          <w:sz w:val="24"/>
          <w:szCs w:val="24"/>
        </w:rPr>
      </w:pPr>
      <w:r w:rsidRPr="005C1E5D">
        <w:rPr>
          <w:rFonts w:ascii="Times New Roman" w:eastAsia="Times New Roman" w:hAnsi="Times New Roman" w:cs="Times New Roman"/>
          <w:sz w:val="24"/>
          <w:szCs w:val="24"/>
        </w:rPr>
        <w:lastRenderedPageBreak/>
        <w:t xml:space="preserve">Salvi, J. (2019). Columbia-Suicide Severity Rating Scale (C-SSRS). </w:t>
      </w:r>
      <w:r w:rsidRPr="005C1E5D">
        <w:rPr>
          <w:rFonts w:ascii="Times New Roman" w:eastAsia="Times New Roman" w:hAnsi="Times New Roman" w:cs="Times New Roman"/>
          <w:i/>
          <w:iCs/>
          <w:sz w:val="24"/>
          <w:szCs w:val="24"/>
        </w:rPr>
        <w:t>Emergency Medicine Practice</w:t>
      </w:r>
      <w:r w:rsidRPr="005C1E5D">
        <w:rPr>
          <w:rFonts w:ascii="Times New Roman" w:eastAsia="Times New Roman" w:hAnsi="Times New Roman" w:cs="Times New Roman"/>
          <w:sz w:val="24"/>
          <w:szCs w:val="24"/>
        </w:rPr>
        <w:t xml:space="preserve">, </w:t>
      </w:r>
      <w:r w:rsidRPr="005C1E5D">
        <w:rPr>
          <w:rFonts w:ascii="Times New Roman" w:eastAsia="Times New Roman" w:hAnsi="Times New Roman" w:cs="Times New Roman"/>
          <w:i/>
          <w:iCs/>
          <w:sz w:val="24"/>
          <w:szCs w:val="24"/>
        </w:rPr>
        <w:t>21</w:t>
      </w:r>
      <w:r w:rsidRPr="005C1E5D">
        <w:rPr>
          <w:rFonts w:ascii="Times New Roman" w:eastAsia="Times New Roman" w:hAnsi="Times New Roman" w:cs="Times New Roman"/>
          <w:sz w:val="24"/>
          <w:szCs w:val="24"/>
        </w:rPr>
        <w:t xml:space="preserve">(5), CD3. </w:t>
      </w:r>
      <w:hyperlink r:id="rId19" w:history="1">
        <w:r w:rsidRPr="00E85277">
          <w:rPr>
            <w:rStyle w:val="Hyperlink"/>
            <w:rFonts w:ascii="Times New Roman" w:eastAsia="Times New Roman" w:hAnsi="Times New Roman" w:cs="Times New Roman"/>
            <w:sz w:val="24"/>
            <w:szCs w:val="24"/>
          </w:rPr>
          <w:t>https://www.ncbi.nlm.nih.gov/pmc/articles/PMC7974826/</w:t>
        </w:r>
      </w:hyperlink>
    </w:p>
    <w:p w:rsidR="002213BA" w:rsidRDefault="002213BA" w:rsidP="00402F3D">
      <w:pPr>
        <w:spacing w:after="0" w:line="480" w:lineRule="auto"/>
        <w:ind w:left="720" w:hanging="720"/>
        <w:rPr>
          <w:rFonts w:ascii="Times New Roman" w:eastAsia="Times New Roman" w:hAnsi="Times New Roman" w:cs="Times New Roman"/>
          <w:sz w:val="24"/>
          <w:szCs w:val="24"/>
        </w:rPr>
      </w:pPr>
      <w:r w:rsidRPr="00E31BC9">
        <w:rPr>
          <w:rFonts w:ascii="Times New Roman" w:eastAsia="Times New Roman" w:hAnsi="Times New Roman" w:cs="Times New Roman"/>
          <w:sz w:val="24"/>
          <w:szCs w:val="24"/>
        </w:rPr>
        <w:t xml:space="preserve">Spielmans, G. I., &amp; Parry, P. (2020). Duty to Warn: Antidepressant Black Box Suicidality Warning Is Empirically Justified. </w:t>
      </w:r>
      <w:r w:rsidRPr="00E31BC9">
        <w:rPr>
          <w:rFonts w:ascii="Times New Roman" w:eastAsia="Times New Roman" w:hAnsi="Times New Roman" w:cs="Times New Roman"/>
          <w:i/>
          <w:iCs/>
          <w:sz w:val="24"/>
          <w:szCs w:val="24"/>
        </w:rPr>
        <w:t>Frontiers in Psychiatry</w:t>
      </w:r>
      <w:r w:rsidRPr="00E31BC9">
        <w:rPr>
          <w:rFonts w:ascii="Times New Roman" w:eastAsia="Times New Roman" w:hAnsi="Times New Roman" w:cs="Times New Roman"/>
          <w:sz w:val="24"/>
          <w:szCs w:val="24"/>
        </w:rPr>
        <w:t xml:space="preserve">, </w:t>
      </w:r>
      <w:r w:rsidRPr="00E31BC9">
        <w:rPr>
          <w:rFonts w:ascii="Times New Roman" w:eastAsia="Times New Roman" w:hAnsi="Times New Roman" w:cs="Times New Roman"/>
          <w:i/>
          <w:iCs/>
          <w:sz w:val="24"/>
          <w:szCs w:val="24"/>
        </w:rPr>
        <w:t>11</w:t>
      </w:r>
      <w:r w:rsidRPr="00E31BC9">
        <w:rPr>
          <w:rFonts w:ascii="Times New Roman" w:eastAsia="Times New Roman" w:hAnsi="Times New Roman" w:cs="Times New Roman"/>
          <w:sz w:val="24"/>
          <w:szCs w:val="24"/>
        </w:rPr>
        <w:t xml:space="preserve">, 505176. </w:t>
      </w:r>
      <w:hyperlink r:id="rId20" w:history="1">
        <w:r w:rsidRPr="00E85277">
          <w:rPr>
            <w:rStyle w:val="Hyperlink"/>
            <w:rFonts w:ascii="Times New Roman" w:eastAsia="Times New Roman" w:hAnsi="Times New Roman" w:cs="Times New Roman"/>
            <w:sz w:val="24"/>
            <w:szCs w:val="24"/>
          </w:rPr>
          <w:t>https://doi.org/10.3389/fpsyt.2020.00018</w:t>
        </w:r>
      </w:hyperlink>
      <w:r>
        <w:rPr>
          <w:rFonts w:ascii="Times New Roman" w:eastAsia="Times New Roman" w:hAnsi="Times New Roman" w:cs="Times New Roman"/>
          <w:sz w:val="24"/>
          <w:szCs w:val="24"/>
        </w:rPr>
        <w:t xml:space="preserve"> </w:t>
      </w:r>
    </w:p>
    <w:p w:rsidR="002213BA" w:rsidRDefault="002213BA" w:rsidP="00402F3D">
      <w:pPr>
        <w:spacing w:after="0" w:line="480" w:lineRule="auto"/>
        <w:ind w:left="720" w:hanging="720"/>
        <w:rPr>
          <w:rFonts w:ascii="Times New Roman" w:eastAsia="Times New Roman" w:hAnsi="Times New Roman" w:cs="Times New Roman"/>
          <w:sz w:val="24"/>
          <w:szCs w:val="24"/>
        </w:rPr>
      </w:pPr>
      <w:r w:rsidRPr="0044774E">
        <w:rPr>
          <w:rFonts w:ascii="Times New Roman" w:eastAsia="Times New Roman" w:hAnsi="Times New Roman" w:cs="Times New Roman"/>
          <w:sz w:val="24"/>
          <w:szCs w:val="24"/>
        </w:rPr>
        <w:t xml:space="preserve">Vanderpool, D. </w:t>
      </w:r>
      <w:r>
        <w:rPr>
          <w:rFonts w:ascii="Times New Roman" w:eastAsia="Times New Roman" w:hAnsi="Times New Roman" w:cs="Times New Roman"/>
          <w:sz w:val="24"/>
          <w:szCs w:val="24"/>
        </w:rPr>
        <w:t>(2021). The Standard of c</w:t>
      </w:r>
      <w:r w:rsidRPr="0044774E">
        <w:rPr>
          <w:rFonts w:ascii="Times New Roman" w:eastAsia="Times New Roman" w:hAnsi="Times New Roman" w:cs="Times New Roman"/>
          <w:sz w:val="24"/>
          <w:szCs w:val="24"/>
        </w:rPr>
        <w:t xml:space="preserve">are. </w:t>
      </w:r>
      <w:r w:rsidRPr="0044774E">
        <w:rPr>
          <w:rFonts w:ascii="Times New Roman" w:eastAsia="Times New Roman" w:hAnsi="Times New Roman" w:cs="Times New Roman"/>
          <w:i/>
          <w:iCs/>
          <w:sz w:val="24"/>
          <w:szCs w:val="24"/>
        </w:rPr>
        <w:t>Innovations in Clinical Neuroscience</w:t>
      </w:r>
      <w:r w:rsidRPr="0044774E">
        <w:rPr>
          <w:rFonts w:ascii="Times New Roman" w:eastAsia="Times New Roman" w:hAnsi="Times New Roman" w:cs="Times New Roman"/>
          <w:sz w:val="24"/>
          <w:szCs w:val="24"/>
        </w:rPr>
        <w:t xml:space="preserve">, </w:t>
      </w:r>
      <w:r w:rsidRPr="0044774E">
        <w:rPr>
          <w:rFonts w:ascii="Times New Roman" w:eastAsia="Times New Roman" w:hAnsi="Times New Roman" w:cs="Times New Roman"/>
          <w:i/>
          <w:iCs/>
          <w:sz w:val="24"/>
          <w:szCs w:val="24"/>
        </w:rPr>
        <w:t>18</w:t>
      </w:r>
      <w:r w:rsidRPr="0044774E">
        <w:rPr>
          <w:rFonts w:ascii="Times New Roman" w:eastAsia="Times New Roman" w:hAnsi="Times New Roman" w:cs="Times New Roman"/>
          <w:sz w:val="24"/>
          <w:szCs w:val="24"/>
        </w:rPr>
        <w:t xml:space="preserve">(7-9), 50-51. </w:t>
      </w:r>
      <w:hyperlink r:id="rId21" w:history="1">
        <w:r w:rsidRPr="00E85277">
          <w:rPr>
            <w:rStyle w:val="Hyperlink"/>
            <w:rFonts w:ascii="Times New Roman" w:eastAsia="Times New Roman" w:hAnsi="Times New Roman" w:cs="Times New Roman"/>
            <w:sz w:val="24"/>
            <w:szCs w:val="24"/>
          </w:rPr>
          <w:t>https://www.ncbi.nlm.nih.gov/pmc/articles/PMC8667701/</w:t>
        </w:r>
      </w:hyperlink>
      <w:r>
        <w:rPr>
          <w:rFonts w:ascii="Times New Roman" w:eastAsia="Times New Roman" w:hAnsi="Times New Roman" w:cs="Times New Roman"/>
          <w:sz w:val="24"/>
          <w:szCs w:val="24"/>
        </w:rPr>
        <w:t xml:space="preserve"> </w:t>
      </w:r>
    </w:p>
    <w:sectPr w:rsidR="002213BA">
      <w:head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E24" w:rsidRDefault="00774E24" w:rsidP="0000193C">
      <w:pPr>
        <w:spacing w:after="0" w:line="240" w:lineRule="auto"/>
      </w:pPr>
      <w:r>
        <w:separator/>
      </w:r>
    </w:p>
  </w:endnote>
  <w:endnote w:type="continuationSeparator" w:id="0">
    <w:p w:rsidR="00774E24" w:rsidRDefault="00774E24" w:rsidP="00001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E24" w:rsidRDefault="00774E24" w:rsidP="0000193C">
      <w:pPr>
        <w:spacing w:after="0" w:line="240" w:lineRule="auto"/>
      </w:pPr>
      <w:r>
        <w:separator/>
      </w:r>
    </w:p>
  </w:footnote>
  <w:footnote w:type="continuationSeparator" w:id="0">
    <w:p w:rsidR="00774E24" w:rsidRDefault="00774E24" w:rsidP="00001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93C" w:rsidRPr="0000193C" w:rsidRDefault="0000193C">
    <w:pPr>
      <w:pStyle w:val="Header"/>
      <w:rPr>
        <w:rFonts w:ascii="Times New Roman" w:hAnsi="Times New Roman" w:cs="Times New Roman"/>
        <w:sz w:val="24"/>
        <w:szCs w:val="24"/>
      </w:rPr>
    </w:pPr>
    <w:r w:rsidRPr="0000193C">
      <w:rPr>
        <w:rFonts w:ascii="Times New Roman" w:hAnsi="Times New Roman" w:cs="Times New Roman"/>
        <w:sz w:val="24"/>
        <w:szCs w:val="24"/>
      </w:rPr>
      <w:tab/>
    </w:r>
    <w:r w:rsidRPr="0000193C">
      <w:rPr>
        <w:rFonts w:ascii="Times New Roman" w:hAnsi="Times New Roman" w:cs="Times New Roman"/>
        <w:sz w:val="24"/>
        <w:szCs w:val="24"/>
      </w:rPr>
      <w:tab/>
    </w:r>
    <w:r w:rsidRPr="0000193C">
      <w:rPr>
        <w:rFonts w:ascii="Times New Roman" w:hAnsi="Times New Roman" w:cs="Times New Roman"/>
        <w:sz w:val="24"/>
        <w:szCs w:val="24"/>
      </w:rPr>
      <w:fldChar w:fldCharType="begin"/>
    </w:r>
    <w:r w:rsidRPr="0000193C">
      <w:rPr>
        <w:rFonts w:ascii="Times New Roman" w:hAnsi="Times New Roman" w:cs="Times New Roman"/>
        <w:sz w:val="24"/>
        <w:szCs w:val="24"/>
      </w:rPr>
      <w:instrText xml:space="preserve"> PAGE   \* MERGEFORMAT </w:instrText>
    </w:r>
    <w:r w:rsidRPr="0000193C">
      <w:rPr>
        <w:rFonts w:ascii="Times New Roman" w:hAnsi="Times New Roman" w:cs="Times New Roman"/>
        <w:sz w:val="24"/>
        <w:szCs w:val="24"/>
      </w:rPr>
      <w:fldChar w:fldCharType="separate"/>
    </w:r>
    <w:r w:rsidR="00A13B76">
      <w:rPr>
        <w:rFonts w:ascii="Times New Roman" w:hAnsi="Times New Roman" w:cs="Times New Roman"/>
        <w:noProof/>
        <w:sz w:val="24"/>
        <w:szCs w:val="24"/>
      </w:rPr>
      <w:t>2</w:t>
    </w:r>
    <w:r w:rsidRPr="0000193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ED"/>
    <w:rsid w:val="0000193C"/>
    <w:rsid w:val="00017F64"/>
    <w:rsid w:val="00020356"/>
    <w:rsid w:val="00026661"/>
    <w:rsid w:val="000D4A71"/>
    <w:rsid w:val="00142B74"/>
    <w:rsid w:val="0016087F"/>
    <w:rsid w:val="001712C4"/>
    <w:rsid w:val="001E7EEB"/>
    <w:rsid w:val="002213BA"/>
    <w:rsid w:val="00240C8B"/>
    <w:rsid w:val="00262281"/>
    <w:rsid w:val="00285355"/>
    <w:rsid w:val="00315B99"/>
    <w:rsid w:val="00360530"/>
    <w:rsid w:val="00382449"/>
    <w:rsid w:val="003D5EAD"/>
    <w:rsid w:val="00402F3D"/>
    <w:rsid w:val="0041312B"/>
    <w:rsid w:val="00441F07"/>
    <w:rsid w:val="0044774E"/>
    <w:rsid w:val="00476D97"/>
    <w:rsid w:val="00497866"/>
    <w:rsid w:val="004B7136"/>
    <w:rsid w:val="004C4A8B"/>
    <w:rsid w:val="00587D1E"/>
    <w:rsid w:val="005C1E5D"/>
    <w:rsid w:val="005E0171"/>
    <w:rsid w:val="00602082"/>
    <w:rsid w:val="00663AFC"/>
    <w:rsid w:val="00687DAE"/>
    <w:rsid w:val="006F6401"/>
    <w:rsid w:val="007250ED"/>
    <w:rsid w:val="0075154A"/>
    <w:rsid w:val="007554AA"/>
    <w:rsid w:val="00774E24"/>
    <w:rsid w:val="007F347C"/>
    <w:rsid w:val="00801BC0"/>
    <w:rsid w:val="00804832"/>
    <w:rsid w:val="008217E2"/>
    <w:rsid w:val="00830571"/>
    <w:rsid w:val="00847394"/>
    <w:rsid w:val="008D2929"/>
    <w:rsid w:val="00901B9B"/>
    <w:rsid w:val="009B7E97"/>
    <w:rsid w:val="009C5F51"/>
    <w:rsid w:val="009D66C7"/>
    <w:rsid w:val="00A0110E"/>
    <w:rsid w:val="00A0676E"/>
    <w:rsid w:val="00A13B76"/>
    <w:rsid w:val="00A51EE3"/>
    <w:rsid w:val="00A67188"/>
    <w:rsid w:val="00AD2550"/>
    <w:rsid w:val="00AE1367"/>
    <w:rsid w:val="00B01D0E"/>
    <w:rsid w:val="00B37AA2"/>
    <w:rsid w:val="00C05770"/>
    <w:rsid w:val="00C44E86"/>
    <w:rsid w:val="00C56D69"/>
    <w:rsid w:val="00C72AD4"/>
    <w:rsid w:val="00C73FC9"/>
    <w:rsid w:val="00CC378F"/>
    <w:rsid w:val="00CE1740"/>
    <w:rsid w:val="00CE6B0E"/>
    <w:rsid w:val="00CF03A1"/>
    <w:rsid w:val="00D11CD1"/>
    <w:rsid w:val="00D16DE4"/>
    <w:rsid w:val="00D42D15"/>
    <w:rsid w:val="00D43D38"/>
    <w:rsid w:val="00D708CC"/>
    <w:rsid w:val="00DC7994"/>
    <w:rsid w:val="00DD1612"/>
    <w:rsid w:val="00DD1655"/>
    <w:rsid w:val="00DE500B"/>
    <w:rsid w:val="00DE716D"/>
    <w:rsid w:val="00E2202F"/>
    <w:rsid w:val="00E25A46"/>
    <w:rsid w:val="00E31BC9"/>
    <w:rsid w:val="00E37773"/>
    <w:rsid w:val="00E517DE"/>
    <w:rsid w:val="00EA14D7"/>
    <w:rsid w:val="00EB072B"/>
    <w:rsid w:val="00ED1E86"/>
    <w:rsid w:val="00EE65C3"/>
    <w:rsid w:val="00F15507"/>
    <w:rsid w:val="00F41E9A"/>
    <w:rsid w:val="00F45BA8"/>
    <w:rsid w:val="00F56CB7"/>
    <w:rsid w:val="00F7574A"/>
    <w:rsid w:val="00F8292F"/>
    <w:rsid w:val="00F95D16"/>
    <w:rsid w:val="00F9648F"/>
    <w:rsid w:val="00FA50EF"/>
    <w:rsid w:val="00FA7A30"/>
    <w:rsid w:val="00FB6ABF"/>
    <w:rsid w:val="00FD4C5F"/>
    <w:rsid w:val="00FE7627"/>
    <w:rsid w:val="00FF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7809"/>
  <w15:chartTrackingRefBased/>
  <w15:docId w15:val="{1B965594-0AA8-4BF7-AD1B-DCC0CEEC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A8B"/>
    <w:rPr>
      <w:color w:val="0563C1" w:themeColor="hyperlink"/>
      <w:u w:val="single"/>
    </w:rPr>
  </w:style>
  <w:style w:type="paragraph" w:styleId="Header">
    <w:name w:val="header"/>
    <w:basedOn w:val="Normal"/>
    <w:link w:val="HeaderChar"/>
    <w:uiPriority w:val="99"/>
    <w:unhideWhenUsed/>
    <w:rsid w:val="00001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93C"/>
  </w:style>
  <w:style w:type="paragraph" w:styleId="Footer">
    <w:name w:val="footer"/>
    <w:basedOn w:val="Normal"/>
    <w:link w:val="FooterChar"/>
    <w:uiPriority w:val="99"/>
    <w:unhideWhenUsed/>
    <w:rsid w:val="00001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61152">
      <w:bodyDiv w:val="1"/>
      <w:marLeft w:val="0"/>
      <w:marRight w:val="0"/>
      <w:marTop w:val="0"/>
      <w:marBottom w:val="0"/>
      <w:divBdr>
        <w:top w:val="none" w:sz="0" w:space="0" w:color="auto"/>
        <w:left w:val="none" w:sz="0" w:space="0" w:color="auto"/>
        <w:bottom w:val="none" w:sz="0" w:space="0" w:color="auto"/>
        <w:right w:val="none" w:sz="0" w:space="0" w:color="auto"/>
      </w:divBdr>
      <w:divsChild>
        <w:div w:id="762654594">
          <w:marLeft w:val="0"/>
          <w:marRight w:val="0"/>
          <w:marTop w:val="0"/>
          <w:marBottom w:val="0"/>
          <w:divBdr>
            <w:top w:val="none" w:sz="0" w:space="0" w:color="auto"/>
            <w:left w:val="none" w:sz="0" w:space="0" w:color="auto"/>
            <w:bottom w:val="none" w:sz="0" w:space="0" w:color="auto"/>
            <w:right w:val="none" w:sz="0" w:space="0" w:color="auto"/>
          </w:divBdr>
        </w:div>
      </w:divsChild>
    </w:div>
    <w:div w:id="1062946355">
      <w:bodyDiv w:val="1"/>
      <w:marLeft w:val="0"/>
      <w:marRight w:val="0"/>
      <w:marTop w:val="0"/>
      <w:marBottom w:val="0"/>
      <w:divBdr>
        <w:top w:val="none" w:sz="0" w:space="0" w:color="auto"/>
        <w:left w:val="none" w:sz="0" w:space="0" w:color="auto"/>
        <w:bottom w:val="none" w:sz="0" w:space="0" w:color="auto"/>
        <w:right w:val="none" w:sz="0" w:space="0" w:color="auto"/>
      </w:divBdr>
      <w:divsChild>
        <w:div w:id="1169177022">
          <w:marLeft w:val="0"/>
          <w:marRight w:val="0"/>
          <w:marTop w:val="0"/>
          <w:marBottom w:val="0"/>
          <w:divBdr>
            <w:top w:val="none" w:sz="0" w:space="0" w:color="auto"/>
            <w:left w:val="none" w:sz="0" w:space="0" w:color="auto"/>
            <w:bottom w:val="none" w:sz="0" w:space="0" w:color="auto"/>
            <w:right w:val="none" w:sz="0" w:space="0" w:color="auto"/>
          </w:divBdr>
        </w:div>
      </w:divsChild>
    </w:div>
    <w:div w:id="1070889016">
      <w:bodyDiv w:val="1"/>
      <w:marLeft w:val="0"/>
      <w:marRight w:val="0"/>
      <w:marTop w:val="0"/>
      <w:marBottom w:val="0"/>
      <w:divBdr>
        <w:top w:val="none" w:sz="0" w:space="0" w:color="auto"/>
        <w:left w:val="none" w:sz="0" w:space="0" w:color="auto"/>
        <w:bottom w:val="none" w:sz="0" w:space="0" w:color="auto"/>
        <w:right w:val="none" w:sz="0" w:space="0" w:color="auto"/>
      </w:divBdr>
      <w:divsChild>
        <w:div w:id="2015106081">
          <w:marLeft w:val="0"/>
          <w:marRight w:val="0"/>
          <w:marTop w:val="0"/>
          <w:marBottom w:val="0"/>
          <w:divBdr>
            <w:top w:val="none" w:sz="0" w:space="0" w:color="auto"/>
            <w:left w:val="none" w:sz="0" w:space="0" w:color="auto"/>
            <w:bottom w:val="none" w:sz="0" w:space="0" w:color="auto"/>
            <w:right w:val="none" w:sz="0" w:space="0" w:color="auto"/>
          </w:divBdr>
        </w:div>
      </w:divsChild>
    </w:div>
    <w:div w:id="1110011847">
      <w:bodyDiv w:val="1"/>
      <w:marLeft w:val="0"/>
      <w:marRight w:val="0"/>
      <w:marTop w:val="0"/>
      <w:marBottom w:val="0"/>
      <w:divBdr>
        <w:top w:val="none" w:sz="0" w:space="0" w:color="auto"/>
        <w:left w:val="none" w:sz="0" w:space="0" w:color="auto"/>
        <w:bottom w:val="none" w:sz="0" w:space="0" w:color="auto"/>
        <w:right w:val="none" w:sz="0" w:space="0" w:color="auto"/>
      </w:divBdr>
      <w:divsChild>
        <w:div w:id="791169398">
          <w:marLeft w:val="0"/>
          <w:marRight w:val="0"/>
          <w:marTop w:val="0"/>
          <w:marBottom w:val="0"/>
          <w:divBdr>
            <w:top w:val="none" w:sz="0" w:space="0" w:color="auto"/>
            <w:left w:val="none" w:sz="0" w:space="0" w:color="auto"/>
            <w:bottom w:val="none" w:sz="0" w:space="0" w:color="auto"/>
            <w:right w:val="none" w:sz="0" w:space="0" w:color="auto"/>
          </w:divBdr>
        </w:div>
      </w:divsChild>
    </w:div>
    <w:div w:id="1268388377">
      <w:bodyDiv w:val="1"/>
      <w:marLeft w:val="0"/>
      <w:marRight w:val="0"/>
      <w:marTop w:val="0"/>
      <w:marBottom w:val="0"/>
      <w:divBdr>
        <w:top w:val="none" w:sz="0" w:space="0" w:color="auto"/>
        <w:left w:val="none" w:sz="0" w:space="0" w:color="auto"/>
        <w:bottom w:val="none" w:sz="0" w:space="0" w:color="auto"/>
        <w:right w:val="none" w:sz="0" w:space="0" w:color="auto"/>
      </w:divBdr>
      <w:divsChild>
        <w:div w:id="578946200">
          <w:marLeft w:val="0"/>
          <w:marRight w:val="0"/>
          <w:marTop w:val="0"/>
          <w:marBottom w:val="0"/>
          <w:divBdr>
            <w:top w:val="none" w:sz="0" w:space="0" w:color="auto"/>
            <w:left w:val="none" w:sz="0" w:space="0" w:color="auto"/>
            <w:bottom w:val="none" w:sz="0" w:space="0" w:color="auto"/>
            <w:right w:val="none" w:sz="0" w:space="0" w:color="auto"/>
          </w:divBdr>
        </w:div>
      </w:divsChild>
    </w:div>
    <w:div w:id="1633368118">
      <w:bodyDiv w:val="1"/>
      <w:marLeft w:val="0"/>
      <w:marRight w:val="0"/>
      <w:marTop w:val="0"/>
      <w:marBottom w:val="0"/>
      <w:divBdr>
        <w:top w:val="none" w:sz="0" w:space="0" w:color="auto"/>
        <w:left w:val="none" w:sz="0" w:space="0" w:color="auto"/>
        <w:bottom w:val="none" w:sz="0" w:space="0" w:color="auto"/>
        <w:right w:val="none" w:sz="0" w:space="0" w:color="auto"/>
      </w:divBdr>
      <w:divsChild>
        <w:div w:id="1993637429">
          <w:marLeft w:val="0"/>
          <w:marRight w:val="0"/>
          <w:marTop w:val="0"/>
          <w:marBottom w:val="0"/>
          <w:divBdr>
            <w:top w:val="none" w:sz="0" w:space="0" w:color="auto"/>
            <w:left w:val="none" w:sz="0" w:space="0" w:color="auto"/>
            <w:bottom w:val="none" w:sz="0" w:space="0" w:color="auto"/>
            <w:right w:val="none" w:sz="0" w:space="0" w:color="auto"/>
          </w:divBdr>
        </w:div>
      </w:divsChild>
    </w:div>
    <w:div w:id="1643461892">
      <w:bodyDiv w:val="1"/>
      <w:marLeft w:val="0"/>
      <w:marRight w:val="0"/>
      <w:marTop w:val="0"/>
      <w:marBottom w:val="0"/>
      <w:divBdr>
        <w:top w:val="none" w:sz="0" w:space="0" w:color="auto"/>
        <w:left w:val="none" w:sz="0" w:space="0" w:color="auto"/>
        <w:bottom w:val="none" w:sz="0" w:space="0" w:color="auto"/>
        <w:right w:val="none" w:sz="0" w:space="0" w:color="auto"/>
      </w:divBdr>
      <w:divsChild>
        <w:div w:id="79060371">
          <w:marLeft w:val="0"/>
          <w:marRight w:val="0"/>
          <w:marTop w:val="0"/>
          <w:marBottom w:val="0"/>
          <w:divBdr>
            <w:top w:val="none" w:sz="0" w:space="0" w:color="auto"/>
            <w:left w:val="none" w:sz="0" w:space="0" w:color="auto"/>
            <w:bottom w:val="none" w:sz="0" w:space="0" w:color="auto"/>
            <w:right w:val="none" w:sz="0" w:space="0" w:color="auto"/>
          </w:divBdr>
        </w:div>
      </w:divsChild>
    </w:div>
    <w:div w:id="1826166755">
      <w:bodyDiv w:val="1"/>
      <w:marLeft w:val="0"/>
      <w:marRight w:val="0"/>
      <w:marTop w:val="0"/>
      <w:marBottom w:val="0"/>
      <w:divBdr>
        <w:top w:val="none" w:sz="0" w:space="0" w:color="auto"/>
        <w:left w:val="none" w:sz="0" w:space="0" w:color="auto"/>
        <w:bottom w:val="none" w:sz="0" w:space="0" w:color="auto"/>
        <w:right w:val="none" w:sz="0" w:space="0" w:color="auto"/>
      </w:divBdr>
      <w:divsChild>
        <w:div w:id="108474431">
          <w:marLeft w:val="0"/>
          <w:marRight w:val="0"/>
          <w:marTop w:val="0"/>
          <w:marBottom w:val="0"/>
          <w:divBdr>
            <w:top w:val="none" w:sz="0" w:space="0" w:color="auto"/>
            <w:left w:val="none" w:sz="0" w:space="0" w:color="auto"/>
            <w:bottom w:val="none" w:sz="0" w:space="0" w:color="auto"/>
            <w:right w:val="none" w:sz="0" w:space="0" w:color="auto"/>
          </w:divBdr>
        </w:div>
      </w:divsChild>
    </w:div>
    <w:div w:id="1916207817">
      <w:bodyDiv w:val="1"/>
      <w:marLeft w:val="0"/>
      <w:marRight w:val="0"/>
      <w:marTop w:val="0"/>
      <w:marBottom w:val="0"/>
      <w:divBdr>
        <w:top w:val="none" w:sz="0" w:space="0" w:color="auto"/>
        <w:left w:val="none" w:sz="0" w:space="0" w:color="auto"/>
        <w:bottom w:val="none" w:sz="0" w:space="0" w:color="auto"/>
        <w:right w:val="none" w:sz="0" w:space="0" w:color="auto"/>
      </w:divBdr>
      <w:divsChild>
        <w:div w:id="2063097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033291721000751" TargetMode="External"/><Relationship Id="rId13" Type="http://schemas.openxmlformats.org/officeDocument/2006/relationships/hyperlink" Target="https://doi.org/10.12998/wjcc.v9.i31.9350" TargetMode="External"/><Relationship Id="rId18" Type="http://schemas.openxmlformats.org/officeDocument/2006/relationships/hyperlink" Target="https://doi.org/10.4102/curationis.v41i1.1931" TargetMode="External"/><Relationship Id="rId3" Type="http://schemas.openxmlformats.org/officeDocument/2006/relationships/webSettings" Target="webSettings.xml"/><Relationship Id="rId21" Type="http://schemas.openxmlformats.org/officeDocument/2006/relationships/hyperlink" Target="https://www.ncbi.nlm.nih.gov/pmc/articles/PMC8667701/" TargetMode="External"/><Relationship Id="rId7" Type="http://schemas.openxmlformats.org/officeDocument/2006/relationships/hyperlink" Target="https://doi.org/10.1186/s43045-020-00050-z" TargetMode="External"/><Relationship Id="rId12" Type="http://schemas.openxmlformats.org/officeDocument/2006/relationships/hyperlink" Target="https://doi.org/10.1192/apt.bp.112.010215" TargetMode="External"/><Relationship Id="rId17" Type="http://schemas.openxmlformats.org/officeDocument/2006/relationships/hyperlink" Target="https://doi.org/10.9740/mhc.2018.11.275" TargetMode="External"/><Relationship Id="rId2" Type="http://schemas.openxmlformats.org/officeDocument/2006/relationships/settings" Target="settings.xml"/><Relationship Id="rId16" Type="http://schemas.openxmlformats.org/officeDocument/2006/relationships/hyperlink" Target="https://doi.org/10.1016/j.hpopen.2021.100037" TargetMode="External"/><Relationship Id="rId20" Type="http://schemas.openxmlformats.org/officeDocument/2006/relationships/hyperlink" Target="https://doi.org/10.3389/fpsyt.2020.00018" TargetMode="External"/><Relationship Id="rId1" Type="http://schemas.openxmlformats.org/officeDocument/2006/relationships/styles" Target="styles.xml"/><Relationship Id="rId6" Type="http://schemas.openxmlformats.org/officeDocument/2006/relationships/hyperlink" Target="https://doi.org/10.1016/j.nurpra.2017.10.003" TargetMode="External"/><Relationship Id="rId11" Type="http://schemas.openxmlformats.org/officeDocument/2006/relationships/hyperlink" Target="https://doi.org/10.1192/bjo.2023.26"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01/jama.2022.16946" TargetMode="External"/><Relationship Id="rId23" Type="http://schemas.openxmlformats.org/officeDocument/2006/relationships/fontTable" Target="fontTable.xml"/><Relationship Id="rId10" Type="http://schemas.openxmlformats.org/officeDocument/2006/relationships/hyperlink" Target="https://doi.org/10.3389/fpsyt.2019.00294" TargetMode="External"/><Relationship Id="rId19" Type="http://schemas.openxmlformats.org/officeDocument/2006/relationships/hyperlink" Target="https://www.ncbi.nlm.nih.gov/pmc/articles/PMC7974826/" TargetMode="External"/><Relationship Id="rId4" Type="http://schemas.openxmlformats.org/officeDocument/2006/relationships/footnotes" Target="footnotes.xml"/><Relationship Id="rId9" Type="http://schemas.openxmlformats.org/officeDocument/2006/relationships/hyperlink" Target="https://doi.org/10.1016/j.ssmph.2021.100847" TargetMode="External"/><Relationship Id="rId14" Type="http://schemas.openxmlformats.org/officeDocument/2006/relationships/hyperlink" Target="https://doi.org/10.3389/fpsyt.2022.880496"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9</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15</cp:revision>
  <dcterms:created xsi:type="dcterms:W3CDTF">2023-10-25T21:35:00Z</dcterms:created>
  <dcterms:modified xsi:type="dcterms:W3CDTF">2023-10-26T00:14:00Z</dcterms:modified>
</cp:coreProperties>
</file>