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>Weekly Reflection</w:t>
      </w: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</w:pPr>
      <w:r>
        <w:t>Name</w:t>
      </w: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</w:pPr>
      <w:r>
        <w:t>School Affiliation</w:t>
      </w: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</w:pPr>
      <w:r>
        <w:t>Course</w:t>
      </w: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</w:pPr>
      <w:r>
        <w:t>Instructor</w:t>
      </w:r>
    </w:p>
    <w:p w:rsidR="00AE4C1B" w:rsidRDefault="00AE4C1B" w:rsidP="00AE4C1B">
      <w:pPr>
        <w:pStyle w:val="NormalWeb"/>
        <w:spacing w:before="0" w:beforeAutospacing="0" w:after="0" w:afterAutospacing="0" w:line="480" w:lineRule="auto"/>
        <w:jc w:val="center"/>
      </w:pPr>
      <w:r>
        <w:t>Date Due</w:t>
      </w:r>
    </w:p>
    <w:p w:rsidR="00035D1A" w:rsidRDefault="00035D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AE4C1B" w:rsidRPr="00AE4C1B" w:rsidRDefault="00AE4C1B" w:rsidP="00AE4C1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lastRenderedPageBreak/>
        <w:t>Weekly Reflection</w:t>
      </w:r>
    </w:p>
    <w:p w:rsidR="00BF3E43" w:rsidRDefault="00BD7847" w:rsidP="00AE4C1B">
      <w:pPr>
        <w:pStyle w:val="NormalWeb"/>
        <w:spacing w:before="0" w:beforeAutospacing="0" w:after="0" w:afterAutospacing="0" w:line="480" w:lineRule="auto"/>
        <w:ind w:firstLine="720"/>
      </w:pPr>
      <w:r>
        <w:t xml:space="preserve">Nurses encounter challenging situations that may lead them to question their decision-making. Some situations may involve safety concerns and ethical dilemmas in the care process and clinician-patient interaction. </w:t>
      </w:r>
      <w:r w:rsidR="00BF3E43">
        <w:t>As a student nurse</w:t>
      </w:r>
      <w:r w:rsidR="008171EE">
        <w:t xml:space="preserve">, I encountered a situation in the past week that was challenging and evoked questions about my decision-making capabilities. </w:t>
      </w:r>
      <w:r w:rsidR="00BF3E43">
        <w:t xml:space="preserve"> </w:t>
      </w:r>
      <w:r w:rsidR="008171EE">
        <w:t>The</w:t>
      </w:r>
      <w:r w:rsidR="00BF3E43">
        <w:t xml:space="preserve"> scen</w:t>
      </w:r>
      <w:r w:rsidR="008171EE">
        <w:t xml:space="preserve">ario involved a patient </w:t>
      </w:r>
      <w:r w:rsidR="00BF3E43">
        <w:t>diagnosed with schizophrenia</w:t>
      </w:r>
      <w:r w:rsidR="008171EE">
        <w:t xml:space="preserve"> and presenting with a</w:t>
      </w:r>
      <w:r w:rsidR="00BF3E43">
        <w:t xml:space="preserve"> history of violent outbursts. The patient had been experiencing auditory hallucinations, and it was clear that they were becoming increasingly agitated during my shift.</w:t>
      </w:r>
      <w:r w:rsidR="00F31D00">
        <w:t xml:space="preserve"> The discussion will </w:t>
      </w:r>
      <w:r w:rsidR="00B97F81">
        <w:t>discuss the situations, aspects of care that evoked questions about my decision-making, and how I would handle the situation in the future.</w:t>
      </w:r>
    </w:p>
    <w:p w:rsidR="00BF3E43" w:rsidRDefault="00C34F71" w:rsidP="00AE4C1B">
      <w:pPr>
        <w:pStyle w:val="NormalWeb"/>
        <w:spacing w:before="0" w:beforeAutospacing="0" w:after="0" w:afterAutospacing="0" w:line="480" w:lineRule="auto"/>
        <w:ind w:firstLine="360"/>
      </w:pPr>
      <w:r>
        <w:t xml:space="preserve">During the encounter, </w:t>
      </w:r>
      <w:r w:rsidR="00BF3E43">
        <w:t xml:space="preserve">I was responsible for administering the patient's medication, which included antipsychotic drugs. However, the patient adamantly refused to take the medication, claiming that the pills were poisoned and that I was trying to harm them. </w:t>
      </w:r>
      <w:r>
        <w:t xml:space="preserve">I understood that his mental status was contributing to the refusal. However, the </w:t>
      </w:r>
      <w:r w:rsidR="00BF3E43">
        <w:t>situation left me feeling unsure of how</w:t>
      </w:r>
      <w:r>
        <w:t xml:space="preserve"> to proceed for several reasons. Firstly, </w:t>
      </w:r>
      <w:r w:rsidR="00156BAF">
        <w:t>the refusal t</w:t>
      </w:r>
      <w:r w:rsidR="00BF3E43">
        <w:t xml:space="preserve">o take the medication </w:t>
      </w:r>
      <w:r w:rsidR="00156BAF">
        <w:t xml:space="preserve">may have indicated </w:t>
      </w:r>
      <w:r w:rsidR="00BF3E43">
        <w:t xml:space="preserve">a lack of trust in the healthcare system. </w:t>
      </w:r>
      <w:r w:rsidR="001D454E">
        <w:t>As supported by</w:t>
      </w:r>
      <w:r w:rsidR="00426AF7">
        <w:t xml:space="preserve"> Tur-Sinai et al. (2021)</w:t>
      </w:r>
      <w:r w:rsidR="001D454E">
        <w:t xml:space="preserve">, some patients may refuse medication because of distrust with the system and perception of the environment as risky. </w:t>
      </w:r>
      <w:r w:rsidR="009342E1">
        <w:t>Secondly, the situation brought an ethical dilemma in balancing between autonomy and beneficence.</w:t>
      </w:r>
      <w:r w:rsidR="00515B8F">
        <w:t xml:space="preserve"> </w:t>
      </w:r>
      <w:r w:rsidR="00515B8F">
        <w:t>While autonomy prevails over beneficence, clinicians should also promote patients’ best interests (</w:t>
      </w:r>
      <w:proofErr w:type="spellStart"/>
      <w:r w:rsidR="00AE4C1B">
        <w:t>Cheraghi</w:t>
      </w:r>
      <w:proofErr w:type="spellEnd"/>
      <w:r w:rsidR="00AE4C1B">
        <w:t xml:space="preserve"> et al., 2023</w:t>
      </w:r>
      <w:r w:rsidR="00515B8F">
        <w:t>;</w:t>
      </w:r>
      <w:r w:rsidR="00426AF7">
        <w:t xml:space="preserve"> </w:t>
      </w:r>
      <w:proofErr w:type="spellStart"/>
      <w:r w:rsidR="00426AF7">
        <w:t>Varkey</w:t>
      </w:r>
      <w:proofErr w:type="spellEnd"/>
      <w:r w:rsidR="00426AF7">
        <w:t>, 2021</w:t>
      </w:r>
      <w:r w:rsidR="00515B8F">
        <w:t>).</w:t>
      </w:r>
      <w:r w:rsidR="009342E1">
        <w:t xml:space="preserve"> </w:t>
      </w:r>
      <w:r w:rsidR="00736141">
        <w:t xml:space="preserve">I questioned whether it was ethical to force the medications but was also concerned about the patient’s safety. </w:t>
      </w:r>
      <w:r w:rsidR="00BF3E43">
        <w:t>I worried about the potential for a physical altercation if I attempted to administer the medication against their will.</w:t>
      </w:r>
    </w:p>
    <w:p w:rsidR="00BF3E43" w:rsidRDefault="00BF3E43" w:rsidP="00AE4C1B">
      <w:pPr>
        <w:pStyle w:val="NormalWeb"/>
        <w:spacing w:before="0" w:beforeAutospacing="0" w:after="0" w:afterAutospacing="0" w:line="480" w:lineRule="auto"/>
        <w:ind w:firstLine="360"/>
      </w:pPr>
      <w:r>
        <w:lastRenderedPageBreak/>
        <w:t xml:space="preserve">In hindsight, </w:t>
      </w:r>
      <w:r w:rsidR="00E97F6B">
        <w:t>several approaches would help in handling the situation differently. First, spending</w:t>
      </w:r>
      <w:r w:rsidR="00385D53">
        <w:t xml:space="preserve"> additional time communicating w</w:t>
      </w:r>
      <w:r>
        <w:t>ith the patient, trying to understand their concerns and addressing them</w:t>
      </w:r>
      <w:r w:rsidR="00385D53">
        <w:t xml:space="preserve"> would be beneficial</w:t>
      </w:r>
      <w:r>
        <w:t>. Building rapport and trust is crucial in mental health nursing</w:t>
      </w:r>
      <w:r w:rsidR="00385D53">
        <w:t xml:space="preserve"> (</w:t>
      </w:r>
      <w:r w:rsidR="00AE4C1B">
        <w:t>Butt, 2021</w:t>
      </w:r>
      <w:r w:rsidR="00385D53">
        <w:t>)</w:t>
      </w:r>
      <w:r>
        <w:t>.</w:t>
      </w:r>
      <w:r w:rsidR="00385D53">
        <w:t xml:space="preserve"> Secondly, the involvement of a multidisciplinary team </w:t>
      </w:r>
      <w:r w:rsidR="002D322C">
        <w:t xml:space="preserve">could play a crucial role in handling such situations. For example, diverse perspectives from the members would lead to </w:t>
      </w:r>
      <w:r>
        <w:t>comprehensive care plan that considered the patient's unique needs and concerns.</w:t>
      </w:r>
      <w:r w:rsidR="002D322C">
        <w:t xml:space="preserve"> Thirdly, it would be essential to offer informed choice to the patient by discussing different alternatives. In the future, it would be essential to </w:t>
      </w:r>
      <w:r w:rsidR="008C7B02">
        <w:t xml:space="preserve">present the patient with options </w:t>
      </w:r>
      <w:r>
        <w:t>such as liquid medication or a shorter-acti</w:t>
      </w:r>
      <w:r w:rsidR="00F12E05">
        <w:t>ng injection, if available. The</w:t>
      </w:r>
      <w:r>
        <w:t xml:space="preserve"> approach </w:t>
      </w:r>
      <w:r w:rsidR="00F12E05">
        <w:t>would respect</w:t>
      </w:r>
      <w:r>
        <w:t xml:space="preserve"> their autonomy while still addressing their treatment needs</w:t>
      </w:r>
      <w:r w:rsidR="00F12E05">
        <w:t xml:space="preserve"> through a shared decision-making approach</w:t>
      </w:r>
      <w:r>
        <w:t>.</w:t>
      </w:r>
      <w:r w:rsidR="00F12E05">
        <w:t xml:space="preserve"> Finally, it would be essential to use de-escalation techniques before giving medication to such patients. For example, verbal de-escalation could defuse the tension and ensure the prioritization of the safety of the patient and others in the ward. </w:t>
      </w:r>
      <w:r w:rsidR="00D94787">
        <w:t>Overall, t</w:t>
      </w:r>
      <w:r w:rsidR="00AD363B">
        <w:t xml:space="preserve">he encounter provided insights into the importance of approaching </w:t>
      </w:r>
      <w:r>
        <w:t xml:space="preserve">each patient with empathy, patience, and a focus on building therapeutic relationships. </w:t>
      </w:r>
      <w:r w:rsidR="00D94787">
        <w:t xml:space="preserve">Continued exposure and learning will help in dealing with such situations </w:t>
      </w:r>
      <w:r w:rsidR="00426AF7">
        <w:t>more effectively in the future.</w:t>
      </w:r>
    </w:p>
    <w:p w:rsidR="00035D1A" w:rsidRDefault="00035D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426AF7" w:rsidRDefault="00426AF7" w:rsidP="00AE4C1B">
      <w:pPr>
        <w:pStyle w:val="NormalWeb"/>
        <w:spacing w:before="0" w:beforeAutospacing="0" w:after="0" w:afterAutospacing="0" w:line="480" w:lineRule="auto"/>
        <w:jc w:val="center"/>
      </w:pPr>
      <w:bookmarkStart w:id="0" w:name="_GoBack"/>
      <w:bookmarkEnd w:id="0"/>
      <w:r w:rsidRPr="00426AF7">
        <w:rPr>
          <w:b/>
        </w:rPr>
        <w:lastRenderedPageBreak/>
        <w:t>References</w:t>
      </w:r>
      <w:r>
        <w:t xml:space="preserve"> </w:t>
      </w:r>
    </w:p>
    <w:p w:rsidR="00AE4C1B" w:rsidRPr="00426AF7" w:rsidRDefault="00AE4C1B" w:rsidP="00AE4C1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Butt, M. F. (2021). Approaches to building rapport with patients. </w:t>
      </w:r>
      <w:r w:rsidRPr="00AE4C1B">
        <w:rPr>
          <w:rFonts w:ascii="Times New Roman" w:eastAsia="Times New Roman" w:hAnsi="Times New Roman" w:cs="Times New Roman"/>
          <w:i/>
          <w:iCs/>
          <w:sz w:val="24"/>
          <w:szCs w:val="24"/>
        </w:rPr>
        <w:t>Clinical Medicine</w:t>
      </w:r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4C1B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(6), e662. </w:t>
      </w:r>
      <w:hyperlink r:id="rId7" w:history="1">
        <w:r w:rsidRPr="008E6B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https://doi.org/10.7861/clinmed.2021-0264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C1B" w:rsidRDefault="00AE4C1B" w:rsidP="00AE4C1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C1B">
        <w:rPr>
          <w:rFonts w:ascii="Times New Roman" w:eastAsia="Times New Roman" w:hAnsi="Times New Roman" w:cs="Times New Roman"/>
          <w:sz w:val="24"/>
          <w:szCs w:val="24"/>
        </w:rPr>
        <w:t>Cheraghi</w:t>
      </w:r>
      <w:proofErr w:type="spellEnd"/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AE4C1B">
        <w:rPr>
          <w:rFonts w:ascii="Times New Roman" w:eastAsia="Times New Roman" w:hAnsi="Times New Roman" w:cs="Times New Roman"/>
          <w:sz w:val="24"/>
          <w:szCs w:val="24"/>
        </w:rPr>
        <w:t>Valizadeh</w:t>
      </w:r>
      <w:proofErr w:type="spellEnd"/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 w:rsidRPr="00AE4C1B">
        <w:rPr>
          <w:rFonts w:ascii="Times New Roman" w:eastAsia="Times New Roman" w:hAnsi="Times New Roman" w:cs="Times New Roman"/>
          <w:sz w:val="24"/>
          <w:szCs w:val="24"/>
        </w:rPr>
        <w:t>Zamanzadeh</w:t>
      </w:r>
      <w:proofErr w:type="spellEnd"/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AE4C1B">
        <w:rPr>
          <w:rFonts w:ascii="Times New Roman" w:eastAsia="Times New Roman" w:hAnsi="Times New Roman" w:cs="Times New Roman"/>
          <w:sz w:val="24"/>
          <w:szCs w:val="24"/>
        </w:rPr>
        <w:t>Hassankhani</w:t>
      </w:r>
      <w:proofErr w:type="spellEnd"/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H., &amp; </w:t>
      </w:r>
      <w:proofErr w:type="spellStart"/>
      <w:r w:rsidRPr="00AE4C1B">
        <w:rPr>
          <w:rFonts w:ascii="Times New Roman" w:eastAsia="Times New Roman" w:hAnsi="Times New Roman" w:cs="Times New Roman"/>
          <w:sz w:val="24"/>
          <w:szCs w:val="24"/>
        </w:rPr>
        <w:t>Jafarzadeh</w:t>
      </w:r>
      <w:proofErr w:type="spellEnd"/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A. (2023). Clarification of ethical principle of the beneficence in nursing care: An integrative review. </w:t>
      </w:r>
      <w:r w:rsidRPr="00AE4C1B">
        <w:rPr>
          <w:rFonts w:ascii="Times New Roman" w:eastAsia="Times New Roman" w:hAnsi="Times New Roman" w:cs="Times New Roman"/>
          <w:i/>
          <w:iCs/>
          <w:sz w:val="24"/>
          <w:szCs w:val="24"/>
        </w:rPr>
        <w:t>BMC Nursing</w:t>
      </w:r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4C1B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AE4C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8" w:history="1">
        <w:r w:rsidRPr="008E6B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https://doi.org/10.1186/s12912-023-01246-4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4C1B" w:rsidRDefault="00AE4C1B" w:rsidP="00AE4C1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Tur-Sinai, A., </w:t>
      </w:r>
      <w:proofErr w:type="spellStart"/>
      <w:r w:rsidRPr="00426AF7">
        <w:rPr>
          <w:rFonts w:ascii="Times New Roman" w:eastAsia="Times New Roman" w:hAnsi="Times New Roman" w:cs="Times New Roman"/>
          <w:sz w:val="24"/>
          <w:szCs w:val="24"/>
        </w:rPr>
        <w:t>Barnea</w:t>
      </w:r>
      <w:proofErr w:type="spellEnd"/>
      <w:r w:rsidRPr="00426AF7">
        <w:rPr>
          <w:rFonts w:ascii="Times New Roman" w:eastAsia="Times New Roman" w:hAnsi="Times New Roman" w:cs="Times New Roman"/>
          <w:sz w:val="24"/>
          <w:szCs w:val="24"/>
        </w:rPr>
        <w:t>, R., &amp; Tal, O. (2021). Analyzing patient trust through the lens of hospitals managers—</w:t>
      </w:r>
      <w:proofErr w:type="gramStart"/>
      <w:r w:rsidRPr="00426AF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 other side of the coin. </w:t>
      </w:r>
      <w:proofErr w:type="spellStart"/>
      <w:r w:rsidRPr="00426AF7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426A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AF7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(4). </w:t>
      </w:r>
      <w:hyperlink r:id="rId9" w:history="1">
        <w:r w:rsidRPr="008E6B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https://doi.org/10.1371/journal.pone.0250626</w:t>
        </w:r>
      </w:hyperlink>
    </w:p>
    <w:p w:rsidR="00AE4C1B" w:rsidRDefault="00AE4C1B" w:rsidP="00AE4C1B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6AF7">
        <w:rPr>
          <w:rFonts w:ascii="Times New Roman" w:eastAsia="Times New Roman" w:hAnsi="Times New Roman" w:cs="Times New Roman"/>
          <w:sz w:val="24"/>
          <w:szCs w:val="24"/>
        </w:rPr>
        <w:t>Varkey</w:t>
      </w:r>
      <w:proofErr w:type="spellEnd"/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, B. (2021). Principles of Clinical Ethics and Their Application to Practice. </w:t>
      </w:r>
      <w:r w:rsidRPr="00426AF7">
        <w:rPr>
          <w:rFonts w:ascii="Times New Roman" w:eastAsia="Times New Roman" w:hAnsi="Times New Roman" w:cs="Times New Roman"/>
          <w:i/>
          <w:iCs/>
          <w:sz w:val="24"/>
          <w:szCs w:val="24"/>
        </w:rPr>
        <w:t>Medical Principles and Practice</w:t>
      </w:r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6AF7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426AF7">
        <w:rPr>
          <w:rFonts w:ascii="Times New Roman" w:eastAsia="Times New Roman" w:hAnsi="Times New Roman" w:cs="Times New Roman"/>
          <w:sz w:val="24"/>
          <w:szCs w:val="24"/>
        </w:rPr>
        <w:t xml:space="preserve">(1), 17-28. </w:t>
      </w:r>
      <w:hyperlink r:id="rId10" w:history="1">
        <w:r w:rsidRPr="008E6B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https://doi.org/10.1159/000509119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7188" w:rsidRPr="00BF3E43" w:rsidRDefault="00A67188" w:rsidP="00AE4C1B">
      <w:pPr>
        <w:spacing w:after="0" w:line="480" w:lineRule="auto"/>
      </w:pPr>
    </w:p>
    <w:sectPr w:rsidR="00A67188" w:rsidRPr="00BF3E43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20" w:rsidRDefault="00451620" w:rsidP="00AE4C1B">
      <w:pPr>
        <w:spacing w:after="0" w:line="240" w:lineRule="auto"/>
      </w:pPr>
      <w:r>
        <w:separator/>
      </w:r>
    </w:p>
  </w:endnote>
  <w:endnote w:type="continuationSeparator" w:id="0">
    <w:p w:rsidR="00451620" w:rsidRDefault="00451620" w:rsidP="00AE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20" w:rsidRDefault="00451620" w:rsidP="00AE4C1B">
      <w:pPr>
        <w:spacing w:after="0" w:line="240" w:lineRule="auto"/>
      </w:pPr>
      <w:r>
        <w:separator/>
      </w:r>
    </w:p>
  </w:footnote>
  <w:footnote w:type="continuationSeparator" w:id="0">
    <w:p w:rsidR="00451620" w:rsidRDefault="00451620" w:rsidP="00AE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1B" w:rsidRDefault="00AE4C1B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35D1A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218F"/>
    <w:multiLevelType w:val="multilevel"/>
    <w:tmpl w:val="5A26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40CB7"/>
    <w:multiLevelType w:val="multilevel"/>
    <w:tmpl w:val="ECBC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EB"/>
    <w:rsid w:val="00035D1A"/>
    <w:rsid w:val="00151BE5"/>
    <w:rsid w:val="00156BAF"/>
    <w:rsid w:val="001D454E"/>
    <w:rsid w:val="002D322C"/>
    <w:rsid w:val="00385D53"/>
    <w:rsid w:val="00426AF7"/>
    <w:rsid w:val="00451620"/>
    <w:rsid w:val="00515B8F"/>
    <w:rsid w:val="005517EB"/>
    <w:rsid w:val="00736141"/>
    <w:rsid w:val="008171EE"/>
    <w:rsid w:val="008C7B02"/>
    <w:rsid w:val="008E3476"/>
    <w:rsid w:val="009342E1"/>
    <w:rsid w:val="00A67188"/>
    <w:rsid w:val="00AD363B"/>
    <w:rsid w:val="00AE4C1B"/>
    <w:rsid w:val="00B01D0E"/>
    <w:rsid w:val="00B97F81"/>
    <w:rsid w:val="00BD7847"/>
    <w:rsid w:val="00BF3E43"/>
    <w:rsid w:val="00C34F71"/>
    <w:rsid w:val="00C44E86"/>
    <w:rsid w:val="00D94787"/>
    <w:rsid w:val="00DC7994"/>
    <w:rsid w:val="00E97F6B"/>
    <w:rsid w:val="00F12E05"/>
    <w:rsid w:val="00F31D00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117D"/>
  <w15:chartTrackingRefBased/>
  <w15:docId w15:val="{47CF1DD0-68B8-4A69-81F1-386AB85C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6B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1B"/>
  </w:style>
  <w:style w:type="paragraph" w:styleId="Footer">
    <w:name w:val="footer"/>
    <w:basedOn w:val="Normal"/>
    <w:link w:val="FooterChar"/>
    <w:uiPriority w:val="99"/>
    <w:unhideWhenUsed/>
    <w:rsid w:val="00AE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3-01246-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7861/clinmed.2021-02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159/000509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50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2023-10-29T01:16:00Z</dcterms:created>
  <dcterms:modified xsi:type="dcterms:W3CDTF">2023-10-29T01:16:00Z</dcterms:modified>
</cp:coreProperties>
</file>