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03" w:rsidRPr="00777603" w:rsidRDefault="00777603" w:rsidP="00ED7B74">
      <w:pPr>
        <w:spacing w:after="10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Response to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Jesenia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Navedo</w:t>
      </w:r>
    </w:p>
    <w:p w:rsidR="00A67188" w:rsidRDefault="00777603" w:rsidP="00ED7B74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777603">
        <w:rPr>
          <w:rFonts w:ascii="Times New Roman" w:hAnsi="Times New Roman" w:cs="Times New Roman"/>
          <w:sz w:val="24"/>
          <w:szCs w:val="24"/>
          <w:lang w:val="en-US"/>
        </w:rPr>
        <w:t>Than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 you for your insightful and well-articulated case. </w:t>
      </w:r>
      <w:r w:rsidR="00EB5795">
        <w:rPr>
          <w:rFonts w:ascii="Times New Roman" w:hAnsi="Times New Roman" w:cs="Times New Roman"/>
          <w:sz w:val="24"/>
          <w:szCs w:val="24"/>
          <w:lang w:val="en-US"/>
        </w:rPr>
        <w:t xml:space="preserve">I agree that </w:t>
      </w:r>
      <w:r w:rsidR="00123FF6">
        <w:rPr>
          <w:rFonts w:ascii="Times New Roman" w:hAnsi="Times New Roman" w:cs="Times New Roman"/>
          <w:sz w:val="24"/>
          <w:szCs w:val="24"/>
          <w:lang w:val="en-US"/>
        </w:rPr>
        <w:t>a multiplicity of factors, including age, sexual health,</w:t>
      </w:r>
      <w:bookmarkStart w:id="0" w:name="_GoBack"/>
      <w:bookmarkEnd w:id="0"/>
      <w:r w:rsidR="00123FF6">
        <w:rPr>
          <w:rFonts w:ascii="Times New Roman" w:hAnsi="Times New Roman" w:cs="Times New Roman"/>
          <w:sz w:val="24"/>
          <w:szCs w:val="24"/>
          <w:lang w:val="en-US"/>
        </w:rPr>
        <w:t xml:space="preserve"> culture, and gender could significantly influence the assessment. </w:t>
      </w:r>
      <w:r w:rsidR="00A5456D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276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5456D">
        <w:rPr>
          <w:rFonts w:ascii="Times New Roman" w:hAnsi="Times New Roman" w:cs="Times New Roman"/>
          <w:sz w:val="24"/>
          <w:szCs w:val="24"/>
          <w:lang w:val="en-US"/>
        </w:rPr>
        <w:t>18-year-old female</w:t>
      </w:r>
      <w:r w:rsidR="0082762C">
        <w:rPr>
          <w:rFonts w:ascii="Times New Roman" w:hAnsi="Times New Roman" w:cs="Times New Roman"/>
          <w:sz w:val="24"/>
          <w:szCs w:val="24"/>
          <w:lang w:val="en-US"/>
        </w:rPr>
        <w:t xml:space="preserve"> with an STI</w:t>
      </w:r>
      <w:r w:rsidR="00A545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0797D">
        <w:rPr>
          <w:rFonts w:ascii="Times New Roman" w:hAnsi="Times New Roman" w:cs="Times New Roman"/>
          <w:sz w:val="24"/>
          <w:szCs w:val="24"/>
          <w:lang w:val="en-US"/>
        </w:rPr>
        <w:t xml:space="preserve">establishing trust during the assessment is critical. Indeed, </w:t>
      </w:r>
      <w:proofErr w:type="spellStart"/>
      <w:r w:rsidR="007205FD">
        <w:rPr>
          <w:rFonts w:ascii="Times New Roman" w:hAnsi="Times New Roman" w:cs="Times New Roman"/>
          <w:sz w:val="24"/>
          <w:szCs w:val="24"/>
          <w:lang w:val="en-US"/>
        </w:rPr>
        <w:t>Córdova</w:t>
      </w:r>
      <w:proofErr w:type="spellEnd"/>
      <w:r w:rsidR="007205FD">
        <w:rPr>
          <w:rFonts w:ascii="Times New Roman" w:hAnsi="Times New Roman" w:cs="Times New Roman"/>
          <w:sz w:val="24"/>
          <w:szCs w:val="24"/>
          <w:lang w:val="en-US"/>
        </w:rPr>
        <w:t xml:space="preserve"> et al. (2018) </w:t>
      </w:r>
      <w:r w:rsidR="00984D37">
        <w:rPr>
          <w:rFonts w:ascii="Times New Roman" w:hAnsi="Times New Roman" w:cs="Times New Roman"/>
          <w:sz w:val="24"/>
          <w:szCs w:val="24"/>
          <w:lang w:val="en-US"/>
        </w:rPr>
        <w:t>note</w:t>
      </w:r>
      <w:r w:rsidR="007205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84D37">
        <w:rPr>
          <w:rFonts w:ascii="Times New Roman" w:hAnsi="Times New Roman" w:cs="Times New Roman"/>
          <w:sz w:val="24"/>
          <w:szCs w:val="24"/>
          <w:lang w:val="en-US"/>
        </w:rPr>
        <w:t xml:space="preserve"> that clinicians should use an open and understanding communication approach to prevent patients from feeling judged or uncomfortable. </w:t>
      </w:r>
      <w:r w:rsidR="0082762C">
        <w:rPr>
          <w:rFonts w:ascii="Times New Roman" w:hAnsi="Times New Roman" w:cs="Times New Roman"/>
          <w:sz w:val="24"/>
          <w:szCs w:val="24"/>
          <w:lang w:val="en-US"/>
        </w:rPr>
        <w:t>Establishing a trust-based</w:t>
      </w:r>
      <w:r w:rsidR="009F4BEB">
        <w:rPr>
          <w:rFonts w:ascii="Times New Roman" w:hAnsi="Times New Roman" w:cs="Times New Roman"/>
          <w:sz w:val="24"/>
          <w:szCs w:val="24"/>
          <w:lang w:val="en-US"/>
        </w:rPr>
        <w:t xml:space="preserve"> therapeutic relationship could</w:t>
      </w:r>
      <w:r w:rsidR="00827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BEB">
        <w:rPr>
          <w:rFonts w:ascii="Times New Roman" w:hAnsi="Times New Roman" w:cs="Times New Roman"/>
          <w:sz w:val="24"/>
          <w:szCs w:val="24"/>
          <w:lang w:val="en-US"/>
        </w:rPr>
        <w:t>reveal risk factors of transmission</w:t>
      </w:r>
      <w:r w:rsidR="00296656">
        <w:rPr>
          <w:rFonts w:ascii="Times New Roman" w:hAnsi="Times New Roman" w:cs="Times New Roman"/>
          <w:sz w:val="24"/>
          <w:szCs w:val="24"/>
          <w:lang w:val="en-US"/>
        </w:rPr>
        <w:t xml:space="preserve"> considering that adolescents and young adults may engage in high-risk sexual behaviors. For example, it could</w:t>
      </w:r>
      <w:r w:rsidR="00F714B9">
        <w:rPr>
          <w:rFonts w:ascii="Times New Roman" w:hAnsi="Times New Roman" w:cs="Times New Roman"/>
          <w:sz w:val="24"/>
          <w:szCs w:val="24"/>
          <w:lang w:val="en-US"/>
        </w:rPr>
        <w:t xml:space="preserve"> help in notifying the sex partner to interrupt transmission and prevent reinfections (</w:t>
      </w:r>
      <w:r w:rsidR="00FF06F0">
        <w:rPr>
          <w:rFonts w:ascii="Times New Roman" w:hAnsi="Times New Roman" w:cs="Times New Roman"/>
          <w:sz w:val="24"/>
          <w:szCs w:val="24"/>
          <w:lang w:val="en-US"/>
        </w:rPr>
        <w:t>Barrow et al., 2020</w:t>
      </w:r>
      <w:r w:rsidR="00F714B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0E1FB5">
        <w:rPr>
          <w:rFonts w:ascii="Times New Roman" w:hAnsi="Times New Roman" w:cs="Times New Roman"/>
          <w:sz w:val="24"/>
          <w:szCs w:val="24"/>
          <w:lang w:val="en-US"/>
        </w:rPr>
        <w:t>A culturally sensitive approach is also essential to th</w:t>
      </w:r>
      <w:r w:rsidR="008F5CDC">
        <w:rPr>
          <w:rFonts w:ascii="Times New Roman" w:hAnsi="Times New Roman" w:cs="Times New Roman"/>
          <w:sz w:val="24"/>
          <w:szCs w:val="24"/>
          <w:lang w:val="en-US"/>
        </w:rPr>
        <w:t>e assessment. African American women face disproportionate level</w:t>
      </w:r>
      <w:r w:rsidR="00CB236A">
        <w:rPr>
          <w:rFonts w:ascii="Times New Roman" w:hAnsi="Times New Roman" w:cs="Times New Roman"/>
          <w:sz w:val="24"/>
          <w:szCs w:val="24"/>
          <w:lang w:val="en-US"/>
        </w:rPr>
        <w:t>s of gender-related stigma and blame when diagnosed with STIs (</w:t>
      </w:r>
      <w:proofErr w:type="spellStart"/>
      <w:r w:rsidR="007205FD">
        <w:rPr>
          <w:rFonts w:ascii="Times New Roman" w:hAnsi="Times New Roman" w:cs="Times New Roman"/>
          <w:sz w:val="24"/>
          <w:szCs w:val="24"/>
          <w:lang w:val="en-US"/>
        </w:rPr>
        <w:t>Oser</w:t>
      </w:r>
      <w:proofErr w:type="spellEnd"/>
      <w:r w:rsidR="007205FD">
        <w:rPr>
          <w:rFonts w:ascii="Times New Roman" w:hAnsi="Times New Roman" w:cs="Times New Roman"/>
          <w:sz w:val="24"/>
          <w:szCs w:val="24"/>
          <w:lang w:val="en-US"/>
        </w:rPr>
        <w:t xml:space="preserve"> et al., 2017</w:t>
      </w:r>
      <w:r w:rsidR="00CB236A">
        <w:rPr>
          <w:rFonts w:ascii="Times New Roman" w:hAnsi="Times New Roman" w:cs="Times New Roman"/>
          <w:sz w:val="24"/>
          <w:szCs w:val="24"/>
          <w:lang w:val="en-US"/>
        </w:rPr>
        <w:t>). Therefore, cultural awareness and sensitivity could</w:t>
      </w:r>
      <w:r w:rsidR="00583F55">
        <w:rPr>
          <w:rFonts w:ascii="Times New Roman" w:hAnsi="Times New Roman" w:cs="Times New Roman"/>
          <w:sz w:val="24"/>
          <w:szCs w:val="24"/>
          <w:lang w:val="en-US"/>
        </w:rPr>
        <w:t xml:space="preserve"> create a safe environment when discussing the diagnosis because the patient would not feel judged. </w:t>
      </w:r>
    </w:p>
    <w:p w:rsidR="00F714B9" w:rsidRDefault="00F714B9" w:rsidP="00ED7B74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:rsidR="007205FD" w:rsidRDefault="007205FD" w:rsidP="00ED7B74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Barrow, R. Y., Ahmed, F., Bolan, G. A., &amp; </w:t>
      </w:r>
      <w:proofErr w:type="spellStart"/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>Workowski</w:t>
      </w:r>
      <w:proofErr w:type="spellEnd"/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A. (2020). Recommendations for Providing Quality Sexually Transmitted Diseases Clinical Services, 2020. </w:t>
      </w:r>
      <w:r w:rsidRPr="00FF06F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MMWR. Recommendations and </w:t>
      </w:r>
      <w:proofErr w:type="gramStart"/>
      <w:r w:rsidRPr="00FF06F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reports :</w:t>
      </w:r>
      <w:proofErr w:type="gramEnd"/>
      <w:r w:rsidRPr="00FF06F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Morbidity and mortality weekly report. Recommendations and reports</w:t>
      </w:r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F06F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68</w:t>
      </w:r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(5), 1–20. </w:t>
      </w:r>
      <w:hyperlink r:id="rId4" w:history="1">
        <w:r w:rsidRPr="002B5D9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https://doi.org/10.15585/mmwr.rr6805a1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205FD" w:rsidRDefault="007205FD" w:rsidP="00ED7B74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>Córdova</w:t>
      </w:r>
      <w:proofErr w:type="spellEnd"/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</w:t>
      </w:r>
      <w:proofErr w:type="spellStart"/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>Lua</w:t>
      </w:r>
      <w:proofErr w:type="spellEnd"/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M., </w:t>
      </w:r>
      <w:proofErr w:type="spellStart"/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>Ovadje</w:t>
      </w:r>
      <w:proofErr w:type="spellEnd"/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>Fessler</w:t>
      </w:r>
      <w:proofErr w:type="spellEnd"/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K., </w:t>
      </w:r>
      <w:proofErr w:type="spellStart"/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>Bauermeister</w:t>
      </w:r>
      <w:proofErr w:type="spellEnd"/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A., Salas-Wright, C. P., Vaughn, M. G., &amp; Leadership Council, Y. (2018). Adolescent Experiences of Clinician-Patient HIV/STI Communication in Primary Care. </w:t>
      </w:r>
      <w:r w:rsidRPr="007205F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Health communication</w:t>
      </w:r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205F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33</w:t>
      </w:r>
      <w:r w:rsidRPr="007205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(9), 1177–1183. </w:t>
      </w:r>
      <w:hyperlink r:id="rId5" w:history="1">
        <w:r w:rsidRPr="002B5D9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https://doi.org/10.1080/10410236.2017.1339379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205FD" w:rsidRDefault="007205FD" w:rsidP="00ED7B74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>Oser</w:t>
      </w:r>
      <w:proofErr w:type="spellEnd"/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B., Pullen, E., Stevens-Watkins, D., Perry, B. L., Havens, J. R., </w:t>
      </w:r>
      <w:proofErr w:type="spellStart"/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>Staton</w:t>
      </w:r>
      <w:proofErr w:type="spellEnd"/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-Tindall, M., &amp; </w:t>
      </w:r>
      <w:proofErr w:type="spellStart"/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>Leukefeld</w:t>
      </w:r>
      <w:proofErr w:type="spellEnd"/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G. (2017). African American women and sexually transmitted infections: The contextual influence of unbalanced sex ratios and individual risk behaviors. </w:t>
      </w:r>
      <w:r w:rsidRPr="00FF06F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drug issues</w:t>
      </w:r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F06F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47</w:t>
      </w:r>
      <w:r w:rsidRPr="00FF06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543–561. </w:t>
      </w:r>
      <w:hyperlink r:id="rId6" w:history="1">
        <w:r w:rsidRPr="002B5D9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https://doi.org/10.1177/0022042616678610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205FD" w:rsidRDefault="007205FD" w:rsidP="00ED7B74">
      <w:pPr>
        <w:spacing w:after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:rsidR="007205FD" w:rsidRDefault="007205FD" w:rsidP="00ED7B74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Response to </w:t>
      </w:r>
      <w:proofErr w:type="spellStart"/>
      <w:r w:rsidR="00074A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Antonette</w:t>
      </w:r>
      <w:proofErr w:type="spellEnd"/>
      <w:r w:rsidR="00074A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74A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Manigsaca</w:t>
      </w:r>
      <w:proofErr w:type="spellEnd"/>
    </w:p>
    <w:p w:rsidR="00074AD9" w:rsidRDefault="00074AD9" w:rsidP="00ED7B7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Thank you for your informative presentation of patient G.Y. </w:t>
      </w:r>
      <w:r w:rsidR="002D59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the presentation, it is evident that the patient’s immigrant status, low English proficiency, and culture. </w:t>
      </w:r>
      <w:r w:rsidR="00BC44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agree that language barriers often lead to miscommunication and misunderstanding of patients’ symptoms and histories. </w:t>
      </w:r>
      <w:r w:rsidR="00BE28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Consequently, this potentiates misdiagnosis, delayed treatment, and low patient satisfaction (Al </w:t>
      </w:r>
      <w:proofErr w:type="spellStart"/>
      <w:r w:rsidR="00BE2864">
        <w:rPr>
          <w:rFonts w:ascii="Times New Roman" w:eastAsia="Times New Roman" w:hAnsi="Times New Roman" w:cs="Times New Roman"/>
          <w:sz w:val="24"/>
          <w:szCs w:val="24"/>
          <w:lang w:val="en-US"/>
        </w:rPr>
        <w:t>Shamsi</w:t>
      </w:r>
      <w:proofErr w:type="spellEnd"/>
      <w:r w:rsidR="00BE28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al., 2020; de </w:t>
      </w:r>
      <w:proofErr w:type="spellStart"/>
      <w:r w:rsidR="00BE2864">
        <w:rPr>
          <w:rFonts w:ascii="Times New Roman" w:eastAsia="Times New Roman" w:hAnsi="Times New Roman" w:cs="Times New Roman"/>
          <w:sz w:val="24"/>
          <w:szCs w:val="24"/>
          <w:lang w:val="en-US"/>
        </w:rPr>
        <w:t>Moissac</w:t>
      </w:r>
      <w:proofErr w:type="spellEnd"/>
      <w:r w:rsidR="00BE28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Bowen, 2019). Besides, </w:t>
      </w:r>
      <w:r w:rsidR="00110CCD">
        <w:rPr>
          <w:rFonts w:ascii="Times New Roman" w:eastAsia="Times New Roman" w:hAnsi="Times New Roman" w:cs="Times New Roman"/>
          <w:sz w:val="24"/>
          <w:szCs w:val="24"/>
          <w:lang w:val="en-US"/>
        </w:rPr>
        <w:t>cultural beliefs and traditions m</w:t>
      </w:r>
      <w:r w:rsidR="0036161B">
        <w:rPr>
          <w:rFonts w:ascii="Times New Roman" w:eastAsia="Times New Roman" w:hAnsi="Times New Roman" w:cs="Times New Roman"/>
          <w:sz w:val="24"/>
          <w:szCs w:val="24"/>
          <w:lang w:val="en-US"/>
        </w:rPr>
        <w:t>ay affect disclosure of symptoms considering the culturally constructed understanding of pain (</w:t>
      </w:r>
      <w:r w:rsidR="000E7EE2">
        <w:rPr>
          <w:rFonts w:ascii="Times New Roman" w:eastAsia="Times New Roman" w:hAnsi="Times New Roman" w:cs="Times New Roman"/>
          <w:sz w:val="24"/>
          <w:szCs w:val="24"/>
          <w:lang w:val="en-US"/>
        </w:rPr>
        <w:t>Domingo et al., 2018</w:t>
      </w:r>
      <w:r w:rsidR="003616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I agree that the success of the assessment would significantly </w:t>
      </w:r>
      <w:r w:rsidR="004367A1">
        <w:rPr>
          <w:rFonts w:ascii="Times New Roman" w:eastAsia="Times New Roman" w:hAnsi="Times New Roman" w:cs="Times New Roman"/>
          <w:sz w:val="24"/>
          <w:szCs w:val="24"/>
          <w:lang w:val="en-US"/>
        </w:rPr>
        <w:t>benefit from adopting a culturally sensitive approach. Besides, using interpreter services could address the language barriers and improve exchange of information and patient satisfaction (</w:t>
      </w:r>
      <w:r w:rsidR="00ED7B74">
        <w:rPr>
          <w:rFonts w:ascii="Times New Roman" w:eastAsia="Times New Roman" w:hAnsi="Times New Roman" w:cs="Times New Roman"/>
          <w:sz w:val="24"/>
          <w:szCs w:val="24"/>
          <w:lang w:val="en-US"/>
        </w:rPr>
        <w:t>Health et al., 2023</w:t>
      </w:r>
      <w:r w:rsidR="004367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9B3035">
        <w:rPr>
          <w:rFonts w:ascii="Times New Roman" w:eastAsia="Times New Roman" w:hAnsi="Times New Roman" w:cs="Times New Roman"/>
          <w:sz w:val="24"/>
          <w:szCs w:val="24"/>
          <w:lang w:val="en-US"/>
        </w:rPr>
        <w:t>I believe that all nurses have the responsibility for collecting adequate and accurate patient information and tailoring the assessment to their needs is essential.</w:t>
      </w:r>
    </w:p>
    <w:p w:rsidR="009B3035" w:rsidRDefault="009B3035" w:rsidP="00ED7B74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:rsidR="00ED7B74" w:rsidRDefault="00ED7B74" w:rsidP="00ED7B74">
      <w:pPr>
        <w:spacing w:after="100" w:line="240" w:lineRule="auto"/>
        <w:ind w:left="720" w:hanging="720"/>
      </w:pP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Shamsi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Almutairi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A. G., Al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Mashrafi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S., &amp; Al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Kalbani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T. (2020). Implications of Language Barriers for Healthcare: A Systematic Review.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Oman M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edical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>ournal</w:t>
      </w: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(2), e122. </w:t>
      </w:r>
      <w:hyperlink r:id="rId7" w:history="1">
        <w:r w:rsidRPr="002B5D9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https://doi.org/10.5001/omj.2020.40</w:t>
        </w:r>
      </w:hyperlink>
    </w:p>
    <w:p w:rsidR="00ED7B74" w:rsidRDefault="00ED7B74" w:rsidP="00ED7B74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5F72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Moissac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D., &amp; Bowen, S. (2019). Impact of Language Barriers on Quality of Care and Patient Safety for Official Language Minority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Francophones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 in Canada.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atient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>xperience</w:t>
      </w: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(1), 24–32. </w:t>
      </w:r>
      <w:hyperlink r:id="rId8" w:history="1">
        <w:r w:rsidRPr="001B62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https://doi.org/10.1177/2374373518769008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7B74" w:rsidRDefault="00ED7B74" w:rsidP="00ED7B74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E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Domingo, J. B., </w:t>
      </w:r>
      <w:proofErr w:type="spellStart"/>
      <w:r w:rsidRPr="000E7EE2">
        <w:rPr>
          <w:rFonts w:ascii="Times New Roman" w:eastAsia="Times New Roman" w:hAnsi="Times New Roman" w:cs="Times New Roman"/>
          <w:sz w:val="24"/>
          <w:szCs w:val="24"/>
          <w:lang w:val="en-US"/>
        </w:rPr>
        <w:t>Gavero</w:t>
      </w:r>
      <w:proofErr w:type="spellEnd"/>
      <w:r w:rsidRPr="000E7E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G., &amp; Braun, K. L. (2018). Strategies to Increase Filipino American Participation in Cardiovascular Health Promotion: A Systematic Review. </w:t>
      </w:r>
      <w:r w:rsidRPr="000E7EE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Preventing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Chronic D</w:t>
      </w:r>
      <w:r w:rsidRPr="000E7EE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isease</w:t>
      </w:r>
      <w:r w:rsidRPr="000E7E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E7EE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</w:t>
      </w:r>
      <w:r w:rsidRPr="000E7E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E59. </w:t>
      </w:r>
      <w:hyperlink r:id="rId9" w:history="1">
        <w:r w:rsidRPr="002B5D9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https://doi.org/10.5888/pcd15.170294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D7B74" w:rsidRPr="000E7EE2" w:rsidRDefault="00ED7B74" w:rsidP="00ED7B74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Heath, M., </w:t>
      </w:r>
      <w:proofErr w:type="spellStart"/>
      <w:r w:rsidRPr="00ED7B74">
        <w:rPr>
          <w:rFonts w:ascii="Times New Roman" w:eastAsia="Times New Roman" w:hAnsi="Times New Roman" w:cs="Times New Roman"/>
          <w:sz w:val="24"/>
          <w:szCs w:val="24"/>
          <w:lang w:val="en-US"/>
        </w:rPr>
        <w:t>Hvass</w:t>
      </w:r>
      <w:proofErr w:type="spellEnd"/>
      <w:r w:rsidRPr="00ED7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M. F., &amp; </w:t>
      </w:r>
      <w:proofErr w:type="spellStart"/>
      <w:r w:rsidRPr="00ED7B74">
        <w:rPr>
          <w:rFonts w:ascii="Times New Roman" w:eastAsia="Times New Roman" w:hAnsi="Times New Roman" w:cs="Times New Roman"/>
          <w:sz w:val="24"/>
          <w:szCs w:val="24"/>
          <w:lang w:val="en-US"/>
        </w:rPr>
        <w:t>Wejse</w:t>
      </w:r>
      <w:proofErr w:type="spellEnd"/>
      <w:r w:rsidRPr="00ED7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M. (2023). Interpreter services and effect on healthcare - a systematic review of the impact of different types of interpreters on patient outcome.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M</w:t>
      </w:r>
      <w:r w:rsidRPr="00ED7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igration and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</w:t>
      </w:r>
      <w:r w:rsidRPr="00ED7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ealth</w:t>
      </w:r>
      <w:r w:rsidRPr="00ED7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D7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7</w:t>
      </w:r>
      <w:r w:rsidRPr="00ED7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100162. </w:t>
      </w:r>
      <w:hyperlink r:id="rId10" w:history="1">
        <w:r w:rsidRPr="002B5D9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https://doi.org/10.1016/j.jmh.2023.100162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sectPr w:rsidR="00ED7B74" w:rsidRPr="000E7E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03"/>
    <w:rsid w:val="00074AD9"/>
    <w:rsid w:val="000E1FB5"/>
    <w:rsid w:val="000E7EE2"/>
    <w:rsid w:val="00110CCD"/>
    <w:rsid w:val="00123FF6"/>
    <w:rsid w:val="00296656"/>
    <w:rsid w:val="002D5941"/>
    <w:rsid w:val="0036161B"/>
    <w:rsid w:val="003D7F65"/>
    <w:rsid w:val="004210BE"/>
    <w:rsid w:val="004367A1"/>
    <w:rsid w:val="00583F55"/>
    <w:rsid w:val="0060797D"/>
    <w:rsid w:val="00706B07"/>
    <w:rsid w:val="007205FD"/>
    <w:rsid w:val="00777603"/>
    <w:rsid w:val="0082762C"/>
    <w:rsid w:val="008F5CDC"/>
    <w:rsid w:val="00984D37"/>
    <w:rsid w:val="009B3035"/>
    <w:rsid w:val="009F4BEB"/>
    <w:rsid w:val="00A5456D"/>
    <w:rsid w:val="00A67188"/>
    <w:rsid w:val="00BC44C0"/>
    <w:rsid w:val="00BE2864"/>
    <w:rsid w:val="00C44E86"/>
    <w:rsid w:val="00CB236A"/>
    <w:rsid w:val="00EB5795"/>
    <w:rsid w:val="00ED7B74"/>
    <w:rsid w:val="00F714B9"/>
    <w:rsid w:val="00F95D16"/>
    <w:rsid w:val="00FB6ABF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24F3"/>
  <w15:chartTrackingRefBased/>
  <w15:docId w15:val="{31AF93AA-170F-4432-A02F-557FE360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D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2374373518769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001/omj.2020.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00220426166786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80/10410236.2017.1339379" TargetMode="External"/><Relationship Id="rId10" Type="http://schemas.openxmlformats.org/officeDocument/2006/relationships/hyperlink" Target="https://doi.org/10.1016/j.jmh.2023.100162" TargetMode="External"/><Relationship Id="rId4" Type="http://schemas.openxmlformats.org/officeDocument/2006/relationships/hyperlink" Target="https://doi.org/10.15585/mmwr.rr6805a1" TargetMode="External"/><Relationship Id="rId9" Type="http://schemas.openxmlformats.org/officeDocument/2006/relationships/hyperlink" Target="https://doi.org/10.5888/pcd15.17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2023-08-31T21:56:00Z</dcterms:created>
  <dcterms:modified xsi:type="dcterms:W3CDTF">2023-08-31T22:44:00Z</dcterms:modified>
</cp:coreProperties>
</file>