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194ECA" w:rsidRDefault="00194ECA">
      <w:pPr>
        <w:rPr>
          <w:rFonts w:ascii="Times New Roman" w:hAnsi="Times New Roman" w:cs="Times New Roman"/>
          <w:b/>
          <w:sz w:val="24"/>
          <w:szCs w:val="24"/>
          <w:lang w:val="en-US"/>
        </w:rPr>
      </w:pPr>
      <w:r w:rsidRPr="00194ECA">
        <w:rPr>
          <w:rFonts w:ascii="Times New Roman" w:hAnsi="Times New Roman" w:cs="Times New Roman"/>
          <w:b/>
          <w:sz w:val="24"/>
          <w:szCs w:val="24"/>
          <w:lang w:val="en-US"/>
        </w:rPr>
        <w:t>Response to Tyrone</w:t>
      </w:r>
    </w:p>
    <w:p w:rsidR="00194ECA" w:rsidRDefault="00194ECA" w:rsidP="00D53FF7">
      <w:pPr>
        <w:rPr>
          <w:rFonts w:ascii="Times New Roman" w:hAnsi="Times New Roman" w:cs="Times New Roman"/>
          <w:sz w:val="24"/>
          <w:szCs w:val="24"/>
          <w:lang w:val="en-US"/>
        </w:rPr>
      </w:pPr>
      <w:r>
        <w:rPr>
          <w:rFonts w:ascii="Times New Roman" w:hAnsi="Times New Roman" w:cs="Times New Roman"/>
          <w:sz w:val="24"/>
          <w:szCs w:val="24"/>
          <w:lang w:val="en-US"/>
        </w:rPr>
        <w:t>T</w:t>
      </w:r>
      <w:r w:rsidR="00253245">
        <w:rPr>
          <w:rFonts w:ascii="Times New Roman" w:hAnsi="Times New Roman" w:cs="Times New Roman"/>
          <w:sz w:val="24"/>
          <w:szCs w:val="24"/>
          <w:lang w:val="en-US"/>
        </w:rPr>
        <w:t xml:space="preserve">hank you for your post. I find the article very interesting and relatable considering that I am focusing on psychiatric nursing. 30-day psychiatric readmission remains a challenging issue for </w:t>
      </w:r>
      <w:r w:rsidR="008D6B03">
        <w:rPr>
          <w:rFonts w:ascii="Times New Roman" w:hAnsi="Times New Roman" w:cs="Times New Roman"/>
          <w:sz w:val="24"/>
          <w:szCs w:val="24"/>
          <w:lang w:val="en-US"/>
        </w:rPr>
        <w:t xml:space="preserve">the healthcare system. </w:t>
      </w:r>
      <w:r w:rsidR="00920B33">
        <w:rPr>
          <w:rFonts w:ascii="Times New Roman" w:hAnsi="Times New Roman" w:cs="Times New Roman"/>
          <w:sz w:val="24"/>
          <w:szCs w:val="24"/>
          <w:lang w:val="en-US"/>
        </w:rPr>
        <w:t xml:space="preserve">Consistent with Ortiz et al. (2019), </w:t>
      </w:r>
      <w:proofErr w:type="spellStart"/>
      <w:r w:rsidR="004001EB">
        <w:rPr>
          <w:rFonts w:ascii="Times New Roman" w:hAnsi="Times New Roman" w:cs="Times New Roman"/>
          <w:sz w:val="24"/>
          <w:szCs w:val="24"/>
          <w:lang w:val="en-US"/>
        </w:rPr>
        <w:t>Mascayano</w:t>
      </w:r>
      <w:proofErr w:type="spellEnd"/>
      <w:r w:rsidR="004001EB">
        <w:rPr>
          <w:rFonts w:ascii="Times New Roman" w:hAnsi="Times New Roman" w:cs="Times New Roman"/>
          <w:sz w:val="24"/>
          <w:szCs w:val="24"/>
          <w:lang w:val="en-US"/>
        </w:rPr>
        <w:t xml:space="preserve"> et al. (2022) </w:t>
      </w:r>
      <w:r w:rsidR="00920B33">
        <w:rPr>
          <w:rFonts w:ascii="Times New Roman" w:hAnsi="Times New Roman" w:cs="Times New Roman"/>
          <w:sz w:val="24"/>
          <w:szCs w:val="24"/>
          <w:lang w:val="en-US"/>
        </w:rPr>
        <w:t xml:space="preserve">found </w:t>
      </w:r>
      <w:r w:rsidR="00D53FF7">
        <w:rPr>
          <w:rFonts w:ascii="Times New Roman" w:hAnsi="Times New Roman" w:cs="Times New Roman"/>
          <w:sz w:val="24"/>
          <w:szCs w:val="24"/>
          <w:lang w:val="en-US"/>
        </w:rPr>
        <w:t>patient with schizophrenia, schizoaffective disorder, and medical comorbidities as having disproportionately higher odds of 30-day admission. It is also essential to understand that a range of</w:t>
      </w:r>
      <w:r w:rsidR="00923145">
        <w:rPr>
          <w:rFonts w:ascii="Times New Roman" w:hAnsi="Times New Roman" w:cs="Times New Roman"/>
          <w:sz w:val="24"/>
          <w:szCs w:val="24"/>
          <w:lang w:val="en-US"/>
        </w:rPr>
        <w:t xml:space="preserve"> social determinants, including insurance coverage, could influence readmission rates</w:t>
      </w:r>
      <w:r w:rsidR="00263B4A">
        <w:rPr>
          <w:rFonts w:ascii="Times New Roman" w:hAnsi="Times New Roman" w:cs="Times New Roman"/>
          <w:sz w:val="24"/>
          <w:szCs w:val="24"/>
          <w:lang w:val="en-US"/>
        </w:rPr>
        <w:t xml:space="preserve">. For instance, </w:t>
      </w:r>
      <w:r w:rsidR="00D53FF7">
        <w:rPr>
          <w:rFonts w:ascii="Times New Roman" w:hAnsi="Times New Roman" w:cs="Times New Roman"/>
          <w:sz w:val="24"/>
          <w:szCs w:val="24"/>
          <w:lang w:val="en-US"/>
        </w:rPr>
        <w:t>the problem affects adult Medicaid patients with serious mental illness disproportionately because of inadequate access to optimal services</w:t>
      </w:r>
      <w:r w:rsidR="00263B4A">
        <w:rPr>
          <w:rFonts w:ascii="Times New Roman" w:hAnsi="Times New Roman" w:cs="Times New Roman"/>
          <w:sz w:val="24"/>
          <w:szCs w:val="24"/>
          <w:lang w:val="en-US"/>
        </w:rPr>
        <w:t xml:space="preserve"> (</w:t>
      </w:r>
      <w:r w:rsidR="000536D7">
        <w:rPr>
          <w:rFonts w:ascii="Times New Roman" w:hAnsi="Times New Roman" w:cs="Times New Roman"/>
          <w:sz w:val="24"/>
          <w:szCs w:val="24"/>
          <w:lang w:val="en-US"/>
        </w:rPr>
        <w:t>Cook et al., 2021</w:t>
      </w:r>
      <w:r w:rsidR="00263B4A">
        <w:rPr>
          <w:rFonts w:ascii="Times New Roman" w:hAnsi="Times New Roman" w:cs="Times New Roman"/>
          <w:sz w:val="24"/>
          <w:szCs w:val="24"/>
          <w:lang w:val="en-US"/>
        </w:rPr>
        <w:t>)</w:t>
      </w:r>
      <w:r w:rsidR="00D53FF7">
        <w:rPr>
          <w:rFonts w:ascii="Times New Roman" w:hAnsi="Times New Roman" w:cs="Times New Roman"/>
          <w:sz w:val="24"/>
          <w:szCs w:val="24"/>
          <w:lang w:val="en-US"/>
        </w:rPr>
        <w:t>.</w:t>
      </w:r>
      <w:r w:rsidR="00263B4A">
        <w:rPr>
          <w:rFonts w:ascii="Times New Roman" w:hAnsi="Times New Roman" w:cs="Times New Roman"/>
          <w:sz w:val="24"/>
          <w:szCs w:val="24"/>
          <w:lang w:val="en-US"/>
        </w:rPr>
        <w:t xml:space="preserve"> Besides, homeless patients have a high risk of readmission (</w:t>
      </w:r>
      <w:proofErr w:type="spellStart"/>
      <w:r w:rsidR="00C67574">
        <w:rPr>
          <w:rFonts w:ascii="Times New Roman" w:hAnsi="Times New Roman" w:cs="Times New Roman"/>
          <w:sz w:val="24"/>
          <w:szCs w:val="24"/>
          <w:lang w:val="en-US"/>
        </w:rPr>
        <w:t>Mascayano</w:t>
      </w:r>
      <w:proofErr w:type="spellEnd"/>
      <w:r w:rsidR="00C67574">
        <w:rPr>
          <w:rFonts w:ascii="Times New Roman" w:hAnsi="Times New Roman" w:cs="Times New Roman"/>
          <w:sz w:val="24"/>
          <w:szCs w:val="24"/>
          <w:lang w:val="en-US"/>
        </w:rPr>
        <w:t xml:space="preserve"> et al., 2022</w:t>
      </w:r>
      <w:r w:rsidR="00263B4A">
        <w:rPr>
          <w:rFonts w:ascii="Times New Roman" w:hAnsi="Times New Roman" w:cs="Times New Roman"/>
          <w:sz w:val="24"/>
          <w:szCs w:val="24"/>
          <w:lang w:val="en-US"/>
        </w:rPr>
        <w:t xml:space="preserve">). </w:t>
      </w:r>
      <w:r w:rsidR="00B1028F">
        <w:rPr>
          <w:rFonts w:ascii="Times New Roman" w:hAnsi="Times New Roman" w:cs="Times New Roman"/>
          <w:sz w:val="24"/>
          <w:szCs w:val="24"/>
          <w:lang w:val="en-US"/>
        </w:rPr>
        <w:t xml:space="preserve">Interventions such as </w:t>
      </w:r>
      <w:r w:rsidR="002E0A0F">
        <w:rPr>
          <w:rFonts w:ascii="Times New Roman" w:hAnsi="Times New Roman" w:cs="Times New Roman"/>
          <w:sz w:val="24"/>
          <w:szCs w:val="24"/>
          <w:lang w:val="en-US"/>
        </w:rPr>
        <w:t xml:space="preserve">timely </w:t>
      </w:r>
      <w:r w:rsidR="00B1028F">
        <w:rPr>
          <w:rFonts w:ascii="Times New Roman" w:hAnsi="Times New Roman" w:cs="Times New Roman"/>
          <w:sz w:val="24"/>
          <w:szCs w:val="24"/>
          <w:lang w:val="en-US"/>
        </w:rPr>
        <w:t>telephone follow-up is a possible intervention found to reduce 30-day readmission significantly (</w:t>
      </w:r>
      <w:r w:rsidR="00DD02E3">
        <w:rPr>
          <w:rFonts w:ascii="Times New Roman" w:hAnsi="Times New Roman" w:cs="Times New Roman"/>
          <w:sz w:val="24"/>
          <w:szCs w:val="24"/>
          <w:lang w:val="en-US"/>
        </w:rPr>
        <w:t>Phillip et al., 2022</w:t>
      </w:r>
      <w:r w:rsidR="00B1028F">
        <w:rPr>
          <w:rFonts w:ascii="Times New Roman" w:hAnsi="Times New Roman" w:cs="Times New Roman"/>
          <w:sz w:val="24"/>
          <w:szCs w:val="24"/>
          <w:lang w:val="en-US"/>
        </w:rPr>
        <w:t xml:space="preserve">). </w:t>
      </w:r>
      <w:r w:rsidR="00547304">
        <w:rPr>
          <w:rFonts w:ascii="Times New Roman" w:hAnsi="Times New Roman" w:cs="Times New Roman"/>
          <w:sz w:val="24"/>
          <w:szCs w:val="24"/>
          <w:lang w:val="en-US"/>
        </w:rPr>
        <w:t>Nurses and other healthcare profes</w:t>
      </w:r>
      <w:r w:rsidR="00E61520">
        <w:rPr>
          <w:rFonts w:ascii="Times New Roman" w:hAnsi="Times New Roman" w:cs="Times New Roman"/>
          <w:sz w:val="24"/>
          <w:szCs w:val="24"/>
          <w:lang w:val="en-US"/>
        </w:rPr>
        <w:t>sionals should advocate for innovative approaches to address the challenge.</w:t>
      </w:r>
    </w:p>
    <w:p w:rsidR="00E61520" w:rsidRDefault="00E61520" w:rsidP="00E61520">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rsidR="00DD02E3" w:rsidRDefault="00DD02E3" w:rsidP="000536D7">
      <w:pPr>
        <w:spacing w:after="0" w:line="240" w:lineRule="auto"/>
        <w:ind w:left="720" w:hanging="720"/>
        <w:rPr>
          <w:rFonts w:ascii="Times New Roman" w:eastAsia="Times New Roman" w:hAnsi="Times New Roman" w:cs="Times New Roman"/>
          <w:sz w:val="24"/>
          <w:szCs w:val="24"/>
          <w:lang w:val="en-US"/>
        </w:rPr>
      </w:pPr>
      <w:r w:rsidRPr="000536D7">
        <w:rPr>
          <w:rFonts w:ascii="Times New Roman" w:eastAsia="Times New Roman" w:hAnsi="Times New Roman" w:cs="Times New Roman"/>
          <w:sz w:val="24"/>
          <w:szCs w:val="24"/>
          <w:lang w:val="en-US"/>
        </w:rPr>
        <w:t xml:space="preserve">Cook, J. A., Burke-Miller, J. K., </w:t>
      </w:r>
      <w:proofErr w:type="spellStart"/>
      <w:r w:rsidRPr="000536D7">
        <w:rPr>
          <w:rFonts w:ascii="Times New Roman" w:eastAsia="Times New Roman" w:hAnsi="Times New Roman" w:cs="Times New Roman"/>
          <w:sz w:val="24"/>
          <w:szCs w:val="24"/>
          <w:lang w:val="en-US"/>
        </w:rPr>
        <w:t>Razzano</w:t>
      </w:r>
      <w:proofErr w:type="spellEnd"/>
      <w:r w:rsidRPr="000536D7">
        <w:rPr>
          <w:rFonts w:ascii="Times New Roman" w:eastAsia="Times New Roman" w:hAnsi="Times New Roman" w:cs="Times New Roman"/>
          <w:sz w:val="24"/>
          <w:szCs w:val="24"/>
          <w:lang w:val="en-US"/>
        </w:rPr>
        <w:t xml:space="preserve">, L. A., </w:t>
      </w:r>
      <w:proofErr w:type="spellStart"/>
      <w:r w:rsidRPr="000536D7">
        <w:rPr>
          <w:rFonts w:ascii="Times New Roman" w:eastAsia="Times New Roman" w:hAnsi="Times New Roman" w:cs="Times New Roman"/>
          <w:sz w:val="24"/>
          <w:szCs w:val="24"/>
          <w:lang w:val="en-US"/>
        </w:rPr>
        <w:t>Steigman</w:t>
      </w:r>
      <w:proofErr w:type="spellEnd"/>
      <w:r w:rsidRPr="000536D7">
        <w:rPr>
          <w:rFonts w:ascii="Times New Roman" w:eastAsia="Times New Roman" w:hAnsi="Times New Roman" w:cs="Times New Roman"/>
          <w:sz w:val="24"/>
          <w:szCs w:val="24"/>
          <w:lang w:val="en-US"/>
        </w:rPr>
        <w:t xml:space="preserve">, P. J., </w:t>
      </w:r>
      <w:proofErr w:type="spellStart"/>
      <w:r w:rsidRPr="000536D7">
        <w:rPr>
          <w:rFonts w:ascii="Times New Roman" w:eastAsia="Times New Roman" w:hAnsi="Times New Roman" w:cs="Times New Roman"/>
          <w:sz w:val="24"/>
          <w:szCs w:val="24"/>
          <w:lang w:val="en-US"/>
        </w:rPr>
        <w:t>Jonikas</w:t>
      </w:r>
      <w:proofErr w:type="spellEnd"/>
      <w:r w:rsidRPr="000536D7">
        <w:rPr>
          <w:rFonts w:ascii="Times New Roman" w:eastAsia="Times New Roman" w:hAnsi="Times New Roman" w:cs="Times New Roman"/>
          <w:sz w:val="24"/>
          <w:szCs w:val="24"/>
          <w:lang w:val="en-US"/>
        </w:rPr>
        <w:t xml:space="preserve">, J. A., &amp; Santos, A. (2021). Serious mental illness, other mental health disorders, and outpatient health care as predictors of 30-day readmissions following medical hospitalization. </w:t>
      </w:r>
      <w:r>
        <w:rPr>
          <w:rFonts w:ascii="Times New Roman" w:eastAsia="Times New Roman" w:hAnsi="Times New Roman" w:cs="Times New Roman"/>
          <w:i/>
          <w:iCs/>
          <w:sz w:val="24"/>
          <w:szCs w:val="24"/>
          <w:lang w:val="en-US"/>
        </w:rPr>
        <w:t>General Hospital P</w:t>
      </w:r>
      <w:r w:rsidRPr="000536D7">
        <w:rPr>
          <w:rFonts w:ascii="Times New Roman" w:eastAsia="Times New Roman" w:hAnsi="Times New Roman" w:cs="Times New Roman"/>
          <w:i/>
          <w:iCs/>
          <w:sz w:val="24"/>
          <w:szCs w:val="24"/>
          <w:lang w:val="en-US"/>
        </w:rPr>
        <w:t>sychiatry</w:t>
      </w:r>
      <w:r w:rsidRPr="000536D7">
        <w:rPr>
          <w:rFonts w:ascii="Times New Roman" w:eastAsia="Times New Roman" w:hAnsi="Times New Roman" w:cs="Times New Roman"/>
          <w:sz w:val="24"/>
          <w:szCs w:val="24"/>
          <w:lang w:val="en-US"/>
        </w:rPr>
        <w:t xml:space="preserve">, </w:t>
      </w:r>
      <w:r w:rsidRPr="000536D7">
        <w:rPr>
          <w:rFonts w:ascii="Times New Roman" w:eastAsia="Times New Roman" w:hAnsi="Times New Roman" w:cs="Times New Roman"/>
          <w:i/>
          <w:iCs/>
          <w:sz w:val="24"/>
          <w:szCs w:val="24"/>
          <w:lang w:val="en-US"/>
        </w:rPr>
        <w:t>70</w:t>
      </w:r>
      <w:r w:rsidRPr="000536D7">
        <w:rPr>
          <w:rFonts w:ascii="Times New Roman" w:eastAsia="Times New Roman" w:hAnsi="Times New Roman" w:cs="Times New Roman"/>
          <w:sz w:val="24"/>
          <w:szCs w:val="24"/>
          <w:lang w:val="en-US"/>
        </w:rPr>
        <w:t xml:space="preserve">, 10–17. </w:t>
      </w:r>
      <w:hyperlink r:id="rId4" w:history="1">
        <w:r w:rsidRPr="008A13A3">
          <w:rPr>
            <w:rStyle w:val="Hyperlink"/>
            <w:rFonts w:ascii="Times New Roman" w:eastAsia="Times New Roman" w:hAnsi="Times New Roman" w:cs="Times New Roman"/>
            <w:sz w:val="24"/>
            <w:szCs w:val="24"/>
            <w:lang w:val="en-US"/>
          </w:rPr>
          <w:t>https://doi.org/10.1016/j.genhosppsych.2021.02.004</w:t>
        </w:r>
      </w:hyperlink>
      <w:r>
        <w:rPr>
          <w:rFonts w:ascii="Times New Roman" w:eastAsia="Times New Roman" w:hAnsi="Times New Roman" w:cs="Times New Roman"/>
          <w:sz w:val="24"/>
          <w:szCs w:val="24"/>
          <w:lang w:val="en-US"/>
        </w:rPr>
        <w:t xml:space="preserve"> </w:t>
      </w:r>
    </w:p>
    <w:p w:rsidR="00DD02E3" w:rsidRDefault="00DD02E3" w:rsidP="004001EB">
      <w:pPr>
        <w:spacing w:after="0" w:line="240" w:lineRule="auto"/>
        <w:ind w:left="720" w:hanging="720"/>
        <w:rPr>
          <w:rFonts w:ascii="Times New Roman" w:eastAsia="Times New Roman" w:hAnsi="Times New Roman" w:cs="Times New Roman"/>
          <w:sz w:val="24"/>
          <w:szCs w:val="24"/>
          <w:lang w:val="en-US"/>
        </w:rPr>
      </w:pPr>
      <w:proofErr w:type="spellStart"/>
      <w:r w:rsidRPr="004001EB">
        <w:rPr>
          <w:rFonts w:ascii="Times New Roman" w:eastAsia="Times New Roman" w:hAnsi="Times New Roman" w:cs="Times New Roman"/>
          <w:sz w:val="24"/>
          <w:szCs w:val="24"/>
          <w:lang w:val="en-US"/>
        </w:rPr>
        <w:t>Mascayano</w:t>
      </w:r>
      <w:proofErr w:type="spellEnd"/>
      <w:r w:rsidRPr="004001EB">
        <w:rPr>
          <w:rFonts w:ascii="Times New Roman" w:eastAsia="Times New Roman" w:hAnsi="Times New Roman" w:cs="Times New Roman"/>
          <w:sz w:val="24"/>
          <w:szCs w:val="24"/>
          <w:lang w:val="en-US"/>
        </w:rPr>
        <w:t xml:space="preserve">, F., </w:t>
      </w:r>
      <w:proofErr w:type="spellStart"/>
      <w:r w:rsidRPr="004001EB">
        <w:rPr>
          <w:rFonts w:ascii="Times New Roman" w:eastAsia="Times New Roman" w:hAnsi="Times New Roman" w:cs="Times New Roman"/>
          <w:sz w:val="24"/>
          <w:szCs w:val="24"/>
          <w:lang w:val="en-US"/>
        </w:rPr>
        <w:t>Haselden</w:t>
      </w:r>
      <w:proofErr w:type="spellEnd"/>
      <w:r w:rsidRPr="004001EB">
        <w:rPr>
          <w:rFonts w:ascii="Times New Roman" w:eastAsia="Times New Roman" w:hAnsi="Times New Roman" w:cs="Times New Roman"/>
          <w:sz w:val="24"/>
          <w:szCs w:val="24"/>
          <w:lang w:val="en-US"/>
        </w:rPr>
        <w:t xml:space="preserve">, M., </w:t>
      </w:r>
      <w:proofErr w:type="spellStart"/>
      <w:r w:rsidRPr="004001EB">
        <w:rPr>
          <w:rFonts w:ascii="Times New Roman" w:eastAsia="Times New Roman" w:hAnsi="Times New Roman" w:cs="Times New Roman"/>
          <w:sz w:val="24"/>
          <w:szCs w:val="24"/>
          <w:lang w:val="en-US"/>
        </w:rPr>
        <w:t>Corbeil</w:t>
      </w:r>
      <w:proofErr w:type="spellEnd"/>
      <w:r w:rsidRPr="004001EB">
        <w:rPr>
          <w:rFonts w:ascii="Times New Roman" w:eastAsia="Times New Roman" w:hAnsi="Times New Roman" w:cs="Times New Roman"/>
          <w:sz w:val="24"/>
          <w:szCs w:val="24"/>
          <w:lang w:val="en-US"/>
        </w:rPr>
        <w:t xml:space="preserve">, T., Wall, M. M., Tang, F., </w:t>
      </w:r>
      <w:proofErr w:type="spellStart"/>
      <w:r w:rsidRPr="004001EB">
        <w:rPr>
          <w:rFonts w:ascii="Times New Roman" w:eastAsia="Times New Roman" w:hAnsi="Times New Roman" w:cs="Times New Roman"/>
          <w:sz w:val="24"/>
          <w:szCs w:val="24"/>
          <w:lang w:val="en-US"/>
        </w:rPr>
        <w:t>Essock</w:t>
      </w:r>
      <w:proofErr w:type="spellEnd"/>
      <w:r w:rsidRPr="004001EB">
        <w:rPr>
          <w:rFonts w:ascii="Times New Roman" w:eastAsia="Times New Roman" w:hAnsi="Times New Roman" w:cs="Times New Roman"/>
          <w:sz w:val="24"/>
          <w:szCs w:val="24"/>
          <w:lang w:val="en-US"/>
        </w:rPr>
        <w:t xml:space="preserve">, S. M., </w:t>
      </w:r>
      <w:proofErr w:type="spellStart"/>
      <w:r w:rsidRPr="004001EB">
        <w:rPr>
          <w:rFonts w:ascii="Times New Roman" w:eastAsia="Times New Roman" w:hAnsi="Times New Roman" w:cs="Times New Roman"/>
          <w:sz w:val="24"/>
          <w:szCs w:val="24"/>
          <w:lang w:val="en-US"/>
        </w:rPr>
        <w:t>Frimpong</w:t>
      </w:r>
      <w:proofErr w:type="spellEnd"/>
      <w:r w:rsidRPr="004001EB">
        <w:rPr>
          <w:rFonts w:ascii="Times New Roman" w:eastAsia="Times New Roman" w:hAnsi="Times New Roman" w:cs="Times New Roman"/>
          <w:sz w:val="24"/>
          <w:szCs w:val="24"/>
          <w:lang w:val="en-US"/>
        </w:rPr>
        <w:t xml:space="preserve">, E., Goldman, M. L., </w:t>
      </w:r>
      <w:proofErr w:type="spellStart"/>
      <w:r w:rsidRPr="004001EB">
        <w:rPr>
          <w:rFonts w:ascii="Times New Roman" w:eastAsia="Times New Roman" w:hAnsi="Times New Roman" w:cs="Times New Roman"/>
          <w:sz w:val="24"/>
          <w:szCs w:val="24"/>
          <w:lang w:val="en-US"/>
        </w:rPr>
        <w:t>Radigan</w:t>
      </w:r>
      <w:proofErr w:type="spellEnd"/>
      <w:r w:rsidRPr="004001EB">
        <w:rPr>
          <w:rFonts w:ascii="Times New Roman" w:eastAsia="Times New Roman" w:hAnsi="Times New Roman" w:cs="Times New Roman"/>
          <w:sz w:val="24"/>
          <w:szCs w:val="24"/>
          <w:lang w:val="en-US"/>
        </w:rPr>
        <w:t xml:space="preserve">, M., Schneider, M., Wang, R., Dixon, L. B., </w:t>
      </w:r>
      <w:proofErr w:type="spellStart"/>
      <w:r w:rsidRPr="004001EB">
        <w:rPr>
          <w:rFonts w:ascii="Times New Roman" w:eastAsia="Times New Roman" w:hAnsi="Times New Roman" w:cs="Times New Roman"/>
          <w:sz w:val="24"/>
          <w:szCs w:val="24"/>
          <w:lang w:val="en-US"/>
        </w:rPr>
        <w:t>Olfson</w:t>
      </w:r>
      <w:proofErr w:type="spellEnd"/>
      <w:r w:rsidRPr="004001EB">
        <w:rPr>
          <w:rFonts w:ascii="Times New Roman" w:eastAsia="Times New Roman" w:hAnsi="Times New Roman" w:cs="Times New Roman"/>
          <w:sz w:val="24"/>
          <w:szCs w:val="24"/>
          <w:lang w:val="en-US"/>
        </w:rPr>
        <w:t xml:space="preserve">, M., &amp; Smith, T. E. (2022). </w:t>
      </w:r>
      <w:r w:rsidR="00404382">
        <w:rPr>
          <w:rFonts w:ascii="Times New Roman" w:eastAsia="Times New Roman" w:hAnsi="Times New Roman" w:cs="Times New Roman"/>
          <w:sz w:val="24"/>
          <w:szCs w:val="24"/>
          <w:lang w:val="en-US"/>
        </w:rPr>
        <w:t>P</w:t>
      </w:r>
      <w:r w:rsidR="00404382" w:rsidRPr="004001EB">
        <w:rPr>
          <w:rFonts w:ascii="Times New Roman" w:eastAsia="Times New Roman" w:hAnsi="Times New Roman" w:cs="Times New Roman"/>
          <w:sz w:val="24"/>
          <w:szCs w:val="24"/>
          <w:lang w:val="en-US"/>
        </w:rPr>
        <w:t>atient-, hospital-, and system-level factors associated with 30-day readmission after a psychiatric hospitalization</w:t>
      </w:r>
      <w:r w:rsidRPr="004001EB">
        <w:rPr>
          <w:rFonts w:ascii="Times New Roman" w:eastAsia="Times New Roman" w:hAnsi="Times New Roman" w:cs="Times New Roman"/>
          <w:sz w:val="24"/>
          <w:szCs w:val="24"/>
          <w:lang w:val="en-US"/>
        </w:rPr>
        <w:t xml:space="preserve">. </w:t>
      </w:r>
      <w:r w:rsidRPr="004001EB">
        <w:rPr>
          <w:rFonts w:ascii="Times New Roman" w:eastAsia="Times New Roman" w:hAnsi="Times New Roman" w:cs="Times New Roman"/>
          <w:i/>
          <w:iCs/>
          <w:sz w:val="24"/>
          <w:szCs w:val="24"/>
          <w:lang w:val="en-US"/>
        </w:rPr>
        <w:t>The</w:t>
      </w:r>
      <w:r>
        <w:rPr>
          <w:rFonts w:ascii="Times New Roman" w:eastAsia="Times New Roman" w:hAnsi="Times New Roman" w:cs="Times New Roman"/>
          <w:i/>
          <w:iCs/>
          <w:sz w:val="24"/>
          <w:szCs w:val="24"/>
          <w:lang w:val="en-US"/>
        </w:rPr>
        <w:t xml:space="preserve"> Journal of Nervous and Mental D</w:t>
      </w:r>
      <w:r w:rsidRPr="004001EB">
        <w:rPr>
          <w:rFonts w:ascii="Times New Roman" w:eastAsia="Times New Roman" w:hAnsi="Times New Roman" w:cs="Times New Roman"/>
          <w:i/>
          <w:iCs/>
          <w:sz w:val="24"/>
          <w:szCs w:val="24"/>
          <w:lang w:val="en-US"/>
        </w:rPr>
        <w:t>isease</w:t>
      </w:r>
      <w:r w:rsidRPr="004001EB">
        <w:rPr>
          <w:rFonts w:ascii="Times New Roman" w:eastAsia="Times New Roman" w:hAnsi="Times New Roman" w:cs="Times New Roman"/>
          <w:sz w:val="24"/>
          <w:szCs w:val="24"/>
          <w:lang w:val="en-US"/>
        </w:rPr>
        <w:t xml:space="preserve">, </w:t>
      </w:r>
      <w:r w:rsidRPr="004001EB">
        <w:rPr>
          <w:rFonts w:ascii="Times New Roman" w:eastAsia="Times New Roman" w:hAnsi="Times New Roman" w:cs="Times New Roman"/>
          <w:i/>
          <w:iCs/>
          <w:sz w:val="24"/>
          <w:szCs w:val="24"/>
          <w:lang w:val="en-US"/>
        </w:rPr>
        <w:t>210</w:t>
      </w:r>
      <w:r w:rsidRPr="004001EB">
        <w:rPr>
          <w:rFonts w:ascii="Times New Roman" w:eastAsia="Times New Roman" w:hAnsi="Times New Roman" w:cs="Times New Roman"/>
          <w:sz w:val="24"/>
          <w:szCs w:val="24"/>
          <w:lang w:val="en-US"/>
        </w:rPr>
        <w:t xml:space="preserve">(10), 741–746. </w:t>
      </w:r>
      <w:hyperlink r:id="rId5" w:history="1">
        <w:r w:rsidRPr="008A13A3">
          <w:rPr>
            <w:rStyle w:val="Hyperlink"/>
            <w:rFonts w:ascii="Times New Roman" w:eastAsia="Times New Roman" w:hAnsi="Times New Roman" w:cs="Times New Roman"/>
            <w:sz w:val="24"/>
            <w:szCs w:val="24"/>
            <w:lang w:val="en-US"/>
          </w:rPr>
          <w:t>https://doi.org/10.1097/NMD.0000000000001529</w:t>
        </w:r>
      </w:hyperlink>
      <w:r>
        <w:rPr>
          <w:rFonts w:ascii="Times New Roman" w:eastAsia="Times New Roman" w:hAnsi="Times New Roman" w:cs="Times New Roman"/>
          <w:sz w:val="24"/>
          <w:szCs w:val="24"/>
          <w:lang w:val="en-US"/>
        </w:rPr>
        <w:t xml:space="preserve"> </w:t>
      </w:r>
    </w:p>
    <w:p w:rsidR="00DD02E3" w:rsidRDefault="00DD02E3" w:rsidP="00DD02E3">
      <w:pPr>
        <w:spacing w:after="0" w:line="240" w:lineRule="auto"/>
        <w:ind w:left="720" w:hanging="720"/>
        <w:rPr>
          <w:rFonts w:ascii="Times New Roman" w:eastAsia="Times New Roman" w:hAnsi="Times New Roman" w:cs="Times New Roman"/>
          <w:sz w:val="24"/>
          <w:szCs w:val="24"/>
          <w:lang w:val="en-US"/>
        </w:rPr>
      </w:pPr>
      <w:r w:rsidRPr="00DD02E3">
        <w:rPr>
          <w:rFonts w:ascii="Times New Roman" w:eastAsia="Times New Roman" w:hAnsi="Times New Roman" w:cs="Times New Roman"/>
          <w:sz w:val="24"/>
          <w:szCs w:val="24"/>
          <w:lang w:val="en-US"/>
        </w:rPr>
        <w:t xml:space="preserve">Ortiz G. (2019). Predictors of 30-day </w:t>
      </w:r>
      <w:proofErr w:type="spellStart"/>
      <w:r w:rsidR="00404382" w:rsidRPr="00DD02E3">
        <w:rPr>
          <w:rFonts w:ascii="Times New Roman" w:eastAsia="Times New Roman" w:hAnsi="Times New Roman" w:cs="Times New Roman"/>
          <w:sz w:val="24"/>
          <w:szCs w:val="24"/>
          <w:lang w:val="en-US"/>
        </w:rPr>
        <w:t>postdischarge</w:t>
      </w:r>
      <w:proofErr w:type="spellEnd"/>
      <w:r w:rsidR="00404382" w:rsidRPr="00DD02E3">
        <w:rPr>
          <w:rFonts w:ascii="Times New Roman" w:eastAsia="Times New Roman" w:hAnsi="Times New Roman" w:cs="Times New Roman"/>
          <w:sz w:val="24"/>
          <w:szCs w:val="24"/>
          <w:lang w:val="en-US"/>
        </w:rPr>
        <w:t xml:space="preserve"> readmission to a multistate national sample of state psychiatric hospitals</w:t>
      </w:r>
      <w:r w:rsidRPr="00DD02E3">
        <w:rPr>
          <w:rFonts w:ascii="Times New Roman" w:eastAsia="Times New Roman" w:hAnsi="Times New Roman" w:cs="Times New Roman"/>
          <w:sz w:val="24"/>
          <w:szCs w:val="24"/>
          <w:lang w:val="en-US"/>
        </w:rPr>
        <w:t xml:space="preserve">. </w:t>
      </w:r>
      <w:r w:rsidRPr="00DD02E3">
        <w:rPr>
          <w:rFonts w:ascii="Times New Roman" w:eastAsia="Times New Roman" w:hAnsi="Times New Roman" w:cs="Times New Roman"/>
          <w:i/>
          <w:iCs/>
          <w:sz w:val="24"/>
          <w:szCs w:val="24"/>
          <w:lang w:val="en-US"/>
        </w:rPr>
        <w:t xml:space="preserve">Journal for </w:t>
      </w:r>
      <w:r w:rsidR="00A20DB7">
        <w:rPr>
          <w:rFonts w:ascii="Times New Roman" w:eastAsia="Times New Roman" w:hAnsi="Times New Roman" w:cs="Times New Roman"/>
          <w:i/>
          <w:iCs/>
          <w:sz w:val="24"/>
          <w:szCs w:val="24"/>
          <w:lang w:val="en-US"/>
        </w:rPr>
        <w:t>H</w:t>
      </w:r>
      <w:r w:rsidRPr="00DD02E3">
        <w:rPr>
          <w:rFonts w:ascii="Times New Roman" w:eastAsia="Times New Roman" w:hAnsi="Times New Roman" w:cs="Times New Roman"/>
          <w:i/>
          <w:iCs/>
          <w:sz w:val="24"/>
          <w:szCs w:val="24"/>
          <w:lang w:val="en-US"/>
        </w:rPr>
        <w:t xml:space="preserve">ealthcare </w:t>
      </w:r>
      <w:r w:rsidR="00A20DB7">
        <w:rPr>
          <w:rFonts w:ascii="Times New Roman" w:eastAsia="Times New Roman" w:hAnsi="Times New Roman" w:cs="Times New Roman"/>
          <w:i/>
          <w:iCs/>
          <w:sz w:val="24"/>
          <w:szCs w:val="24"/>
          <w:lang w:val="en-US"/>
        </w:rPr>
        <w:t>Q</w:t>
      </w:r>
      <w:r w:rsidRPr="00DD02E3">
        <w:rPr>
          <w:rFonts w:ascii="Times New Roman" w:eastAsia="Times New Roman" w:hAnsi="Times New Roman" w:cs="Times New Roman"/>
          <w:i/>
          <w:iCs/>
          <w:sz w:val="24"/>
          <w:szCs w:val="24"/>
          <w:lang w:val="en-US"/>
        </w:rPr>
        <w:t xml:space="preserve">uality: </w:t>
      </w:r>
      <w:r w:rsidR="00A20DB7">
        <w:rPr>
          <w:rFonts w:ascii="Times New Roman" w:eastAsia="Times New Roman" w:hAnsi="Times New Roman" w:cs="Times New Roman"/>
          <w:i/>
          <w:iCs/>
          <w:sz w:val="24"/>
          <w:szCs w:val="24"/>
          <w:lang w:val="en-US"/>
        </w:rPr>
        <w:t>Official P</w:t>
      </w:r>
      <w:r w:rsidRPr="00DD02E3">
        <w:rPr>
          <w:rFonts w:ascii="Times New Roman" w:eastAsia="Times New Roman" w:hAnsi="Times New Roman" w:cs="Times New Roman"/>
          <w:i/>
          <w:iCs/>
          <w:sz w:val="24"/>
          <w:szCs w:val="24"/>
          <w:lang w:val="en-US"/>
        </w:rPr>
        <w:t>ublication of the National Association for Healthcare Quality</w:t>
      </w:r>
      <w:r w:rsidRPr="00DD02E3">
        <w:rPr>
          <w:rFonts w:ascii="Times New Roman" w:eastAsia="Times New Roman" w:hAnsi="Times New Roman" w:cs="Times New Roman"/>
          <w:sz w:val="24"/>
          <w:szCs w:val="24"/>
          <w:lang w:val="en-US"/>
        </w:rPr>
        <w:t xml:space="preserve">, </w:t>
      </w:r>
      <w:r w:rsidRPr="00DD02E3">
        <w:rPr>
          <w:rFonts w:ascii="Times New Roman" w:eastAsia="Times New Roman" w:hAnsi="Times New Roman" w:cs="Times New Roman"/>
          <w:i/>
          <w:iCs/>
          <w:sz w:val="24"/>
          <w:szCs w:val="24"/>
          <w:lang w:val="en-US"/>
        </w:rPr>
        <w:t>41</w:t>
      </w:r>
      <w:r w:rsidRPr="00DD02E3">
        <w:rPr>
          <w:rFonts w:ascii="Times New Roman" w:eastAsia="Times New Roman" w:hAnsi="Times New Roman" w:cs="Times New Roman"/>
          <w:sz w:val="24"/>
          <w:szCs w:val="24"/>
          <w:lang w:val="en-US"/>
        </w:rPr>
        <w:t>(4), 228–236. https://doi.org/10.1097/JHQ.0000000000000162</w:t>
      </w:r>
    </w:p>
    <w:p w:rsidR="00DD02E3" w:rsidRPr="004001EB" w:rsidRDefault="00DD02E3" w:rsidP="00C67574">
      <w:pPr>
        <w:spacing w:after="0" w:line="240" w:lineRule="auto"/>
        <w:ind w:left="720" w:hanging="720"/>
        <w:rPr>
          <w:rFonts w:ascii="Times New Roman" w:eastAsia="Times New Roman" w:hAnsi="Times New Roman" w:cs="Times New Roman"/>
          <w:sz w:val="24"/>
          <w:szCs w:val="24"/>
          <w:lang w:val="en-US"/>
        </w:rPr>
      </w:pPr>
      <w:r w:rsidRPr="00C67574">
        <w:rPr>
          <w:rFonts w:ascii="Times New Roman" w:eastAsia="Times New Roman" w:hAnsi="Times New Roman" w:cs="Times New Roman"/>
          <w:sz w:val="24"/>
          <w:szCs w:val="24"/>
          <w:lang w:val="en-US"/>
        </w:rPr>
        <w:t xml:space="preserve">Phillip, A., Rossi, G., &amp; </w:t>
      </w:r>
      <w:proofErr w:type="spellStart"/>
      <w:r w:rsidRPr="00C67574">
        <w:rPr>
          <w:rFonts w:ascii="Times New Roman" w:eastAsia="Times New Roman" w:hAnsi="Times New Roman" w:cs="Times New Roman"/>
          <w:sz w:val="24"/>
          <w:szCs w:val="24"/>
          <w:lang w:val="en-US"/>
        </w:rPr>
        <w:t>DeSilva</w:t>
      </w:r>
      <w:proofErr w:type="spellEnd"/>
      <w:r w:rsidRPr="00C67574">
        <w:rPr>
          <w:rFonts w:ascii="Times New Roman" w:eastAsia="Times New Roman" w:hAnsi="Times New Roman" w:cs="Times New Roman"/>
          <w:sz w:val="24"/>
          <w:szCs w:val="24"/>
          <w:lang w:val="en-US"/>
        </w:rPr>
        <w:t xml:space="preserve">, R. (2022). Stopping the </w:t>
      </w:r>
      <w:r w:rsidR="00404382" w:rsidRPr="00C67574">
        <w:rPr>
          <w:rFonts w:ascii="Times New Roman" w:eastAsia="Times New Roman" w:hAnsi="Times New Roman" w:cs="Times New Roman"/>
          <w:sz w:val="24"/>
          <w:szCs w:val="24"/>
          <w:lang w:val="en-US"/>
        </w:rPr>
        <w:t>revolving door: reducing 30-day psychiatric readmissions with post-discharge telephone calls</w:t>
      </w:r>
      <w:r w:rsidRPr="00C67574">
        <w:rPr>
          <w:rFonts w:ascii="Times New Roman" w:eastAsia="Times New Roman" w:hAnsi="Times New Roman" w:cs="Times New Roman"/>
          <w:sz w:val="24"/>
          <w:szCs w:val="24"/>
          <w:lang w:val="en-US"/>
        </w:rPr>
        <w:t xml:space="preserve">. </w:t>
      </w:r>
      <w:proofErr w:type="spellStart"/>
      <w:r w:rsidRPr="00C67574">
        <w:rPr>
          <w:rFonts w:ascii="Times New Roman" w:eastAsia="Times New Roman" w:hAnsi="Times New Roman" w:cs="Times New Roman"/>
          <w:i/>
          <w:iCs/>
          <w:sz w:val="24"/>
          <w:szCs w:val="24"/>
          <w:lang w:val="en-US"/>
        </w:rPr>
        <w:t>Cureus</w:t>
      </w:r>
      <w:proofErr w:type="spellEnd"/>
      <w:r w:rsidRPr="00C67574">
        <w:rPr>
          <w:rFonts w:ascii="Times New Roman" w:eastAsia="Times New Roman" w:hAnsi="Times New Roman" w:cs="Times New Roman"/>
          <w:sz w:val="24"/>
          <w:szCs w:val="24"/>
          <w:lang w:val="en-US"/>
        </w:rPr>
        <w:t xml:space="preserve">, </w:t>
      </w:r>
      <w:r w:rsidRPr="00C67574">
        <w:rPr>
          <w:rFonts w:ascii="Times New Roman" w:eastAsia="Times New Roman" w:hAnsi="Times New Roman" w:cs="Times New Roman"/>
          <w:i/>
          <w:iCs/>
          <w:sz w:val="24"/>
          <w:szCs w:val="24"/>
          <w:lang w:val="en-US"/>
        </w:rPr>
        <w:t>14</w:t>
      </w:r>
      <w:r w:rsidRPr="00C67574">
        <w:rPr>
          <w:rFonts w:ascii="Times New Roman" w:eastAsia="Times New Roman" w:hAnsi="Times New Roman" w:cs="Times New Roman"/>
          <w:sz w:val="24"/>
          <w:szCs w:val="24"/>
          <w:lang w:val="en-US"/>
        </w:rPr>
        <w:t xml:space="preserve">(1), e21174. </w:t>
      </w:r>
      <w:hyperlink r:id="rId6" w:history="1">
        <w:r w:rsidRPr="008A13A3">
          <w:rPr>
            <w:rStyle w:val="Hyperlink"/>
            <w:rFonts w:ascii="Times New Roman" w:eastAsia="Times New Roman" w:hAnsi="Times New Roman" w:cs="Times New Roman"/>
            <w:sz w:val="24"/>
            <w:szCs w:val="24"/>
            <w:lang w:val="en-US"/>
          </w:rPr>
          <w:t>https://doi.org/10.7759/cureus.21174</w:t>
        </w:r>
      </w:hyperlink>
      <w:r>
        <w:rPr>
          <w:rFonts w:ascii="Times New Roman" w:eastAsia="Times New Roman" w:hAnsi="Times New Roman" w:cs="Times New Roman"/>
          <w:sz w:val="24"/>
          <w:szCs w:val="24"/>
          <w:lang w:val="en-US"/>
        </w:rPr>
        <w:t xml:space="preserve"> </w:t>
      </w:r>
    </w:p>
    <w:p w:rsidR="00E61520" w:rsidRDefault="00E61520">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61520" w:rsidRDefault="00DD02E3" w:rsidP="00E61520">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Response to</w:t>
      </w:r>
      <w:r w:rsidR="000B530F">
        <w:rPr>
          <w:rFonts w:ascii="Times New Roman" w:hAnsi="Times New Roman" w:cs="Times New Roman"/>
          <w:b/>
          <w:sz w:val="24"/>
          <w:szCs w:val="24"/>
          <w:lang w:val="en-US"/>
        </w:rPr>
        <w:t xml:space="preserve"> Stephanie Silvio</w:t>
      </w:r>
    </w:p>
    <w:p w:rsidR="000B530F" w:rsidRDefault="00B55541" w:rsidP="00E61520">
      <w:pPr>
        <w:rPr>
          <w:rFonts w:ascii="Times New Roman" w:hAnsi="Times New Roman" w:cs="Times New Roman"/>
          <w:sz w:val="24"/>
          <w:szCs w:val="24"/>
          <w:lang w:val="en-US"/>
        </w:rPr>
      </w:pPr>
      <w:r>
        <w:rPr>
          <w:rFonts w:ascii="Times New Roman" w:hAnsi="Times New Roman" w:cs="Times New Roman"/>
          <w:sz w:val="24"/>
          <w:szCs w:val="24"/>
          <w:lang w:val="en-US"/>
        </w:rPr>
        <w:t>Hi Stephanie and thank you for</w:t>
      </w:r>
      <w:r w:rsidR="007C13FE">
        <w:rPr>
          <w:rFonts w:ascii="Times New Roman" w:hAnsi="Times New Roman" w:cs="Times New Roman"/>
          <w:sz w:val="24"/>
          <w:szCs w:val="24"/>
          <w:lang w:val="en-US"/>
        </w:rPr>
        <w:t xml:space="preserve"> your post. The article is timely considering the rising prevalence of cannabis use across the country. As revealed by</w:t>
      </w:r>
      <w:r w:rsidR="003B70AF">
        <w:rPr>
          <w:rFonts w:ascii="Times New Roman" w:hAnsi="Times New Roman" w:cs="Times New Roman"/>
          <w:sz w:val="24"/>
          <w:szCs w:val="24"/>
          <w:lang w:val="en-US"/>
        </w:rPr>
        <w:t xml:space="preserve"> </w:t>
      </w:r>
      <w:proofErr w:type="spellStart"/>
      <w:r w:rsidR="003B70AF">
        <w:rPr>
          <w:rFonts w:ascii="Times New Roman" w:hAnsi="Times New Roman" w:cs="Times New Roman"/>
          <w:sz w:val="24"/>
          <w:szCs w:val="24"/>
          <w:lang w:val="en-US"/>
        </w:rPr>
        <w:t>Palamar</w:t>
      </w:r>
      <w:proofErr w:type="spellEnd"/>
      <w:r w:rsidR="003B70AF">
        <w:rPr>
          <w:rFonts w:ascii="Times New Roman" w:hAnsi="Times New Roman" w:cs="Times New Roman"/>
          <w:sz w:val="24"/>
          <w:szCs w:val="24"/>
          <w:lang w:val="en-US"/>
        </w:rPr>
        <w:t xml:space="preserve"> et al. (2021)</w:t>
      </w:r>
      <w:r w:rsidR="007C13FE">
        <w:rPr>
          <w:rFonts w:ascii="Times New Roman" w:hAnsi="Times New Roman" w:cs="Times New Roman"/>
          <w:sz w:val="24"/>
          <w:szCs w:val="24"/>
          <w:lang w:val="en-US"/>
        </w:rPr>
        <w:t xml:space="preserve">, the prevalence of </w:t>
      </w:r>
      <w:r w:rsidR="00A64C65">
        <w:rPr>
          <w:rFonts w:ascii="Times New Roman" w:hAnsi="Times New Roman" w:cs="Times New Roman"/>
          <w:sz w:val="24"/>
          <w:szCs w:val="24"/>
          <w:lang w:val="en-US"/>
        </w:rPr>
        <w:t xml:space="preserve">cannabis use increased by 38.2% from 2015 to 2019, with recreational use significantly driving the rise. With many states having legalized recreational use, it is essential to understand the possible effects of marijuana on mental health. </w:t>
      </w:r>
      <w:r w:rsidR="00D72D12">
        <w:rPr>
          <w:rFonts w:ascii="Times New Roman" w:hAnsi="Times New Roman" w:cs="Times New Roman"/>
          <w:sz w:val="24"/>
          <w:szCs w:val="24"/>
          <w:lang w:val="en-US"/>
        </w:rPr>
        <w:t xml:space="preserve">As Jenkins and </w:t>
      </w:r>
      <w:proofErr w:type="spellStart"/>
      <w:r w:rsidR="00D72D12">
        <w:rPr>
          <w:rFonts w:ascii="Times New Roman" w:hAnsi="Times New Roman" w:cs="Times New Roman"/>
          <w:sz w:val="24"/>
          <w:szCs w:val="24"/>
          <w:lang w:val="en-US"/>
        </w:rPr>
        <w:t>Khokhar</w:t>
      </w:r>
      <w:proofErr w:type="spellEnd"/>
      <w:r w:rsidR="00D72D12">
        <w:rPr>
          <w:rFonts w:ascii="Times New Roman" w:hAnsi="Times New Roman" w:cs="Times New Roman"/>
          <w:sz w:val="24"/>
          <w:szCs w:val="24"/>
          <w:lang w:val="en-US"/>
        </w:rPr>
        <w:t xml:space="preserve"> (2021), the psychoactive effects of cannabis could trigger or exacerbate </w:t>
      </w:r>
      <w:r w:rsidR="0003575D">
        <w:rPr>
          <w:rFonts w:ascii="Times New Roman" w:hAnsi="Times New Roman" w:cs="Times New Roman"/>
          <w:sz w:val="24"/>
          <w:szCs w:val="24"/>
          <w:lang w:val="en-US"/>
        </w:rPr>
        <w:t xml:space="preserve">symptoms of mental disorders. Supporting the idea, </w:t>
      </w:r>
      <w:r w:rsidR="004A2C72">
        <w:rPr>
          <w:rFonts w:ascii="Times New Roman" w:hAnsi="Times New Roman" w:cs="Times New Roman"/>
          <w:sz w:val="24"/>
          <w:szCs w:val="24"/>
          <w:lang w:val="en-US"/>
        </w:rPr>
        <w:t xml:space="preserve">Berenson (2019) </w:t>
      </w:r>
      <w:r w:rsidR="0003575D">
        <w:rPr>
          <w:rFonts w:ascii="Times New Roman" w:hAnsi="Times New Roman" w:cs="Times New Roman"/>
          <w:sz w:val="24"/>
          <w:szCs w:val="24"/>
          <w:lang w:val="en-US"/>
        </w:rPr>
        <w:t xml:space="preserve">found that </w:t>
      </w:r>
      <w:r w:rsidR="00C11729">
        <w:rPr>
          <w:rFonts w:ascii="Times New Roman" w:hAnsi="Times New Roman" w:cs="Times New Roman"/>
          <w:sz w:val="24"/>
          <w:szCs w:val="24"/>
          <w:lang w:val="en-US"/>
        </w:rPr>
        <w:t xml:space="preserve">cannabis increased the risk of schizophrenia and other psychotic disorders, with higher and regular use increasing the risk. </w:t>
      </w:r>
      <w:r w:rsidR="000C1A38">
        <w:rPr>
          <w:rFonts w:ascii="Times New Roman" w:hAnsi="Times New Roman" w:cs="Times New Roman"/>
          <w:sz w:val="24"/>
          <w:szCs w:val="24"/>
          <w:lang w:val="en-US"/>
        </w:rPr>
        <w:t>Although cannabis has many medical benefits, users should understand that regular and prolonged use of high doses may lead to mental illness contingent upon their vulnerability.</w:t>
      </w:r>
    </w:p>
    <w:p w:rsidR="000C1A38" w:rsidRDefault="000C1A38" w:rsidP="000C1A38">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rsidR="004A2C72" w:rsidRPr="00F37CF1" w:rsidRDefault="004A2C72" w:rsidP="003B70AF">
      <w:pPr>
        <w:ind w:left="720" w:hanging="720"/>
        <w:rPr>
          <w:rFonts w:ascii="Times New Roman" w:hAnsi="Times New Roman" w:cs="Times New Roman"/>
          <w:sz w:val="24"/>
          <w:szCs w:val="24"/>
        </w:rPr>
      </w:pPr>
      <w:r>
        <w:rPr>
          <w:rFonts w:ascii="Times New Roman" w:hAnsi="Times New Roman" w:cs="Times New Roman"/>
          <w:sz w:val="24"/>
          <w:szCs w:val="24"/>
        </w:rPr>
        <w:t xml:space="preserve">Berenson, A. (2019). Marijuana, mental illness, and violence. </w:t>
      </w:r>
      <w:r>
        <w:rPr>
          <w:rFonts w:ascii="Times New Roman" w:hAnsi="Times New Roman" w:cs="Times New Roman"/>
          <w:i/>
          <w:sz w:val="24"/>
          <w:szCs w:val="24"/>
        </w:rPr>
        <w:t>Missouri Medicine: The Journal of the Missouri State Medical Association, 116</w:t>
      </w:r>
      <w:r>
        <w:rPr>
          <w:rFonts w:ascii="Times New Roman" w:hAnsi="Times New Roman" w:cs="Times New Roman"/>
          <w:sz w:val="24"/>
          <w:szCs w:val="24"/>
        </w:rPr>
        <w:t xml:space="preserve">(6), 446-449. </w:t>
      </w:r>
      <w:hyperlink r:id="rId7" w:history="1">
        <w:r w:rsidRPr="008A13A3">
          <w:rPr>
            <w:rStyle w:val="Hyperlink"/>
            <w:rFonts w:ascii="Times New Roman" w:hAnsi="Times New Roman" w:cs="Times New Roman"/>
            <w:sz w:val="24"/>
            <w:szCs w:val="24"/>
          </w:rPr>
          <w:t>https://www.ncbi.nlm.nih.gov/pmc/articles/PMC6913867/</w:t>
        </w:r>
      </w:hyperlink>
      <w:r>
        <w:rPr>
          <w:rFonts w:ascii="Times New Roman" w:hAnsi="Times New Roman" w:cs="Times New Roman"/>
          <w:sz w:val="24"/>
          <w:szCs w:val="24"/>
        </w:rPr>
        <w:t xml:space="preserve"> </w:t>
      </w:r>
    </w:p>
    <w:p w:rsidR="004A2C72" w:rsidRDefault="004A2C72" w:rsidP="003B70AF">
      <w:pPr>
        <w:ind w:left="720" w:hanging="720"/>
        <w:rPr>
          <w:rFonts w:ascii="Times New Roman" w:hAnsi="Times New Roman" w:cs="Times New Roman"/>
          <w:sz w:val="24"/>
          <w:szCs w:val="24"/>
        </w:rPr>
      </w:pPr>
      <w:r w:rsidRPr="003E372D">
        <w:rPr>
          <w:rFonts w:ascii="Times New Roman" w:hAnsi="Times New Roman" w:cs="Times New Roman"/>
          <w:sz w:val="24"/>
          <w:szCs w:val="24"/>
        </w:rPr>
        <w:t xml:space="preserve">Jenkins, B. W., &amp; </w:t>
      </w:r>
      <w:proofErr w:type="spellStart"/>
      <w:r w:rsidRPr="003E372D">
        <w:rPr>
          <w:rFonts w:ascii="Times New Roman" w:hAnsi="Times New Roman" w:cs="Times New Roman"/>
          <w:sz w:val="24"/>
          <w:szCs w:val="24"/>
        </w:rPr>
        <w:t>Khokhar</w:t>
      </w:r>
      <w:proofErr w:type="spellEnd"/>
      <w:r w:rsidRPr="003E372D">
        <w:rPr>
          <w:rFonts w:ascii="Times New Roman" w:hAnsi="Times New Roman" w:cs="Times New Roman"/>
          <w:sz w:val="24"/>
          <w:szCs w:val="24"/>
        </w:rPr>
        <w:t xml:space="preserve">, J. Y. (2021). Cannabis use and mental illness: Understanding circuit dysfunction through preclinical models. </w:t>
      </w:r>
      <w:r w:rsidRPr="003E372D">
        <w:rPr>
          <w:rFonts w:ascii="Times New Roman" w:hAnsi="Times New Roman" w:cs="Times New Roman"/>
          <w:i/>
          <w:sz w:val="24"/>
          <w:szCs w:val="24"/>
        </w:rPr>
        <w:t>Frontiers in Psychiatry</w:t>
      </w:r>
      <w:r w:rsidRPr="003E372D">
        <w:rPr>
          <w:rFonts w:ascii="Times New Roman" w:hAnsi="Times New Roman" w:cs="Times New Roman"/>
          <w:sz w:val="24"/>
          <w:szCs w:val="24"/>
        </w:rPr>
        <w:t xml:space="preserve">, 12, 1–16. </w:t>
      </w:r>
      <w:hyperlink r:id="rId8" w:history="1">
        <w:r w:rsidRPr="008A13A3">
          <w:rPr>
            <w:rStyle w:val="Hyperlink"/>
            <w:rFonts w:ascii="Times New Roman" w:hAnsi="Times New Roman" w:cs="Times New Roman"/>
            <w:sz w:val="24"/>
            <w:szCs w:val="24"/>
          </w:rPr>
          <w:t>https://doi.org/</w:t>
        </w:r>
        <w:bookmarkStart w:id="0" w:name="_GoBack"/>
        <w:bookmarkEnd w:id="0"/>
        <w:r w:rsidRPr="008A13A3">
          <w:rPr>
            <w:rStyle w:val="Hyperlink"/>
            <w:rFonts w:ascii="Times New Roman" w:hAnsi="Times New Roman" w:cs="Times New Roman"/>
            <w:sz w:val="24"/>
            <w:szCs w:val="24"/>
          </w:rPr>
          <w:t>10.3389/fpsyt.2021.597725</w:t>
        </w:r>
      </w:hyperlink>
    </w:p>
    <w:p w:rsidR="004A2C72" w:rsidRDefault="004A2C72" w:rsidP="003B70AF">
      <w:pPr>
        <w:ind w:left="720" w:hanging="720"/>
        <w:rPr>
          <w:rFonts w:ascii="Times New Roman" w:hAnsi="Times New Roman" w:cs="Times New Roman"/>
          <w:sz w:val="24"/>
          <w:szCs w:val="24"/>
        </w:rPr>
      </w:pPr>
      <w:proofErr w:type="spellStart"/>
      <w:r>
        <w:rPr>
          <w:rFonts w:ascii="Times New Roman" w:hAnsi="Times New Roman" w:cs="Times New Roman"/>
          <w:sz w:val="24"/>
          <w:szCs w:val="24"/>
        </w:rPr>
        <w:t>Palamar</w:t>
      </w:r>
      <w:proofErr w:type="spellEnd"/>
      <w:r>
        <w:rPr>
          <w:rFonts w:ascii="Times New Roman" w:hAnsi="Times New Roman" w:cs="Times New Roman"/>
          <w:sz w:val="24"/>
          <w:szCs w:val="24"/>
        </w:rPr>
        <w:t xml:space="preserve">, J.J., Le, A., &amp; Han, B.H. (2021). Quarterly trends in past-month cannabis use in the United States, 2015-2019. </w:t>
      </w:r>
      <w:r>
        <w:rPr>
          <w:rFonts w:ascii="Times New Roman" w:hAnsi="Times New Roman" w:cs="Times New Roman"/>
          <w:i/>
          <w:sz w:val="24"/>
          <w:szCs w:val="24"/>
        </w:rPr>
        <w:t xml:space="preserve">Drug and Alcohol Dependence, 219, </w:t>
      </w:r>
      <w:r>
        <w:rPr>
          <w:rFonts w:ascii="Times New Roman" w:hAnsi="Times New Roman" w:cs="Times New Roman"/>
          <w:sz w:val="24"/>
          <w:szCs w:val="24"/>
        </w:rPr>
        <w:t xml:space="preserve">108494. </w:t>
      </w:r>
      <w:hyperlink r:id="rId9" w:history="1">
        <w:r w:rsidRPr="008A13A3">
          <w:rPr>
            <w:rStyle w:val="Hyperlink"/>
            <w:rFonts w:ascii="Times New Roman" w:hAnsi="Times New Roman" w:cs="Times New Roman"/>
            <w:sz w:val="24"/>
            <w:szCs w:val="24"/>
          </w:rPr>
          <w:t>https://doi/10.1016/j.drugalcdep.2020</w:t>
        </w:r>
      </w:hyperlink>
      <w:r>
        <w:rPr>
          <w:rFonts w:ascii="Times New Roman" w:hAnsi="Times New Roman" w:cs="Times New Roman"/>
          <w:sz w:val="24"/>
          <w:szCs w:val="24"/>
        </w:rPr>
        <w:t xml:space="preserve"> </w:t>
      </w:r>
    </w:p>
    <w:sectPr w:rsidR="004A2C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CA"/>
    <w:rsid w:val="0003575D"/>
    <w:rsid w:val="000536D7"/>
    <w:rsid w:val="000B530F"/>
    <w:rsid w:val="000C1A38"/>
    <w:rsid w:val="00194ECA"/>
    <w:rsid w:val="00253245"/>
    <w:rsid w:val="00263B4A"/>
    <w:rsid w:val="002E0A0F"/>
    <w:rsid w:val="003062C7"/>
    <w:rsid w:val="003B70AF"/>
    <w:rsid w:val="003E372D"/>
    <w:rsid w:val="004001EB"/>
    <w:rsid w:val="00404382"/>
    <w:rsid w:val="004A2C72"/>
    <w:rsid w:val="00547304"/>
    <w:rsid w:val="00577A7B"/>
    <w:rsid w:val="00591F5C"/>
    <w:rsid w:val="007C13FE"/>
    <w:rsid w:val="008D6B03"/>
    <w:rsid w:val="00920B33"/>
    <w:rsid w:val="00923145"/>
    <w:rsid w:val="00A20DB7"/>
    <w:rsid w:val="00A64C65"/>
    <w:rsid w:val="00A67188"/>
    <w:rsid w:val="00B1028F"/>
    <w:rsid w:val="00B55541"/>
    <w:rsid w:val="00C11729"/>
    <w:rsid w:val="00C44E86"/>
    <w:rsid w:val="00C67574"/>
    <w:rsid w:val="00CE79AB"/>
    <w:rsid w:val="00D53FF7"/>
    <w:rsid w:val="00D72D12"/>
    <w:rsid w:val="00DD02E3"/>
    <w:rsid w:val="00E61520"/>
    <w:rsid w:val="00F37CF1"/>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55F5"/>
  <w15:chartTrackingRefBased/>
  <w15:docId w15:val="{70EF9784-E36B-4F45-839E-2FEEC4DC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9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921">
      <w:bodyDiv w:val="1"/>
      <w:marLeft w:val="0"/>
      <w:marRight w:val="0"/>
      <w:marTop w:val="0"/>
      <w:marBottom w:val="0"/>
      <w:divBdr>
        <w:top w:val="none" w:sz="0" w:space="0" w:color="auto"/>
        <w:left w:val="none" w:sz="0" w:space="0" w:color="auto"/>
        <w:bottom w:val="none" w:sz="0" w:space="0" w:color="auto"/>
        <w:right w:val="none" w:sz="0" w:space="0" w:color="auto"/>
      </w:divBdr>
      <w:divsChild>
        <w:div w:id="827020384">
          <w:marLeft w:val="0"/>
          <w:marRight w:val="0"/>
          <w:marTop w:val="0"/>
          <w:marBottom w:val="0"/>
          <w:divBdr>
            <w:top w:val="none" w:sz="0" w:space="0" w:color="auto"/>
            <w:left w:val="none" w:sz="0" w:space="0" w:color="auto"/>
            <w:bottom w:val="none" w:sz="0" w:space="0" w:color="auto"/>
            <w:right w:val="none" w:sz="0" w:space="0" w:color="auto"/>
          </w:divBdr>
        </w:div>
      </w:divsChild>
    </w:div>
    <w:div w:id="1291976883">
      <w:bodyDiv w:val="1"/>
      <w:marLeft w:val="0"/>
      <w:marRight w:val="0"/>
      <w:marTop w:val="0"/>
      <w:marBottom w:val="0"/>
      <w:divBdr>
        <w:top w:val="none" w:sz="0" w:space="0" w:color="auto"/>
        <w:left w:val="none" w:sz="0" w:space="0" w:color="auto"/>
        <w:bottom w:val="none" w:sz="0" w:space="0" w:color="auto"/>
        <w:right w:val="none" w:sz="0" w:space="0" w:color="auto"/>
      </w:divBdr>
      <w:divsChild>
        <w:div w:id="505872850">
          <w:marLeft w:val="0"/>
          <w:marRight w:val="0"/>
          <w:marTop w:val="0"/>
          <w:marBottom w:val="0"/>
          <w:divBdr>
            <w:top w:val="none" w:sz="0" w:space="0" w:color="auto"/>
            <w:left w:val="none" w:sz="0" w:space="0" w:color="auto"/>
            <w:bottom w:val="none" w:sz="0" w:space="0" w:color="auto"/>
            <w:right w:val="none" w:sz="0" w:space="0" w:color="auto"/>
          </w:divBdr>
        </w:div>
      </w:divsChild>
    </w:div>
    <w:div w:id="1625428099">
      <w:bodyDiv w:val="1"/>
      <w:marLeft w:val="0"/>
      <w:marRight w:val="0"/>
      <w:marTop w:val="0"/>
      <w:marBottom w:val="0"/>
      <w:divBdr>
        <w:top w:val="none" w:sz="0" w:space="0" w:color="auto"/>
        <w:left w:val="none" w:sz="0" w:space="0" w:color="auto"/>
        <w:bottom w:val="none" w:sz="0" w:space="0" w:color="auto"/>
        <w:right w:val="none" w:sz="0" w:space="0" w:color="auto"/>
      </w:divBdr>
      <w:divsChild>
        <w:div w:id="848569599">
          <w:marLeft w:val="0"/>
          <w:marRight w:val="0"/>
          <w:marTop w:val="0"/>
          <w:marBottom w:val="0"/>
          <w:divBdr>
            <w:top w:val="none" w:sz="0" w:space="0" w:color="auto"/>
            <w:left w:val="none" w:sz="0" w:space="0" w:color="auto"/>
            <w:bottom w:val="none" w:sz="0" w:space="0" w:color="auto"/>
            <w:right w:val="none" w:sz="0" w:space="0" w:color="auto"/>
          </w:divBdr>
        </w:div>
      </w:divsChild>
    </w:div>
    <w:div w:id="1964649090">
      <w:bodyDiv w:val="1"/>
      <w:marLeft w:val="0"/>
      <w:marRight w:val="0"/>
      <w:marTop w:val="0"/>
      <w:marBottom w:val="0"/>
      <w:divBdr>
        <w:top w:val="none" w:sz="0" w:space="0" w:color="auto"/>
        <w:left w:val="none" w:sz="0" w:space="0" w:color="auto"/>
        <w:bottom w:val="none" w:sz="0" w:space="0" w:color="auto"/>
        <w:right w:val="none" w:sz="0" w:space="0" w:color="auto"/>
      </w:divBdr>
      <w:divsChild>
        <w:div w:id="1236472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21.597725" TargetMode="External"/><Relationship Id="rId3" Type="http://schemas.openxmlformats.org/officeDocument/2006/relationships/webSettings" Target="webSettings.xml"/><Relationship Id="rId7" Type="http://schemas.openxmlformats.org/officeDocument/2006/relationships/hyperlink" Target="https://www.ncbi.nlm.nih.gov/pmc/articles/PMC69138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759/cureus.21174" TargetMode="External"/><Relationship Id="rId11" Type="http://schemas.openxmlformats.org/officeDocument/2006/relationships/theme" Target="theme/theme1.xml"/><Relationship Id="rId5" Type="http://schemas.openxmlformats.org/officeDocument/2006/relationships/hyperlink" Target="https://doi.org/10.1097/NMD.0000000000001529" TargetMode="External"/><Relationship Id="rId10" Type="http://schemas.openxmlformats.org/officeDocument/2006/relationships/fontTable" Target="fontTable.xml"/><Relationship Id="rId4" Type="http://schemas.openxmlformats.org/officeDocument/2006/relationships/hyperlink" Target="https://doi.org/10.1016/j.genhosppsych.2021.02.004" TargetMode="External"/><Relationship Id="rId9" Type="http://schemas.openxmlformats.org/officeDocument/2006/relationships/hyperlink" Target="https://doi/10.1016/j.drugalcde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2023-08-31T22:59:00Z</dcterms:created>
  <dcterms:modified xsi:type="dcterms:W3CDTF">2023-09-01T00:39:00Z</dcterms:modified>
</cp:coreProperties>
</file>