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A3" w:rsidRPr="005C21A3" w:rsidRDefault="005C21A3" w:rsidP="005C21A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3: Population Health Interventions</w:t>
      </w:r>
    </w:p>
    <w:p w:rsidR="00A67188" w:rsidRDefault="008307A0" w:rsidP="008307A0">
      <w:pPr>
        <w:spacing w:after="0" w:line="480" w:lineRule="auto"/>
        <w:rPr>
          <w:rFonts w:ascii="Times New Roman" w:hAnsi="Times New Roman" w:cs="Times New Roman"/>
          <w:sz w:val="24"/>
          <w:szCs w:val="24"/>
        </w:rPr>
      </w:pPr>
      <w:r w:rsidRPr="008307A0">
        <w:rPr>
          <w:rFonts w:ascii="Times New Roman" w:hAnsi="Times New Roman" w:cs="Times New Roman"/>
          <w:sz w:val="24"/>
          <w:szCs w:val="24"/>
        </w:rPr>
        <w:tab/>
      </w:r>
      <w:r w:rsidR="006B2143">
        <w:rPr>
          <w:rFonts w:ascii="Times New Roman" w:hAnsi="Times New Roman" w:cs="Times New Roman"/>
          <w:sz w:val="24"/>
          <w:szCs w:val="24"/>
        </w:rPr>
        <w:t>In 2016, t</w:t>
      </w:r>
      <w:r w:rsidR="00810640">
        <w:rPr>
          <w:rFonts w:ascii="Times New Roman" w:hAnsi="Times New Roman" w:cs="Times New Roman"/>
          <w:sz w:val="24"/>
          <w:szCs w:val="24"/>
        </w:rPr>
        <w:t xml:space="preserve">he US Preventive Services Task Force (USPSTF) </w:t>
      </w:r>
      <w:r w:rsidR="006B2143">
        <w:rPr>
          <w:rFonts w:ascii="Times New Roman" w:hAnsi="Times New Roman" w:cs="Times New Roman"/>
          <w:sz w:val="24"/>
          <w:szCs w:val="24"/>
        </w:rPr>
        <w:t xml:space="preserve">report </w:t>
      </w:r>
      <w:r w:rsidR="00810640">
        <w:rPr>
          <w:rFonts w:ascii="Times New Roman" w:hAnsi="Times New Roman" w:cs="Times New Roman"/>
          <w:sz w:val="24"/>
          <w:szCs w:val="24"/>
        </w:rPr>
        <w:t>recommended universal depression screening for adults</w:t>
      </w:r>
      <w:r w:rsidR="006B2143">
        <w:rPr>
          <w:rFonts w:ascii="Times New Roman" w:hAnsi="Times New Roman" w:cs="Times New Roman"/>
          <w:sz w:val="24"/>
          <w:szCs w:val="24"/>
        </w:rPr>
        <w:t xml:space="preserve"> to enhance timely detection and treatment (</w:t>
      </w:r>
      <w:proofErr w:type="spellStart"/>
      <w:r w:rsidR="0072261C">
        <w:rPr>
          <w:rFonts w:ascii="Times New Roman" w:hAnsi="Times New Roman" w:cs="Times New Roman"/>
          <w:sz w:val="24"/>
          <w:szCs w:val="24"/>
        </w:rPr>
        <w:t>siu</w:t>
      </w:r>
      <w:proofErr w:type="spellEnd"/>
      <w:r w:rsidR="0072261C">
        <w:rPr>
          <w:rFonts w:ascii="Times New Roman" w:hAnsi="Times New Roman" w:cs="Times New Roman"/>
          <w:sz w:val="24"/>
          <w:szCs w:val="24"/>
        </w:rPr>
        <w:t xml:space="preserve"> et al., 2016</w:t>
      </w:r>
      <w:r w:rsidR="006B2143" w:rsidRPr="0072261C">
        <w:rPr>
          <w:rFonts w:ascii="Times New Roman" w:hAnsi="Times New Roman" w:cs="Times New Roman"/>
          <w:sz w:val="24"/>
          <w:szCs w:val="24"/>
        </w:rPr>
        <w:t>). However,</w:t>
      </w:r>
      <w:r w:rsidR="006B2143">
        <w:rPr>
          <w:rFonts w:ascii="Times New Roman" w:hAnsi="Times New Roman" w:cs="Times New Roman"/>
          <w:b/>
          <w:sz w:val="24"/>
          <w:szCs w:val="24"/>
        </w:rPr>
        <w:t xml:space="preserve"> </w:t>
      </w:r>
      <w:r w:rsidR="006B2143">
        <w:rPr>
          <w:rFonts w:ascii="Times New Roman" w:hAnsi="Times New Roman" w:cs="Times New Roman"/>
          <w:sz w:val="24"/>
          <w:szCs w:val="24"/>
        </w:rPr>
        <w:t xml:space="preserve">evidence shows that </w:t>
      </w:r>
      <w:r w:rsidR="00E05967">
        <w:rPr>
          <w:rFonts w:ascii="Times New Roman" w:hAnsi="Times New Roman" w:cs="Times New Roman"/>
          <w:sz w:val="24"/>
          <w:szCs w:val="24"/>
        </w:rPr>
        <w:t>many cases remain undetected, underdiagnosed, and inadequately managed because of factors that impede service accessibility, especially among African Americans (</w:t>
      </w:r>
      <w:r w:rsidR="00A37746">
        <w:rPr>
          <w:rFonts w:ascii="Times New Roman" w:hAnsi="Times New Roman" w:cs="Times New Roman"/>
          <w:sz w:val="24"/>
          <w:szCs w:val="24"/>
        </w:rPr>
        <w:t>Bailey et al., 2019</w:t>
      </w:r>
      <w:r w:rsidR="00E05967">
        <w:rPr>
          <w:rFonts w:ascii="Times New Roman" w:hAnsi="Times New Roman" w:cs="Times New Roman"/>
          <w:sz w:val="24"/>
          <w:szCs w:val="24"/>
        </w:rPr>
        <w:t xml:space="preserve">). Consequently, </w:t>
      </w:r>
      <w:r w:rsidR="00C37E4C">
        <w:rPr>
          <w:rFonts w:ascii="Times New Roman" w:hAnsi="Times New Roman" w:cs="Times New Roman"/>
          <w:sz w:val="24"/>
          <w:szCs w:val="24"/>
        </w:rPr>
        <w:t xml:space="preserve">clinicians and other stakeholders should advocate for </w:t>
      </w:r>
      <w:r w:rsidR="00E05967">
        <w:rPr>
          <w:rFonts w:ascii="Times New Roman" w:hAnsi="Times New Roman" w:cs="Times New Roman"/>
          <w:sz w:val="24"/>
          <w:szCs w:val="24"/>
        </w:rPr>
        <w:t xml:space="preserve">novel approaches </w:t>
      </w:r>
      <w:r w:rsidR="00C37E4C">
        <w:rPr>
          <w:rFonts w:ascii="Times New Roman" w:hAnsi="Times New Roman" w:cs="Times New Roman"/>
          <w:sz w:val="24"/>
          <w:szCs w:val="24"/>
        </w:rPr>
        <w:t>to enhance depression screening. In their pragmatic randomized</w:t>
      </w:r>
      <w:r w:rsidR="008F2F89">
        <w:rPr>
          <w:rFonts w:ascii="Times New Roman" w:hAnsi="Times New Roman" w:cs="Times New Roman"/>
          <w:sz w:val="24"/>
          <w:szCs w:val="24"/>
        </w:rPr>
        <w:t xml:space="preserve"> controlled trial, </w:t>
      </w:r>
      <w:r w:rsidR="00C64690">
        <w:rPr>
          <w:rFonts w:ascii="Times New Roman" w:hAnsi="Times New Roman" w:cs="Times New Roman"/>
          <w:sz w:val="24"/>
          <w:szCs w:val="24"/>
        </w:rPr>
        <w:t xml:space="preserve">Franco et al. (2023) </w:t>
      </w:r>
      <w:r w:rsidR="008F2F89">
        <w:rPr>
          <w:rFonts w:ascii="Times New Roman" w:hAnsi="Times New Roman" w:cs="Times New Roman"/>
          <w:sz w:val="24"/>
          <w:szCs w:val="24"/>
        </w:rPr>
        <w:t>investigated the effectiveness o</w:t>
      </w:r>
      <w:r w:rsidR="001900E0">
        <w:rPr>
          <w:rFonts w:ascii="Times New Roman" w:hAnsi="Times New Roman" w:cs="Times New Roman"/>
          <w:sz w:val="24"/>
          <w:szCs w:val="24"/>
        </w:rPr>
        <w:t>f a population-based depression-</w:t>
      </w:r>
      <w:r w:rsidR="008F2F89">
        <w:rPr>
          <w:rFonts w:ascii="Times New Roman" w:hAnsi="Times New Roman" w:cs="Times New Roman"/>
          <w:sz w:val="24"/>
          <w:szCs w:val="24"/>
        </w:rPr>
        <w:t xml:space="preserve">screening program </w:t>
      </w:r>
      <w:r w:rsidR="001900E0">
        <w:rPr>
          <w:rFonts w:ascii="Times New Roman" w:hAnsi="Times New Roman" w:cs="Times New Roman"/>
          <w:sz w:val="24"/>
          <w:szCs w:val="24"/>
        </w:rPr>
        <w:t xml:space="preserve">compared to screening during clinic appointments in detecting cases. </w:t>
      </w:r>
      <w:r w:rsidR="00013FD8">
        <w:rPr>
          <w:rFonts w:ascii="Times New Roman" w:hAnsi="Times New Roman" w:cs="Times New Roman"/>
          <w:sz w:val="24"/>
          <w:szCs w:val="24"/>
        </w:rPr>
        <w:t>The int</w:t>
      </w:r>
      <w:r w:rsidR="000577D3">
        <w:rPr>
          <w:rFonts w:ascii="Times New Roman" w:hAnsi="Times New Roman" w:cs="Times New Roman"/>
          <w:sz w:val="24"/>
          <w:szCs w:val="24"/>
        </w:rPr>
        <w:t xml:space="preserve">erventions involved invitation </w:t>
      </w:r>
      <w:r w:rsidR="00013FD8">
        <w:rPr>
          <w:rFonts w:ascii="Times New Roman" w:hAnsi="Times New Roman" w:cs="Times New Roman"/>
          <w:sz w:val="24"/>
          <w:szCs w:val="24"/>
        </w:rPr>
        <w:t>o</w:t>
      </w:r>
      <w:r w:rsidR="000577D3">
        <w:rPr>
          <w:rFonts w:ascii="Times New Roman" w:hAnsi="Times New Roman" w:cs="Times New Roman"/>
          <w:sz w:val="24"/>
          <w:szCs w:val="24"/>
        </w:rPr>
        <w:t>f</w:t>
      </w:r>
      <w:r w:rsidR="00013FD8">
        <w:rPr>
          <w:rFonts w:ascii="Times New Roman" w:hAnsi="Times New Roman" w:cs="Times New Roman"/>
          <w:sz w:val="24"/>
          <w:szCs w:val="24"/>
        </w:rPr>
        <w:t xml:space="preserve"> populatio</w:t>
      </w:r>
      <w:r w:rsidR="000577D3">
        <w:rPr>
          <w:rFonts w:ascii="Times New Roman" w:hAnsi="Times New Roman" w:cs="Times New Roman"/>
          <w:sz w:val="24"/>
          <w:szCs w:val="24"/>
        </w:rPr>
        <w:t xml:space="preserve">n healthcare patients </w:t>
      </w:r>
      <w:r w:rsidR="00F33DD5">
        <w:rPr>
          <w:rFonts w:ascii="Times New Roman" w:hAnsi="Times New Roman" w:cs="Times New Roman"/>
          <w:sz w:val="24"/>
          <w:szCs w:val="24"/>
        </w:rPr>
        <w:t xml:space="preserve">with active portal accounts </w:t>
      </w:r>
      <w:r w:rsidR="000577D3">
        <w:rPr>
          <w:rFonts w:ascii="Times New Roman" w:hAnsi="Times New Roman" w:cs="Times New Roman"/>
          <w:sz w:val="24"/>
          <w:szCs w:val="24"/>
        </w:rPr>
        <w:t>to fill a computerized adaptive test (CAT)</w:t>
      </w:r>
      <w:r w:rsidR="00F33DD5">
        <w:rPr>
          <w:rFonts w:ascii="Times New Roman" w:hAnsi="Times New Roman" w:cs="Times New Roman"/>
          <w:sz w:val="24"/>
          <w:szCs w:val="24"/>
        </w:rPr>
        <w:t xml:space="preserve">, with usual care patients receiving in-clinic screening from medical assistants. </w:t>
      </w:r>
      <w:r w:rsidR="00C13AD3">
        <w:rPr>
          <w:rFonts w:ascii="Times New Roman" w:hAnsi="Times New Roman" w:cs="Times New Roman"/>
          <w:sz w:val="24"/>
          <w:szCs w:val="24"/>
        </w:rPr>
        <w:t>Results support the importance of portal-ba</w:t>
      </w:r>
      <w:r w:rsidR="004D0037">
        <w:rPr>
          <w:rFonts w:ascii="Times New Roman" w:hAnsi="Times New Roman" w:cs="Times New Roman"/>
          <w:sz w:val="24"/>
          <w:szCs w:val="24"/>
        </w:rPr>
        <w:t>sed depression screening on case identification. Notably, the study reported a higher screening rate in the</w:t>
      </w:r>
      <w:r w:rsidR="00C70162">
        <w:rPr>
          <w:rFonts w:ascii="Times New Roman" w:hAnsi="Times New Roman" w:cs="Times New Roman"/>
          <w:sz w:val="24"/>
          <w:szCs w:val="24"/>
        </w:rPr>
        <w:t xml:space="preserve"> intervention arm (43%) than</w:t>
      </w:r>
      <w:r w:rsidR="004D0037">
        <w:rPr>
          <w:rFonts w:ascii="Times New Roman" w:hAnsi="Times New Roman" w:cs="Times New Roman"/>
          <w:sz w:val="24"/>
          <w:szCs w:val="24"/>
        </w:rPr>
        <w:t xml:space="preserve"> the </w:t>
      </w:r>
      <w:r w:rsidR="00C70162">
        <w:rPr>
          <w:rFonts w:ascii="Times New Roman" w:hAnsi="Times New Roman" w:cs="Times New Roman"/>
          <w:sz w:val="24"/>
          <w:szCs w:val="24"/>
        </w:rPr>
        <w:t>treatment as usual</w:t>
      </w:r>
      <w:r w:rsidR="004D0037">
        <w:rPr>
          <w:rFonts w:ascii="Times New Roman" w:hAnsi="Times New Roman" w:cs="Times New Roman"/>
          <w:sz w:val="24"/>
          <w:szCs w:val="24"/>
        </w:rPr>
        <w:t xml:space="preserve"> arm (33%). In addition, the population healthcare arm had a higher positive screens rate (10%) </w:t>
      </w:r>
      <w:r w:rsidR="00C70162">
        <w:rPr>
          <w:rFonts w:ascii="Times New Roman" w:hAnsi="Times New Roman" w:cs="Times New Roman"/>
          <w:sz w:val="24"/>
          <w:szCs w:val="24"/>
        </w:rPr>
        <w:t xml:space="preserve">than the </w:t>
      </w:r>
      <w:r w:rsidR="00C70162">
        <w:rPr>
          <w:rFonts w:ascii="Times New Roman" w:hAnsi="Times New Roman" w:cs="Times New Roman"/>
          <w:sz w:val="24"/>
          <w:szCs w:val="24"/>
        </w:rPr>
        <w:t xml:space="preserve">treatment as usual </w:t>
      </w:r>
      <w:r w:rsidR="004D0037">
        <w:rPr>
          <w:rFonts w:ascii="Times New Roman" w:hAnsi="Times New Roman" w:cs="Times New Roman"/>
          <w:sz w:val="24"/>
          <w:szCs w:val="24"/>
        </w:rPr>
        <w:t>arm (4%)</w:t>
      </w:r>
      <w:r w:rsidR="00C70162">
        <w:rPr>
          <w:rFonts w:ascii="Times New Roman" w:hAnsi="Times New Roman" w:cs="Times New Roman"/>
          <w:sz w:val="24"/>
          <w:szCs w:val="24"/>
        </w:rPr>
        <w:t xml:space="preserve"> had</w:t>
      </w:r>
      <w:r w:rsidR="004D0037">
        <w:rPr>
          <w:rFonts w:ascii="Times New Roman" w:hAnsi="Times New Roman" w:cs="Times New Roman"/>
          <w:sz w:val="24"/>
          <w:szCs w:val="24"/>
        </w:rPr>
        <w:t xml:space="preserve">. </w:t>
      </w:r>
      <w:r w:rsidR="007D1EAC">
        <w:rPr>
          <w:rFonts w:ascii="Times New Roman" w:hAnsi="Times New Roman" w:cs="Times New Roman"/>
          <w:sz w:val="24"/>
          <w:szCs w:val="24"/>
        </w:rPr>
        <w:t>The findings imply that incorporating population-level approaches such as using EHR-embedded patient portals could increase depression screening in vulnerable populations</w:t>
      </w:r>
      <w:r w:rsidR="00B23B2F">
        <w:rPr>
          <w:rFonts w:ascii="Times New Roman" w:hAnsi="Times New Roman" w:cs="Times New Roman"/>
          <w:sz w:val="24"/>
          <w:szCs w:val="24"/>
        </w:rPr>
        <w:t>, such as African Americans</w:t>
      </w:r>
      <w:r w:rsidR="007D1EAC">
        <w:rPr>
          <w:rFonts w:ascii="Times New Roman" w:hAnsi="Times New Roman" w:cs="Times New Roman"/>
          <w:sz w:val="24"/>
          <w:szCs w:val="24"/>
        </w:rPr>
        <w:t xml:space="preserve">. </w:t>
      </w:r>
      <w:r w:rsidR="00B23B2F">
        <w:rPr>
          <w:rFonts w:ascii="Times New Roman" w:hAnsi="Times New Roman" w:cs="Times New Roman"/>
          <w:sz w:val="24"/>
          <w:szCs w:val="24"/>
        </w:rPr>
        <w:t>While depression prevalence is paradoxically lower in the African American populations (</w:t>
      </w:r>
      <w:r w:rsidR="00560171">
        <w:rPr>
          <w:rFonts w:ascii="Times New Roman" w:hAnsi="Times New Roman" w:cs="Times New Roman"/>
          <w:sz w:val="24"/>
          <w:szCs w:val="24"/>
        </w:rPr>
        <w:t>Pederson, 2023</w:t>
      </w:r>
      <w:r w:rsidR="00B23B2F">
        <w:rPr>
          <w:rFonts w:ascii="Times New Roman" w:hAnsi="Times New Roman" w:cs="Times New Roman"/>
          <w:sz w:val="24"/>
          <w:szCs w:val="24"/>
        </w:rPr>
        <w:t xml:space="preserve">), </w:t>
      </w:r>
      <w:r w:rsidR="00994088">
        <w:rPr>
          <w:rFonts w:ascii="Times New Roman" w:hAnsi="Times New Roman" w:cs="Times New Roman"/>
          <w:sz w:val="24"/>
          <w:szCs w:val="24"/>
        </w:rPr>
        <w:t>screening, detection, diagnosis, and treatment is disproportionately low (</w:t>
      </w:r>
      <w:r w:rsidR="000F3BF8">
        <w:rPr>
          <w:rFonts w:ascii="Times New Roman" w:hAnsi="Times New Roman" w:cs="Times New Roman"/>
          <w:sz w:val="24"/>
          <w:szCs w:val="24"/>
        </w:rPr>
        <w:t>Randle et al., 2019</w:t>
      </w:r>
      <w:r w:rsidR="00994088">
        <w:rPr>
          <w:rFonts w:ascii="Times New Roman" w:hAnsi="Times New Roman" w:cs="Times New Roman"/>
          <w:sz w:val="24"/>
          <w:szCs w:val="24"/>
        </w:rPr>
        <w:t xml:space="preserve">). </w:t>
      </w:r>
      <w:r w:rsidR="00B23B2F">
        <w:rPr>
          <w:rFonts w:ascii="Times New Roman" w:hAnsi="Times New Roman" w:cs="Times New Roman"/>
          <w:sz w:val="24"/>
          <w:szCs w:val="24"/>
        </w:rPr>
        <w:t>Therefore, t</w:t>
      </w:r>
      <w:r w:rsidR="00110BCB">
        <w:rPr>
          <w:rFonts w:ascii="Times New Roman" w:hAnsi="Times New Roman" w:cs="Times New Roman"/>
          <w:sz w:val="24"/>
          <w:szCs w:val="24"/>
        </w:rPr>
        <w:t xml:space="preserve">he </w:t>
      </w:r>
      <w:r w:rsidR="007745D8">
        <w:rPr>
          <w:rFonts w:ascii="Times New Roman" w:hAnsi="Times New Roman" w:cs="Times New Roman"/>
          <w:sz w:val="24"/>
          <w:szCs w:val="24"/>
        </w:rPr>
        <w:t>app</w:t>
      </w:r>
      <w:r w:rsidR="00B23B2F">
        <w:rPr>
          <w:rFonts w:ascii="Times New Roman" w:hAnsi="Times New Roman" w:cs="Times New Roman"/>
          <w:sz w:val="24"/>
          <w:szCs w:val="24"/>
        </w:rPr>
        <w:t>roach would be crucial for this population and issue because it could increase detection and initiation of timely treatment.</w:t>
      </w:r>
    </w:p>
    <w:p w:rsidR="00994088" w:rsidRDefault="007D6C30" w:rsidP="009940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Translation Science Model</w:t>
      </w:r>
    </w:p>
    <w:p w:rsidR="007D6C30" w:rsidRDefault="007D6C30" w:rsidP="008944E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0133D">
        <w:rPr>
          <w:rFonts w:ascii="Times New Roman" w:hAnsi="Times New Roman" w:cs="Times New Roman"/>
          <w:sz w:val="24"/>
          <w:szCs w:val="24"/>
        </w:rPr>
        <w:t>The existing literature identifies different translation science models that could suit different interventions d</w:t>
      </w:r>
      <w:r w:rsidR="008944E1">
        <w:rPr>
          <w:rFonts w:ascii="Times New Roman" w:hAnsi="Times New Roman" w:cs="Times New Roman"/>
          <w:sz w:val="24"/>
          <w:szCs w:val="24"/>
        </w:rPr>
        <w:t>epending on their complexity. T</w:t>
      </w:r>
      <w:r w:rsidR="0060133D">
        <w:rPr>
          <w:rFonts w:ascii="Times New Roman" w:hAnsi="Times New Roman" w:cs="Times New Roman"/>
          <w:sz w:val="24"/>
          <w:szCs w:val="24"/>
        </w:rPr>
        <w:t xml:space="preserve">he Diffusion of Innovation </w:t>
      </w:r>
      <w:r w:rsidR="008944E1">
        <w:rPr>
          <w:rFonts w:ascii="Times New Roman" w:hAnsi="Times New Roman" w:cs="Times New Roman"/>
          <w:sz w:val="24"/>
          <w:szCs w:val="24"/>
        </w:rPr>
        <w:t xml:space="preserve">Theory would suit the </w:t>
      </w:r>
      <w:r w:rsidR="008944E1">
        <w:rPr>
          <w:rFonts w:ascii="Times New Roman" w:hAnsi="Times New Roman" w:cs="Times New Roman"/>
          <w:sz w:val="24"/>
          <w:szCs w:val="24"/>
        </w:rPr>
        <w:t>implementation of a portal-based population-level screening program</w:t>
      </w:r>
      <w:r w:rsidR="008944E1">
        <w:rPr>
          <w:rFonts w:ascii="Times New Roman" w:hAnsi="Times New Roman" w:cs="Times New Roman"/>
          <w:sz w:val="24"/>
          <w:szCs w:val="24"/>
        </w:rPr>
        <w:t xml:space="preserve">. The theory </w:t>
      </w:r>
      <w:r w:rsidR="002F7107">
        <w:rPr>
          <w:rFonts w:ascii="Times New Roman" w:hAnsi="Times New Roman" w:cs="Times New Roman"/>
          <w:sz w:val="24"/>
          <w:szCs w:val="24"/>
        </w:rPr>
        <w:t xml:space="preserve">addresses crucial factors, including the relative advantage, complexity, compatibility, observability, and </w:t>
      </w:r>
      <w:proofErr w:type="spellStart"/>
      <w:r w:rsidR="002F7107">
        <w:rPr>
          <w:rFonts w:ascii="Times New Roman" w:hAnsi="Times New Roman" w:cs="Times New Roman"/>
          <w:sz w:val="24"/>
          <w:szCs w:val="24"/>
        </w:rPr>
        <w:t>trialability</w:t>
      </w:r>
      <w:proofErr w:type="spellEnd"/>
      <w:r w:rsidR="002F7107">
        <w:rPr>
          <w:rFonts w:ascii="Times New Roman" w:hAnsi="Times New Roman" w:cs="Times New Roman"/>
          <w:sz w:val="24"/>
          <w:szCs w:val="24"/>
        </w:rPr>
        <w:t xml:space="preserve"> of the innovation. In addition, it leverages the </w:t>
      </w:r>
      <w:r w:rsidR="00E50413">
        <w:rPr>
          <w:rFonts w:ascii="Times New Roman" w:hAnsi="Times New Roman" w:cs="Times New Roman"/>
          <w:sz w:val="24"/>
          <w:szCs w:val="24"/>
        </w:rPr>
        <w:t>adopters’ innovativeness, the social system, and the change agents (</w:t>
      </w:r>
      <w:r w:rsidR="003E2B75">
        <w:rPr>
          <w:rFonts w:ascii="Times New Roman" w:hAnsi="Times New Roman" w:cs="Times New Roman"/>
          <w:sz w:val="24"/>
          <w:szCs w:val="24"/>
        </w:rPr>
        <w:t xml:space="preserve">Dearing &amp; </w:t>
      </w:r>
      <w:proofErr w:type="spellStart"/>
      <w:r w:rsidR="003E2B75">
        <w:rPr>
          <w:rFonts w:ascii="Times New Roman" w:hAnsi="Times New Roman" w:cs="Times New Roman"/>
          <w:sz w:val="24"/>
          <w:szCs w:val="24"/>
        </w:rPr>
        <w:t>Singhal</w:t>
      </w:r>
      <w:proofErr w:type="spellEnd"/>
      <w:r w:rsidR="003E2B75">
        <w:rPr>
          <w:rFonts w:ascii="Times New Roman" w:hAnsi="Times New Roman" w:cs="Times New Roman"/>
          <w:sz w:val="24"/>
          <w:szCs w:val="24"/>
        </w:rPr>
        <w:t>, 2020</w:t>
      </w:r>
      <w:r w:rsidR="00E50413">
        <w:rPr>
          <w:rFonts w:ascii="Times New Roman" w:hAnsi="Times New Roman" w:cs="Times New Roman"/>
          <w:sz w:val="24"/>
          <w:szCs w:val="24"/>
        </w:rPr>
        <w:t xml:space="preserve">). </w:t>
      </w:r>
      <w:r w:rsidR="00753851">
        <w:rPr>
          <w:rFonts w:ascii="Times New Roman" w:hAnsi="Times New Roman" w:cs="Times New Roman"/>
          <w:sz w:val="24"/>
          <w:szCs w:val="24"/>
        </w:rPr>
        <w:t>T</w:t>
      </w:r>
      <w:r w:rsidR="00264C45">
        <w:rPr>
          <w:rFonts w:ascii="Times New Roman" w:hAnsi="Times New Roman" w:cs="Times New Roman"/>
          <w:sz w:val="24"/>
          <w:szCs w:val="24"/>
        </w:rPr>
        <w:t xml:space="preserve">he model could help implementers in articulating readiness for change within a population </w:t>
      </w:r>
      <w:r w:rsidR="00DE1C4B">
        <w:rPr>
          <w:rFonts w:ascii="Times New Roman" w:hAnsi="Times New Roman" w:cs="Times New Roman"/>
          <w:sz w:val="24"/>
          <w:szCs w:val="24"/>
        </w:rPr>
        <w:t>and use the information to evaluate and counter barriers to diffusion</w:t>
      </w:r>
      <w:r w:rsidR="00753851">
        <w:rPr>
          <w:rFonts w:ascii="Times New Roman" w:hAnsi="Times New Roman" w:cs="Times New Roman"/>
          <w:sz w:val="24"/>
          <w:szCs w:val="24"/>
        </w:rPr>
        <w:t xml:space="preserve"> (</w:t>
      </w:r>
      <w:proofErr w:type="spellStart"/>
      <w:r w:rsidR="003E2B75">
        <w:rPr>
          <w:rFonts w:ascii="Times New Roman" w:hAnsi="Times New Roman" w:cs="Times New Roman"/>
          <w:sz w:val="24"/>
          <w:szCs w:val="24"/>
        </w:rPr>
        <w:t>McIsaac</w:t>
      </w:r>
      <w:proofErr w:type="spellEnd"/>
      <w:r w:rsidR="003E2B75">
        <w:rPr>
          <w:rFonts w:ascii="Times New Roman" w:hAnsi="Times New Roman" w:cs="Times New Roman"/>
          <w:sz w:val="24"/>
          <w:szCs w:val="24"/>
        </w:rPr>
        <w:t xml:space="preserve"> et al., 2018</w:t>
      </w:r>
      <w:r w:rsidR="00753851">
        <w:rPr>
          <w:rFonts w:ascii="Times New Roman" w:hAnsi="Times New Roman" w:cs="Times New Roman"/>
          <w:sz w:val="24"/>
          <w:szCs w:val="24"/>
        </w:rPr>
        <w:t>)</w:t>
      </w:r>
      <w:r w:rsidR="00DE1C4B">
        <w:rPr>
          <w:rFonts w:ascii="Times New Roman" w:hAnsi="Times New Roman" w:cs="Times New Roman"/>
          <w:sz w:val="24"/>
          <w:szCs w:val="24"/>
        </w:rPr>
        <w:t xml:space="preserve">. </w:t>
      </w:r>
      <w:r w:rsidR="00753851">
        <w:rPr>
          <w:rFonts w:ascii="Times New Roman" w:hAnsi="Times New Roman" w:cs="Times New Roman"/>
          <w:sz w:val="24"/>
          <w:szCs w:val="24"/>
        </w:rPr>
        <w:t>Consistent with</w:t>
      </w:r>
      <w:r w:rsidR="00AC57F8">
        <w:rPr>
          <w:rFonts w:ascii="Times New Roman" w:hAnsi="Times New Roman" w:cs="Times New Roman"/>
          <w:sz w:val="24"/>
          <w:szCs w:val="24"/>
        </w:rPr>
        <w:t xml:space="preserve"> </w:t>
      </w:r>
      <w:proofErr w:type="spellStart"/>
      <w:r w:rsidR="00AC57F8">
        <w:rPr>
          <w:rFonts w:ascii="Times New Roman" w:hAnsi="Times New Roman" w:cs="Times New Roman"/>
          <w:sz w:val="24"/>
          <w:szCs w:val="24"/>
        </w:rPr>
        <w:t>Siniscalchi</w:t>
      </w:r>
      <w:proofErr w:type="spellEnd"/>
      <w:r w:rsidR="00AC57F8">
        <w:rPr>
          <w:rFonts w:ascii="Times New Roman" w:hAnsi="Times New Roman" w:cs="Times New Roman"/>
          <w:sz w:val="24"/>
          <w:szCs w:val="24"/>
        </w:rPr>
        <w:t xml:space="preserve"> et al. (2020)</w:t>
      </w:r>
      <w:r w:rsidR="00753851">
        <w:rPr>
          <w:rFonts w:ascii="Times New Roman" w:hAnsi="Times New Roman" w:cs="Times New Roman"/>
          <w:sz w:val="24"/>
          <w:szCs w:val="24"/>
        </w:rPr>
        <w:t>, t</w:t>
      </w:r>
      <w:r w:rsidR="00DE1C4B">
        <w:rPr>
          <w:rFonts w:ascii="Times New Roman" w:hAnsi="Times New Roman" w:cs="Times New Roman"/>
          <w:sz w:val="24"/>
          <w:szCs w:val="24"/>
        </w:rPr>
        <w:t xml:space="preserve">he theory </w:t>
      </w:r>
      <w:r w:rsidR="00E24C43">
        <w:rPr>
          <w:rFonts w:ascii="Times New Roman" w:hAnsi="Times New Roman" w:cs="Times New Roman"/>
          <w:sz w:val="24"/>
          <w:szCs w:val="24"/>
        </w:rPr>
        <w:t xml:space="preserve">could inform the </w:t>
      </w:r>
      <w:r w:rsidR="00753851">
        <w:rPr>
          <w:rFonts w:ascii="Times New Roman" w:hAnsi="Times New Roman" w:cs="Times New Roman"/>
          <w:sz w:val="24"/>
          <w:szCs w:val="24"/>
        </w:rPr>
        <w:t>integration of</w:t>
      </w:r>
      <w:r w:rsidR="00E24C43">
        <w:rPr>
          <w:rFonts w:ascii="Times New Roman" w:hAnsi="Times New Roman" w:cs="Times New Roman"/>
          <w:sz w:val="24"/>
          <w:szCs w:val="24"/>
        </w:rPr>
        <w:t xml:space="preserve"> the portal-based screening programs in organization’s systems by enabling the identification of barriers and facilitators. </w:t>
      </w:r>
      <w:r w:rsidR="00A1287A">
        <w:rPr>
          <w:rFonts w:ascii="Times New Roman" w:hAnsi="Times New Roman" w:cs="Times New Roman"/>
          <w:sz w:val="24"/>
          <w:szCs w:val="24"/>
        </w:rPr>
        <w:t xml:space="preserve">Indeed, </w:t>
      </w:r>
      <w:r w:rsidR="00A81460">
        <w:rPr>
          <w:rFonts w:ascii="Times New Roman" w:hAnsi="Times New Roman" w:cs="Times New Roman"/>
          <w:sz w:val="24"/>
          <w:szCs w:val="24"/>
        </w:rPr>
        <w:t>previous studies focused on depression screening have applied the theory, with clinicians finding technology as acceptable and feasible in ensuring universal screening (</w:t>
      </w:r>
      <w:r w:rsidR="00AC57F8">
        <w:rPr>
          <w:rFonts w:ascii="Times New Roman" w:hAnsi="Times New Roman" w:cs="Times New Roman"/>
          <w:sz w:val="24"/>
          <w:szCs w:val="24"/>
        </w:rPr>
        <w:t>Last et al., 2021</w:t>
      </w:r>
      <w:r w:rsidR="00A81460">
        <w:rPr>
          <w:rFonts w:ascii="Times New Roman" w:hAnsi="Times New Roman" w:cs="Times New Roman"/>
          <w:sz w:val="24"/>
          <w:szCs w:val="24"/>
        </w:rPr>
        <w:t xml:space="preserve">). </w:t>
      </w:r>
      <w:r w:rsidR="00124811">
        <w:rPr>
          <w:rFonts w:ascii="Times New Roman" w:hAnsi="Times New Roman" w:cs="Times New Roman"/>
          <w:sz w:val="24"/>
          <w:szCs w:val="24"/>
        </w:rPr>
        <w:t xml:space="preserve">The model allows the integration of stakeholders across the project continuum. For example, the identification of the population’s readiness to adopt the innovation would require collaborative efforts among different stakeholders. In addition, </w:t>
      </w:r>
      <w:r w:rsidR="007957CE">
        <w:rPr>
          <w:rFonts w:ascii="Times New Roman" w:hAnsi="Times New Roman" w:cs="Times New Roman"/>
          <w:sz w:val="24"/>
          <w:szCs w:val="24"/>
        </w:rPr>
        <w:t xml:space="preserve">different stakeholders would be required in designing, integrating, testing, and rolling out the intervention to allow its spread. </w:t>
      </w:r>
    </w:p>
    <w:p w:rsidR="00B6193F" w:rsidRDefault="00B6193F" w:rsidP="00B6193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Location of the Intervention in the Minnesota Public Health Wheel</w:t>
      </w:r>
    </w:p>
    <w:p w:rsidR="00B6193F" w:rsidRDefault="00B6193F" w:rsidP="00B6193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C70162">
        <w:rPr>
          <w:rFonts w:ascii="Times New Roman" w:hAnsi="Times New Roman" w:cs="Times New Roman"/>
          <w:sz w:val="24"/>
          <w:szCs w:val="24"/>
        </w:rPr>
        <w:t>identified in</w:t>
      </w:r>
      <w:r>
        <w:rPr>
          <w:rFonts w:ascii="Times New Roman" w:hAnsi="Times New Roman" w:cs="Times New Roman"/>
          <w:sz w:val="24"/>
          <w:szCs w:val="24"/>
        </w:rPr>
        <w:t>te</w:t>
      </w:r>
      <w:r w:rsidR="005F7129">
        <w:rPr>
          <w:rFonts w:ascii="Times New Roman" w:hAnsi="Times New Roman" w:cs="Times New Roman"/>
          <w:sz w:val="24"/>
          <w:szCs w:val="24"/>
        </w:rPr>
        <w:t xml:space="preserve">rvention </w:t>
      </w:r>
      <w:proofErr w:type="gramStart"/>
      <w:r w:rsidR="00C70162">
        <w:rPr>
          <w:rFonts w:ascii="Times New Roman" w:hAnsi="Times New Roman" w:cs="Times New Roman"/>
          <w:sz w:val="24"/>
          <w:szCs w:val="24"/>
        </w:rPr>
        <w:t>can be categorized</w:t>
      </w:r>
      <w:proofErr w:type="gramEnd"/>
      <w:r w:rsidR="00C70162">
        <w:rPr>
          <w:rFonts w:ascii="Times New Roman" w:hAnsi="Times New Roman" w:cs="Times New Roman"/>
          <w:sz w:val="24"/>
          <w:szCs w:val="24"/>
        </w:rPr>
        <w:t xml:space="preserve"> among</w:t>
      </w:r>
      <w:r w:rsidR="005F7129">
        <w:rPr>
          <w:rFonts w:ascii="Times New Roman" w:hAnsi="Times New Roman" w:cs="Times New Roman"/>
          <w:sz w:val="24"/>
          <w:szCs w:val="24"/>
        </w:rPr>
        <w:t xml:space="preserve"> community-focused population-based practices in the Minnesota Public Health Wheel. </w:t>
      </w:r>
      <w:r w:rsidR="00843667">
        <w:rPr>
          <w:rFonts w:ascii="Times New Roman" w:hAnsi="Times New Roman" w:cs="Times New Roman"/>
          <w:sz w:val="24"/>
          <w:szCs w:val="24"/>
        </w:rPr>
        <w:t>The interventions focus on changing community norms, attitudes, behaviors, practices, and awareness</w:t>
      </w:r>
      <w:r w:rsidR="00C11BC3">
        <w:rPr>
          <w:rFonts w:ascii="Times New Roman" w:hAnsi="Times New Roman" w:cs="Times New Roman"/>
          <w:sz w:val="24"/>
          <w:szCs w:val="24"/>
        </w:rPr>
        <w:t xml:space="preserve"> (Minnesota Department of Health, 2019). </w:t>
      </w:r>
      <w:r w:rsidR="008514AA">
        <w:rPr>
          <w:rFonts w:ascii="Times New Roman" w:hAnsi="Times New Roman" w:cs="Times New Roman"/>
          <w:sz w:val="24"/>
          <w:szCs w:val="24"/>
        </w:rPr>
        <w:t>The intervention aligns with Red Wedge nursing practices that include surveillance, outreach, screening, and disease or health event investigation (</w:t>
      </w:r>
      <w:r w:rsidR="00124E23">
        <w:rPr>
          <w:rFonts w:ascii="Times New Roman" w:hAnsi="Times New Roman" w:cs="Times New Roman"/>
          <w:sz w:val="24"/>
          <w:szCs w:val="24"/>
        </w:rPr>
        <w:t>Minnesota Department of Health, 2019</w:t>
      </w:r>
      <w:r w:rsidR="00124E23">
        <w:rPr>
          <w:rFonts w:ascii="Times New Roman" w:hAnsi="Times New Roman" w:cs="Times New Roman"/>
          <w:sz w:val="24"/>
          <w:szCs w:val="24"/>
        </w:rPr>
        <w:t xml:space="preserve">; Schaffer et al., 2021). </w:t>
      </w:r>
      <w:r w:rsidR="00EF46E3">
        <w:rPr>
          <w:rFonts w:ascii="Times New Roman" w:hAnsi="Times New Roman" w:cs="Times New Roman"/>
          <w:sz w:val="24"/>
          <w:szCs w:val="24"/>
        </w:rPr>
        <w:t>Specifically, the portal-based dep</w:t>
      </w:r>
      <w:r w:rsidR="00423D47">
        <w:rPr>
          <w:rFonts w:ascii="Times New Roman" w:hAnsi="Times New Roman" w:cs="Times New Roman"/>
          <w:sz w:val="24"/>
          <w:szCs w:val="24"/>
        </w:rPr>
        <w:t>ression-</w:t>
      </w:r>
      <w:r w:rsidR="00423D47">
        <w:rPr>
          <w:rFonts w:ascii="Times New Roman" w:hAnsi="Times New Roman" w:cs="Times New Roman"/>
          <w:sz w:val="24"/>
          <w:szCs w:val="24"/>
        </w:rPr>
        <w:lastRenderedPageBreak/>
        <w:t xml:space="preserve">screening program could </w:t>
      </w:r>
      <w:r w:rsidR="00EF46E3">
        <w:rPr>
          <w:rFonts w:ascii="Times New Roman" w:hAnsi="Times New Roman" w:cs="Times New Roman"/>
          <w:sz w:val="24"/>
          <w:szCs w:val="24"/>
        </w:rPr>
        <w:t>enhance the</w:t>
      </w:r>
      <w:r w:rsidR="00423D47">
        <w:rPr>
          <w:rFonts w:ascii="Times New Roman" w:hAnsi="Times New Roman" w:cs="Times New Roman"/>
          <w:sz w:val="24"/>
          <w:szCs w:val="24"/>
        </w:rPr>
        <w:t xml:space="preserve"> dissemination of information about depression screening and treatment services, identify people with undetected depression, and locate high-risk individuals within the population.</w:t>
      </w:r>
    </w:p>
    <w:p w:rsidR="00423D47" w:rsidRDefault="00423D47" w:rsidP="00423D4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rsidR="00AD2EFC" w:rsidRDefault="00AD2EFC" w:rsidP="00AD2EFC">
      <w:pPr>
        <w:spacing w:after="0" w:line="480" w:lineRule="auto"/>
        <w:ind w:left="720" w:hanging="720"/>
        <w:rPr>
          <w:rFonts w:ascii="Times New Roman" w:eastAsia="Times New Roman" w:hAnsi="Times New Roman" w:cs="Times New Roman"/>
          <w:sz w:val="24"/>
          <w:szCs w:val="24"/>
        </w:rPr>
      </w:pPr>
      <w:bookmarkStart w:id="0" w:name="_GoBack"/>
      <w:r w:rsidRPr="00A37746">
        <w:rPr>
          <w:rFonts w:ascii="Times New Roman" w:eastAsia="Times New Roman" w:hAnsi="Times New Roman" w:cs="Times New Roman"/>
          <w:sz w:val="24"/>
          <w:szCs w:val="24"/>
        </w:rPr>
        <w:t>Bailey, R. K., Patel, M., Barker, N.</w:t>
      </w:r>
      <w:r>
        <w:rPr>
          <w:rFonts w:ascii="Times New Roman" w:eastAsia="Times New Roman" w:hAnsi="Times New Roman" w:cs="Times New Roman"/>
          <w:sz w:val="24"/>
          <w:szCs w:val="24"/>
        </w:rPr>
        <w:t xml:space="preserve"> C., Ali, S., &amp; </w:t>
      </w:r>
      <w:proofErr w:type="spellStart"/>
      <w:r>
        <w:rPr>
          <w:rFonts w:ascii="Times New Roman" w:eastAsia="Times New Roman" w:hAnsi="Times New Roman" w:cs="Times New Roman"/>
          <w:sz w:val="24"/>
          <w:szCs w:val="24"/>
        </w:rPr>
        <w:t>Jabeen</w:t>
      </w:r>
      <w:proofErr w:type="spellEnd"/>
      <w:r>
        <w:rPr>
          <w:rFonts w:ascii="Times New Roman" w:eastAsia="Times New Roman" w:hAnsi="Times New Roman" w:cs="Times New Roman"/>
          <w:sz w:val="24"/>
          <w:szCs w:val="24"/>
        </w:rPr>
        <w:t>, S. (2019</w:t>
      </w:r>
      <w:r w:rsidRPr="00A37746">
        <w:rPr>
          <w:rFonts w:ascii="Times New Roman" w:eastAsia="Times New Roman" w:hAnsi="Times New Roman" w:cs="Times New Roman"/>
          <w:sz w:val="24"/>
          <w:szCs w:val="24"/>
        </w:rPr>
        <w:t xml:space="preserve">). Major depressive disorder in the African American population. </w:t>
      </w:r>
      <w:r w:rsidRPr="00A37746">
        <w:rPr>
          <w:rFonts w:ascii="Times New Roman" w:eastAsia="Times New Roman" w:hAnsi="Times New Roman" w:cs="Times New Roman"/>
          <w:i/>
          <w:iCs/>
          <w:sz w:val="24"/>
          <w:szCs w:val="24"/>
        </w:rPr>
        <w:t>Journal of the National Medical Association</w:t>
      </w:r>
      <w:r w:rsidRPr="00A37746">
        <w:rPr>
          <w:rFonts w:ascii="Times New Roman" w:eastAsia="Times New Roman" w:hAnsi="Times New Roman" w:cs="Times New Roman"/>
          <w:sz w:val="24"/>
          <w:szCs w:val="24"/>
        </w:rPr>
        <w:t xml:space="preserve">, </w:t>
      </w:r>
      <w:r w:rsidRPr="00A37746">
        <w:rPr>
          <w:rFonts w:ascii="Times New Roman" w:eastAsia="Times New Roman" w:hAnsi="Times New Roman" w:cs="Times New Roman"/>
          <w:i/>
          <w:iCs/>
          <w:sz w:val="24"/>
          <w:szCs w:val="24"/>
        </w:rPr>
        <w:t>103</w:t>
      </w:r>
      <w:r w:rsidRPr="00A37746">
        <w:rPr>
          <w:rFonts w:ascii="Times New Roman" w:eastAsia="Times New Roman" w:hAnsi="Times New Roman" w:cs="Times New Roman"/>
          <w:sz w:val="24"/>
          <w:szCs w:val="24"/>
        </w:rPr>
        <w:t xml:space="preserve">(7), 548–557. </w:t>
      </w:r>
      <w:hyperlink r:id="rId5" w:history="1">
        <w:r w:rsidRPr="00E129F8">
          <w:rPr>
            <w:rStyle w:val="Hyperlink"/>
            <w:rFonts w:ascii="Times New Roman" w:eastAsia="Times New Roman" w:hAnsi="Times New Roman" w:cs="Times New Roman"/>
            <w:sz w:val="24"/>
            <w:szCs w:val="24"/>
          </w:rPr>
          <w:t>https://doi.org/10.1016/s0027-9684(15)30380-1</w:t>
        </w:r>
      </w:hyperlink>
      <w:r>
        <w:rPr>
          <w:rFonts w:ascii="Times New Roman" w:eastAsia="Times New Roman" w:hAnsi="Times New Roman" w:cs="Times New Roman"/>
          <w:sz w:val="24"/>
          <w:szCs w:val="24"/>
        </w:rPr>
        <w:t xml:space="preserve"> </w:t>
      </w:r>
    </w:p>
    <w:p w:rsidR="00AD2EFC" w:rsidRDefault="00AD2EFC" w:rsidP="00AD2EFC">
      <w:pPr>
        <w:spacing w:after="0" w:line="480" w:lineRule="auto"/>
        <w:ind w:left="720" w:hanging="720"/>
        <w:rPr>
          <w:rFonts w:ascii="Times New Roman" w:eastAsia="Times New Roman" w:hAnsi="Times New Roman" w:cs="Times New Roman"/>
          <w:sz w:val="24"/>
          <w:szCs w:val="24"/>
        </w:rPr>
      </w:pPr>
      <w:r w:rsidRPr="003E2B75">
        <w:rPr>
          <w:rFonts w:ascii="Times New Roman" w:eastAsia="Times New Roman" w:hAnsi="Times New Roman" w:cs="Times New Roman"/>
          <w:sz w:val="24"/>
          <w:szCs w:val="24"/>
        </w:rPr>
        <w:t xml:space="preserve">Dearing, J. W., &amp; </w:t>
      </w:r>
      <w:proofErr w:type="spellStart"/>
      <w:r w:rsidRPr="003E2B75">
        <w:rPr>
          <w:rFonts w:ascii="Times New Roman" w:eastAsia="Times New Roman" w:hAnsi="Times New Roman" w:cs="Times New Roman"/>
          <w:sz w:val="24"/>
          <w:szCs w:val="24"/>
        </w:rPr>
        <w:t>Singhal</w:t>
      </w:r>
      <w:proofErr w:type="spellEnd"/>
      <w:r w:rsidRPr="003E2B75">
        <w:rPr>
          <w:rFonts w:ascii="Times New Roman" w:eastAsia="Times New Roman" w:hAnsi="Times New Roman" w:cs="Times New Roman"/>
          <w:sz w:val="24"/>
          <w:szCs w:val="24"/>
        </w:rPr>
        <w:t xml:space="preserve">, A. (2020). New directions for diffusion of innovations research: Dissemination, implementation, and positive deviance. </w:t>
      </w:r>
      <w:r w:rsidRPr="003E2B75">
        <w:rPr>
          <w:rFonts w:ascii="Times New Roman" w:eastAsia="Times New Roman" w:hAnsi="Times New Roman" w:cs="Times New Roman"/>
          <w:i/>
          <w:iCs/>
          <w:sz w:val="24"/>
          <w:szCs w:val="24"/>
        </w:rPr>
        <w:t>Human Behavior and Emerging Technologies</w:t>
      </w:r>
      <w:r w:rsidRPr="003E2B75">
        <w:rPr>
          <w:rFonts w:ascii="Times New Roman" w:eastAsia="Times New Roman" w:hAnsi="Times New Roman" w:cs="Times New Roman"/>
          <w:sz w:val="24"/>
          <w:szCs w:val="24"/>
        </w:rPr>
        <w:t xml:space="preserve">, </w:t>
      </w:r>
      <w:r w:rsidRPr="003E2B75">
        <w:rPr>
          <w:rFonts w:ascii="Times New Roman" w:eastAsia="Times New Roman" w:hAnsi="Times New Roman" w:cs="Times New Roman"/>
          <w:i/>
          <w:iCs/>
          <w:sz w:val="24"/>
          <w:szCs w:val="24"/>
        </w:rPr>
        <w:t>2</w:t>
      </w:r>
      <w:r w:rsidRPr="003E2B75">
        <w:rPr>
          <w:rFonts w:ascii="Times New Roman" w:eastAsia="Times New Roman" w:hAnsi="Times New Roman" w:cs="Times New Roman"/>
          <w:sz w:val="24"/>
          <w:szCs w:val="24"/>
        </w:rPr>
        <w:t>(4), 307-313.</w:t>
      </w:r>
      <w:r>
        <w:rPr>
          <w:rFonts w:ascii="Times New Roman" w:eastAsia="Times New Roman" w:hAnsi="Times New Roman" w:cs="Times New Roman"/>
          <w:sz w:val="24"/>
          <w:szCs w:val="24"/>
        </w:rPr>
        <w:t xml:space="preserve"> </w:t>
      </w:r>
      <w:hyperlink r:id="rId6" w:history="1">
        <w:r w:rsidRPr="00E129F8">
          <w:rPr>
            <w:rStyle w:val="Hyperlink"/>
            <w:rFonts w:ascii="Times New Roman" w:eastAsia="Times New Roman" w:hAnsi="Times New Roman" w:cs="Times New Roman"/>
            <w:sz w:val="24"/>
            <w:szCs w:val="24"/>
          </w:rPr>
          <w:t>https://doi.org/10.1002/hbe2.216</w:t>
        </w:r>
      </w:hyperlink>
      <w:r>
        <w:rPr>
          <w:rFonts w:ascii="Times New Roman" w:eastAsia="Times New Roman" w:hAnsi="Times New Roman" w:cs="Times New Roman"/>
          <w:sz w:val="24"/>
          <w:szCs w:val="24"/>
        </w:rPr>
        <w:t xml:space="preserve"> </w:t>
      </w:r>
    </w:p>
    <w:p w:rsidR="00AD2EFC" w:rsidRDefault="00AD2EFC" w:rsidP="00AD2EFC">
      <w:pPr>
        <w:spacing w:after="0" w:line="480" w:lineRule="auto"/>
        <w:ind w:left="720" w:hanging="720"/>
        <w:rPr>
          <w:rFonts w:ascii="Times New Roman" w:eastAsia="Times New Roman" w:hAnsi="Times New Roman" w:cs="Times New Roman"/>
          <w:sz w:val="24"/>
          <w:szCs w:val="24"/>
        </w:rPr>
      </w:pPr>
      <w:r w:rsidRPr="00C64690">
        <w:rPr>
          <w:rFonts w:ascii="Times New Roman" w:eastAsia="Times New Roman" w:hAnsi="Times New Roman" w:cs="Times New Roman"/>
          <w:sz w:val="24"/>
          <w:szCs w:val="24"/>
        </w:rPr>
        <w:t xml:space="preserve">Franco, M. I., </w:t>
      </w:r>
      <w:proofErr w:type="spellStart"/>
      <w:r w:rsidRPr="00C64690">
        <w:rPr>
          <w:rFonts w:ascii="Times New Roman" w:eastAsia="Times New Roman" w:hAnsi="Times New Roman" w:cs="Times New Roman"/>
          <w:sz w:val="24"/>
          <w:szCs w:val="24"/>
        </w:rPr>
        <w:t>Staab</w:t>
      </w:r>
      <w:proofErr w:type="spellEnd"/>
      <w:r w:rsidRPr="00C64690">
        <w:rPr>
          <w:rFonts w:ascii="Times New Roman" w:eastAsia="Times New Roman" w:hAnsi="Times New Roman" w:cs="Times New Roman"/>
          <w:sz w:val="24"/>
          <w:szCs w:val="24"/>
        </w:rPr>
        <w:t xml:space="preserve">, E. M., Zhu, M., Knitter, A., Wan, W., Gibbons, R., Vinci, L., Shah, S., </w:t>
      </w:r>
      <w:proofErr w:type="spellStart"/>
      <w:r w:rsidRPr="00C64690">
        <w:rPr>
          <w:rFonts w:ascii="Times New Roman" w:eastAsia="Times New Roman" w:hAnsi="Times New Roman" w:cs="Times New Roman"/>
          <w:sz w:val="24"/>
          <w:szCs w:val="24"/>
        </w:rPr>
        <w:t>Yohanna</w:t>
      </w:r>
      <w:proofErr w:type="spellEnd"/>
      <w:r w:rsidRPr="00C64690">
        <w:rPr>
          <w:rFonts w:ascii="Times New Roman" w:eastAsia="Times New Roman" w:hAnsi="Times New Roman" w:cs="Times New Roman"/>
          <w:sz w:val="24"/>
          <w:szCs w:val="24"/>
        </w:rPr>
        <w:t xml:space="preserve">, D., Beckman, N., &amp; </w:t>
      </w:r>
      <w:proofErr w:type="spellStart"/>
      <w:r w:rsidRPr="00C64690">
        <w:rPr>
          <w:rFonts w:ascii="Times New Roman" w:eastAsia="Times New Roman" w:hAnsi="Times New Roman" w:cs="Times New Roman"/>
          <w:sz w:val="24"/>
          <w:szCs w:val="24"/>
        </w:rPr>
        <w:t>Laiteerapong</w:t>
      </w:r>
      <w:proofErr w:type="spellEnd"/>
      <w:r w:rsidRPr="00C64690">
        <w:rPr>
          <w:rFonts w:ascii="Times New Roman" w:eastAsia="Times New Roman" w:hAnsi="Times New Roman" w:cs="Times New Roman"/>
          <w:sz w:val="24"/>
          <w:szCs w:val="24"/>
        </w:rPr>
        <w:t xml:space="preserve">, N. (2023). Pragmatic clinical trial of population health, portal-based depression screening: the PORTAL-depression study. </w:t>
      </w:r>
      <w:r>
        <w:rPr>
          <w:rFonts w:ascii="Times New Roman" w:eastAsia="Times New Roman" w:hAnsi="Times New Roman" w:cs="Times New Roman"/>
          <w:i/>
          <w:iCs/>
          <w:sz w:val="24"/>
          <w:szCs w:val="24"/>
        </w:rPr>
        <w:t>Journal of G</w:t>
      </w:r>
      <w:r w:rsidRPr="00C64690">
        <w:rPr>
          <w:rFonts w:ascii="Times New Roman" w:eastAsia="Times New Roman" w:hAnsi="Times New Roman" w:cs="Times New Roman"/>
          <w:i/>
          <w:iCs/>
          <w:sz w:val="24"/>
          <w:szCs w:val="24"/>
        </w:rPr>
        <w:t xml:space="preserve">eneral </w:t>
      </w:r>
      <w:r>
        <w:rPr>
          <w:rFonts w:ascii="Times New Roman" w:eastAsia="Times New Roman" w:hAnsi="Times New Roman" w:cs="Times New Roman"/>
          <w:i/>
          <w:iCs/>
          <w:sz w:val="24"/>
          <w:szCs w:val="24"/>
        </w:rPr>
        <w:t>Internal M</w:t>
      </w:r>
      <w:r w:rsidRPr="00C64690">
        <w:rPr>
          <w:rFonts w:ascii="Times New Roman" w:eastAsia="Times New Roman" w:hAnsi="Times New Roman" w:cs="Times New Roman"/>
          <w:i/>
          <w:iCs/>
          <w:sz w:val="24"/>
          <w:szCs w:val="24"/>
        </w:rPr>
        <w:t>edicine</w:t>
      </w:r>
      <w:r w:rsidRPr="00C64690">
        <w:rPr>
          <w:rFonts w:ascii="Times New Roman" w:eastAsia="Times New Roman" w:hAnsi="Times New Roman" w:cs="Times New Roman"/>
          <w:sz w:val="24"/>
          <w:szCs w:val="24"/>
        </w:rPr>
        <w:t xml:space="preserve">, </w:t>
      </w:r>
      <w:r w:rsidRPr="00C64690">
        <w:rPr>
          <w:rFonts w:ascii="Times New Roman" w:eastAsia="Times New Roman" w:hAnsi="Times New Roman" w:cs="Times New Roman"/>
          <w:i/>
          <w:iCs/>
          <w:sz w:val="24"/>
          <w:szCs w:val="24"/>
        </w:rPr>
        <w:t>38</w:t>
      </w:r>
      <w:r w:rsidRPr="00C64690">
        <w:rPr>
          <w:rFonts w:ascii="Times New Roman" w:eastAsia="Times New Roman" w:hAnsi="Times New Roman" w:cs="Times New Roman"/>
          <w:sz w:val="24"/>
          <w:szCs w:val="24"/>
        </w:rPr>
        <w:t xml:space="preserve">(4), 857–864. </w:t>
      </w:r>
      <w:hyperlink r:id="rId7" w:history="1">
        <w:r w:rsidRPr="00E129F8">
          <w:rPr>
            <w:rStyle w:val="Hyperlink"/>
            <w:rFonts w:ascii="Times New Roman" w:eastAsia="Times New Roman" w:hAnsi="Times New Roman" w:cs="Times New Roman"/>
            <w:sz w:val="24"/>
            <w:szCs w:val="24"/>
          </w:rPr>
          <w:t>https://doi.org/10.1007/s11606-022-07779-9</w:t>
        </w:r>
      </w:hyperlink>
    </w:p>
    <w:p w:rsidR="00AD2EFC" w:rsidRDefault="00AD2EFC" w:rsidP="00AD2EFC">
      <w:pPr>
        <w:spacing w:after="0" w:line="480" w:lineRule="auto"/>
        <w:ind w:left="720" w:hanging="720"/>
        <w:rPr>
          <w:rFonts w:ascii="Times New Roman" w:eastAsia="Times New Roman" w:hAnsi="Times New Roman" w:cs="Times New Roman"/>
          <w:sz w:val="24"/>
          <w:szCs w:val="24"/>
        </w:rPr>
      </w:pPr>
      <w:r w:rsidRPr="00AC57F8">
        <w:rPr>
          <w:rFonts w:ascii="Times New Roman" w:eastAsia="Times New Roman" w:hAnsi="Times New Roman" w:cs="Times New Roman"/>
          <w:sz w:val="24"/>
          <w:szCs w:val="24"/>
        </w:rPr>
        <w:t xml:space="preserve">Last, B. S., </w:t>
      </w:r>
      <w:proofErr w:type="spellStart"/>
      <w:r w:rsidRPr="00AC57F8">
        <w:rPr>
          <w:rFonts w:ascii="Times New Roman" w:eastAsia="Times New Roman" w:hAnsi="Times New Roman" w:cs="Times New Roman"/>
          <w:sz w:val="24"/>
          <w:szCs w:val="24"/>
        </w:rPr>
        <w:t>Buttenheim</w:t>
      </w:r>
      <w:proofErr w:type="spellEnd"/>
      <w:r w:rsidRPr="00AC57F8">
        <w:rPr>
          <w:rFonts w:ascii="Times New Roman" w:eastAsia="Times New Roman" w:hAnsi="Times New Roman" w:cs="Times New Roman"/>
          <w:sz w:val="24"/>
          <w:szCs w:val="24"/>
        </w:rPr>
        <w:t xml:space="preserve">, A. M., </w:t>
      </w:r>
      <w:proofErr w:type="spellStart"/>
      <w:r w:rsidRPr="00AC57F8">
        <w:rPr>
          <w:rFonts w:ascii="Times New Roman" w:eastAsia="Times New Roman" w:hAnsi="Times New Roman" w:cs="Times New Roman"/>
          <w:sz w:val="24"/>
          <w:szCs w:val="24"/>
        </w:rPr>
        <w:t>Futterer</w:t>
      </w:r>
      <w:proofErr w:type="spellEnd"/>
      <w:r w:rsidRPr="00AC57F8">
        <w:rPr>
          <w:rFonts w:ascii="Times New Roman" w:eastAsia="Times New Roman" w:hAnsi="Times New Roman" w:cs="Times New Roman"/>
          <w:sz w:val="24"/>
          <w:szCs w:val="24"/>
        </w:rPr>
        <w:t xml:space="preserve">, A. C., </w:t>
      </w:r>
      <w:proofErr w:type="spellStart"/>
      <w:r w:rsidRPr="00AC57F8">
        <w:rPr>
          <w:rFonts w:ascii="Times New Roman" w:eastAsia="Times New Roman" w:hAnsi="Times New Roman" w:cs="Times New Roman"/>
          <w:sz w:val="24"/>
          <w:szCs w:val="24"/>
        </w:rPr>
        <w:t>Livesey</w:t>
      </w:r>
      <w:proofErr w:type="spellEnd"/>
      <w:r w:rsidRPr="00AC57F8">
        <w:rPr>
          <w:rFonts w:ascii="Times New Roman" w:eastAsia="Times New Roman" w:hAnsi="Times New Roman" w:cs="Times New Roman"/>
          <w:sz w:val="24"/>
          <w:szCs w:val="24"/>
        </w:rPr>
        <w:t xml:space="preserve">, C., Jaeger, J., Stewart, R. E., Reilly, M., Press, M. J., </w:t>
      </w:r>
      <w:proofErr w:type="spellStart"/>
      <w:r w:rsidRPr="00AC57F8">
        <w:rPr>
          <w:rFonts w:ascii="Times New Roman" w:eastAsia="Times New Roman" w:hAnsi="Times New Roman" w:cs="Times New Roman"/>
          <w:sz w:val="24"/>
          <w:szCs w:val="24"/>
        </w:rPr>
        <w:t>Peifer</w:t>
      </w:r>
      <w:proofErr w:type="spellEnd"/>
      <w:r w:rsidRPr="00AC57F8">
        <w:rPr>
          <w:rFonts w:ascii="Times New Roman" w:eastAsia="Times New Roman" w:hAnsi="Times New Roman" w:cs="Times New Roman"/>
          <w:sz w:val="24"/>
          <w:szCs w:val="24"/>
        </w:rPr>
        <w:t xml:space="preserve">, M., </w:t>
      </w:r>
      <w:proofErr w:type="spellStart"/>
      <w:r w:rsidRPr="00AC57F8">
        <w:rPr>
          <w:rFonts w:ascii="Times New Roman" w:eastAsia="Times New Roman" w:hAnsi="Times New Roman" w:cs="Times New Roman"/>
          <w:sz w:val="24"/>
          <w:szCs w:val="24"/>
        </w:rPr>
        <w:t>Wolk</w:t>
      </w:r>
      <w:proofErr w:type="spellEnd"/>
      <w:r w:rsidRPr="00AC57F8">
        <w:rPr>
          <w:rFonts w:ascii="Times New Roman" w:eastAsia="Times New Roman" w:hAnsi="Times New Roman" w:cs="Times New Roman"/>
          <w:sz w:val="24"/>
          <w:szCs w:val="24"/>
        </w:rPr>
        <w:t xml:space="preserve">, C. B., &amp; </w:t>
      </w:r>
      <w:proofErr w:type="spellStart"/>
      <w:r w:rsidRPr="00AC57F8">
        <w:rPr>
          <w:rFonts w:ascii="Times New Roman" w:eastAsia="Times New Roman" w:hAnsi="Times New Roman" w:cs="Times New Roman"/>
          <w:sz w:val="24"/>
          <w:szCs w:val="24"/>
        </w:rPr>
        <w:t>Beidas</w:t>
      </w:r>
      <w:proofErr w:type="spellEnd"/>
      <w:r w:rsidRPr="00AC57F8">
        <w:rPr>
          <w:rFonts w:ascii="Times New Roman" w:eastAsia="Times New Roman" w:hAnsi="Times New Roman" w:cs="Times New Roman"/>
          <w:sz w:val="24"/>
          <w:szCs w:val="24"/>
        </w:rPr>
        <w:t xml:space="preserve">, R. S. (2021). A pilot study of participatory and rapid implementation approaches to increase depression screening in primary care. </w:t>
      </w:r>
      <w:r w:rsidRPr="00AC57F8">
        <w:rPr>
          <w:rFonts w:ascii="Times New Roman" w:eastAsia="Times New Roman" w:hAnsi="Times New Roman" w:cs="Times New Roman"/>
          <w:i/>
          <w:iCs/>
          <w:sz w:val="24"/>
          <w:szCs w:val="24"/>
        </w:rPr>
        <w:t>BMC family practice</w:t>
      </w:r>
      <w:r w:rsidRPr="00AC57F8">
        <w:rPr>
          <w:rFonts w:ascii="Times New Roman" w:eastAsia="Times New Roman" w:hAnsi="Times New Roman" w:cs="Times New Roman"/>
          <w:sz w:val="24"/>
          <w:szCs w:val="24"/>
        </w:rPr>
        <w:t xml:space="preserve">, </w:t>
      </w:r>
      <w:r w:rsidRPr="00AC57F8">
        <w:rPr>
          <w:rFonts w:ascii="Times New Roman" w:eastAsia="Times New Roman" w:hAnsi="Times New Roman" w:cs="Times New Roman"/>
          <w:i/>
          <w:iCs/>
          <w:sz w:val="24"/>
          <w:szCs w:val="24"/>
        </w:rPr>
        <w:t>22</w:t>
      </w:r>
      <w:r w:rsidRPr="00AC57F8">
        <w:rPr>
          <w:rFonts w:ascii="Times New Roman" w:eastAsia="Times New Roman" w:hAnsi="Times New Roman" w:cs="Times New Roman"/>
          <w:sz w:val="24"/>
          <w:szCs w:val="24"/>
        </w:rPr>
        <w:t xml:space="preserve">(1), 228. </w:t>
      </w:r>
      <w:hyperlink r:id="rId8" w:history="1">
        <w:r w:rsidRPr="00E129F8">
          <w:rPr>
            <w:rStyle w:val="Hyperlink"/>
            <w:rFonts w:ascii="Times New Roman" w:eastAsia="Times New Roman" w:hAnsi="Times New Roman" w:cs="Times New Roman"/>
            <w:sz w:val="24"/>
            <w:szCs w:val="24"/>
          </w:rPr>
          <w:t>https://doi.org/10.1186/s12875-021-01550-5</w:t>
        </w:r>
      </w:hyperlink>
      <w:r>
        <w:rPr>
          <w:rFonts w:ascii="Times New Roman" w:eastAsia="Times New Roman" w:hAnsi="Times New Roman" w:cs="Times New Roman"/>
          <w:sz w:val="24"/>
          <w:szCs w:val="24"/>
        </w:rPr>
        <w:t xml:space="preserve"> </w:t>
      </w:r>
    </w:p>
    <w:p w:rsidR="00AD2EFC" w:rsidRDefault="00AD2EFC" w:rsidP="00AD2EFC">
      <w:pPr>
        <w:spacing w:after="0" w:line="480" w:lineRule="auto"/>
        <w:ind w:left="720" w:hanging="720"/>
        <w:rPr>
          <w:rFonts w:ascii="Times New Roman" w:eastAsia="Times New Roman" w:hAnsi="Times New Roman" w:cs="Times New Roman"/>
          <w:sz w:val="24"/>
          <w:szCs w:val="24"/>
        </w:rPr>
      </w:pPr>
      <w:proofErr w:type="spellStart"/>
      <w:r w:rsidRPr="003E2B75">
        <w:rPr>
          <w:rFonts w:ascii="Times New Roman" w:eastAsia="Times New Roman" w:hAnsi="Times New Roman" w:cs="Times New Roman"/>
          <w:sz w:val="24"/>
          <w:szCs w:val="24"/>
        </w:rPr>
        <w:t>McIsaac</w:t>
      </w:r>
      <w:proofErr w:type="spellEnd"/>
      <w:r w:rsidRPr="003E2B75">
        <w:rPr>
          <w:rFonts w:ascii="Times New Roman" w:eastAsia="Times New Roman" w:hAnsi="Times New Roman" w:cs="Times New Roman"/>
          <w:sz w:val="24"/>
          <w:szCs w:val="24"/>
        </w:rPr>
        <w:t xml:space="preserve">, J. L., Warner, G., Lawrence, L., Urquhart, R., Price, S., </w:t>
      </w:r>
      <w:proofErr w:type="spellStart"/>
      <w:r w:rsidRPr="003E2B75">
        <w:rPr>
          <w:rFonts w:ascii="Times New Roman" w:eastAsia="Times New Roman" w:hAnsi="Times New Roman" w:cs="Times New Roman"/>
          <w:sz w:val="24"/>
          <w:szCs w:val="24"/>
        </w:rPr>
        <w:t>Gahagan</w:t>
      </w:r>
      <w:proofErr w:type="spellEnd"/>
      <w:r w:rsidRPr="003E2B75">
        <w:rPr>
          <w:rFonts w:ascii="Times New Roman" w:eastAsia="Times New Roman" w:hAnsi="Times New Roman" w:cs="Times New Roman"/>
          <w:sz w:val="24"/>
          <w:szCs w:val="24"/>
        </w:rPr>
        <w:t xml:space="preserve">, J., McNally, M., &amp; Jackson, L. A. (2018). The application of implementation science theories for population </w:t>
      </w:r>
      <w:r w:rsidRPr="003E2B75">
        <w:rPr>
          <w:rFonts w:ascii="Times New Roman" w:eastAsia="Times New Roman" w:hAnsi="Times New Roman" w:cs="Times New Roman"/>
          <w:sz w:val="24"/>
          <w:szCs w:val="24"/>
        </w:rPr>
        <w:lastRenderedPageBreak/>
        <w:t xml:space="preserve">health: A critical interpretive synthesis. </w:t>
      </w:r>
      <w:r w:rsidRPr="003E2B75">
        <w:rPr>
          <w:rFonts w:ascii="Times New Roman" w:eastAsia="Times New Roman" w:hAnsi="Times New Roman" w:cs="Times New Roman"/>
          <w:i/>
          <w:iCs/>
          <w:sz w:val="24"/>
          <w:szCs w:val="24"/>
        </w:rPr>
        <w:t>AIMS public health</w:t>
      </w:r>
      <w:r w:rsidRPr="003E2B75">
        <w:rPr>
          <w:rFonts w:ascii="Times New Roman" w:eastAsia="Times New Roman" w:hAnsi="Times New Roman" w:cs="Times New Roman"/>
          <w:sz w:val="24"/>
          <w:szCs w:val="24"/>
        </w:rPr>
        <w:t xml:space="preserve">, </w:t>
      </w:r>
      <w:r w:rsidRPr="003E2B75">
        <w:rPr>
          <w:rFonts w:ascii="Times New Roman" w:eastAsia="Times New Roman" w:hAnsi="Times New Roman" w:cs="Times New Roman"/>
          <w:i/>
          <w:iCs/>
          <w:sz w:val="24"/>
          <w:szCs w:val="24"/>
        </w:rPr>
        <w:t>5</w:t>
      </w:r>
      <w:r w:rsidRPr="003E2B75">
        <w:rPr>
          <w:rFonts w:ascii="Times New Roman" w:eastAsia="Times New Roman" w:hAnsi="Times New Roman" w:cs="Times New Roman"/>
          <w:sz w:val="24"/>
          <w:szCs w:val="24"/>
        </w:rPr>
        <w:t xml:space="preserve">(1), 13–30. </w:t>
      </w:r>
      <w:hyperlink r:id="rId9" w:history="1">
        <w:r w:rsidRPr="00E129F8">
          <w:rPr>
            <w:rStyle w:val="Hyperlink"/>
            <w:rFonts w:ascii="Times New Roman" w:eastAsia="Times New Roman" w:hAnsi="Times New Roman" w:cs="Times New Roman"/>
            <w:sz w:val="24"/>
            <w:szCs w:val="24"/>
          </w:rPr>
          <w:t>https://doi.org/10.3934/publichealth.2018.1.13</w:t>
        </w:r>
      </w:hyperlink>
      <w:r>
        <w:rPr>
          <w:rFonts w:ascii="Times New Roman" w:eastAsia="Times New Roman" w:hAnsi="Times New Roman" w:cs="Times New Roman"/>
          <w:sz w:val="24"/>
          <w:szCs w:val="24"/>
        </w:rPr>
        <w:t xml:space="preserve"> </w:t>
      </w:r>
    </w:p>
    <w:p w:rsidR="00AD2EFC" w:rsidRDefault="00AD2EFC" w:rsidP="00AD2EFC">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Minnesota Department of Health. (2019). </w:t>
      </w:r>
      <w:r>
        <w:rPr>
          <w:rFonts w:ascii="Times New Roman" w:eastAsia="Times New Roman" w:hAnsi="Times New Roman" w:cs="Times New Roman"/>
          <w:i/>
          <w:sz w:val="24"/>
          <w:szCs w:val="24"/>
        </w:rPr>
        <w:t xml:space="preserve">Public health interventions: Applications for public health nursing practice. </w:t>
      </w:r>
      <w:hyperlink r:id="rId10" w:history="1">
        <w:r w:rsidRPr="00E129F8">
          <w:rPr>
            <w:rStyle w:val="Hyperlink"/>
            <w:rFonts w:ascii="Times New Roman" w:eastAsia="Times New Roman" w:hAnsi="Times New Roman" w:cs="Times New Roman"/>
            <w:sz w:val="24"/>
            <w:szCs w:val="24"/>
          </w:rPr>
          <w:t>https://www.health.state.mn.us/communities/practices/research/phncouncil/docs/PHInterventions.pdf</w:t>
        </w:r>
      </w:hyperlink>
      <w:r>
        <w:rPr>
          <w:rFonts w:ascii="Times New Roman" w:eastAsia="Times New Roman" w:hAnsi="Times New Roman" w:cs="Times New Roman"/>
          <w:sz w:val="24"/>
          <w:szCs w:val="24"/>
        </w:rPr>
        <w:t xml:space="preserve"> </w:t>
      </w:r>
    </w:p>
    <w:p w:rsidR="00AD2EFC" w:rsidRDefault="00AD2EFC" w:rsidP="00AD2EFC">
      <w:pPr>
        <w:spacing w:after="0" w:line="480" w:lineRule="auto"/>
        <w:ind w:left="720" w:hanging="720"/>
        <w:rPr>
          <w:rFonts w:ascii="Times New Roman" w:eastAsia="Times New Roman" w:hAnsi="Times New Roman" w:cs="Times New Roman"/>
          <w:sz w:val="24"/>
          <w:szCs w:val="24"/>
        </w:rPr>
      </w:pPr>
      <w:r w:rsidRPr="00560171">
        <w:rPr>
          <w:rFonts w:ascii="Times New Roman" w:eastAsia="Times New Roman" w:hAnsi="Times New Roman" w:cs="Times New Roman"/>
          <w:sz w:val="24"/>
          <w:szCs w:val="24"/>
        </w:rPr>
        <w:t xml:space="preserve">Pederson A. B. (2023). Management of </w:t>
      </w:r>
      <w:r>
        <w:rPr>
          <w:rFonts w:ascii="Times New Roman" w:eastAsia="Times New Roman" w:hAnsi="Times New Roman" w:cs="Times New Roman"/>
          <w:sz w:val="24"/>
          <w:szCs w:val="24"/>
        </w:rPr>
        <w:t>d</w:t>
      </w:r>
      <w:r w:rsidRPr="00560171">
        <w:rPr>
          <w:rFonts w:ascii="Times New Roman" w:eastAsia="Times New Roman" w:hAnsi="Times New Roman" w:cs="Times New Roman"/>
          <w:sz w:val="24"/>
          <w:szCs w:val="24"/>
        </w:rPr>
        <w:t xml:space="preserve">epression in Black </w:t>
      </w:r>
      <w:r>
        <w:rPr>
          <w:rFonts w:ascii="Times New Roman" w:eastAsia="Times New Roman" w:hAnsi="Times New Roman" w:cs="Times New Roman"/>
          <w:sz w:val="24"/>
          <w:szCs w:val="24"/>
        </w:rPr>
        <w:t>p</w:t>
      </w:r>
      <w:r w:rsidRPr="00560171">
        <w:rPr>
          <w:rFonts w:ascii="Times New Roman" w:eastAsia="Times New Roman" w:hAnsi="Times New Roman" w:cs="Times New Roman"/>
          <w:sz w:val="24"/>
          <w:szCs w:val="24"/>
        </w:rPr>
        <w:t xml:space="preserve">eople: Effects of cultural issues. </w:t>
      </w:r>
      <w:r>
        <w:rPr>
          <w:rFonts w:ascii="Times New Roman" w:eastAsia="Times New Roman" w:hAnsi="Times New Roman" w:cs="Times New Roman"/>
          <w:i/>
          <w:iCs/>
          <w:sz w:val="24"/>
          <w:szCs w:val="24"/>
        </w:rPr>
        <w:t>Psychiatric A</w:t>
      </w:r>
      <w:r w:rsidRPr="00560171">
        <w:rPr>
          <w:rFonts w:ascii="Times New Roman" w:eastAsia="Times New Roman" w:hAnsi="Times New Roman" w:cs="Times New Roman"/>
          <w:i/>
          <w:iCs/>
          <w:sz w:val="24"/>
          <w:szCs w:val="24"/>
        </w:rPr>
        <w:t>nnals</w:t>
      </w:r>
      <w:r w:rsidRPr="00560171">
        <w:rPr>
          <w:rFonts w:ascii="Times New Roman" w:eastAsia="Times New Roman" w:hAnsi="Times New Roman" w:cs="Times New Roman"/>
          <w:sz w:val="24"/>
          <w:szCs w:val="24"/>
        </w:rPr>
        <w:t xml:space="preserve">, </w:t>
      </w:r>
      <w:r w:rsidRPr="00560171">
        <w:rPr>
          <w:rFonts w:ascii="Times New Roman" w:eastAsia="Times New Roman" w:hAnsi="Times New Roman" w:cs="Times New Roman"/>
          <w:i/>
          <w:iCs/>
          <w:sz w:val="24"/>
          <w:szCs w:val="24"/>
        </w:rPr>
        <w:t>53</w:t>
      </w:r>
      <w:r w:rsidRPr="00560171">
        <w:rPr>
          <w:rFonts w:ascii="Times New Roman" w:eastAsia="Times New Roman" w:hAnsi="Times New Roman" w:cs="Times New Roman"/>
          <w:sz w:val="24"/>
          <w:szCs w:val="24"/>
        </w:rPr>
        <w:t xml:space="preserve">(3), 122–125. </w:t>
      </w:r>
      <w:hyperlink r:id="rId11" w:history="1">
        <w:r w:rsidRPr="00E129F8">
          <w:rPr>
            <w:rStyle w:val="Hyperlink"/>
            <w:rFonts w:ascii="Times New Roman" w:eastAsia="Times New Roman" w:hAnsi="Times New Roman" w:cs="Times New Roman"/>
            <w:sz w:val="24"/>
            <w:szCs w:val="24"/>
          </w:rPr>
          <w:t>https://doi.org/10.3928/00485713-20230215-01</w:t>
        </w:r>
      </w:hyperlink>
      <w:r>
        <w:rPr>
          <w:rFonts w:ascii="Times New Roman" w:eastAsia="Times New Roman" w:hAnsi="Times New Roman" w:cs="Times New Roman"/>
          <w:sz w:val="24"/>
          <w:szCs w:val="24"/>
        </w:rPr>
        <w:t xml:space="preserve"> </w:t>
      </w:r>
    </w:p>
    <w:p w:rsidR="00AD2EFC" w:rsidRDefault="00AD2EFC" w:rsidP="00AD2EFC">
      <w:pPr>
        <w:spacing w:after="0" w:line="480" w:lineRule="auto"/>
        <w:ind w:left="720" w:hanging="720"/>
        <w:rPr>
          <w:rFonts w:ascii="Times New Roman" w:eastAsia="Times New Roman" w:hAnsi="Times New Roman" w:cs="Times New Roman"/>
          <w:sz w:val="24"/>
          <w:szCs w:val="24"/>
        </w:rPr>
      </w:pPr>
      <w:r w:rsidRPr="00560171">
        <w:rPr>
          <w:rFonts w:ascii="Times New Roman" w:eastAsia="Times New Roman" w:hAnsi="Times New Roman" w:cs="Times New Roman"/>
          <w:sz w:val="24"/>
          <w:szCs w:val="24"/>
        </w:rPr>
        <w:t xml:space="preserve">Randle, A. C., Spurlock, A. L., &amp; Kelley, S. (2019). Depression </w:t>
      </w:r>
      <w:r>
        <w:rPr>
          <w:rFonts w:ascii="Times New Roman" w:eastAsia="Times New Roman" w:hAnsi="Times New Roman" w:cs="Times New Roman"/>
          <w:sz w:val="24"/>
          <w:szCs w:val="24"/>
        </w:rPr>
        <w:t>s</w:t>
      </w:r>
      <w:r w:rsidRPr="00560171">
        <w:rPr>
          <w:rFonts w:ascii="Times New Roman" w:eastAsia="Times New Roman" w:hAnsi="Times New Roman" w:cs="Times New Roman"/>
          <w:sz w:val="24"/>
          <w:szCs w:val="24"/>
        </w:rPr>
        <w:t xml:space="preserve">creening </w:t>
      </w:r>
      <w:r>
        <w:rPr>
          <w:rFonts w:ascii="Times New Roman" w:eastAsia="Times New Roman" w:hAnsi="Times New Roman" w:cs="Times New Roman"/>
          <w:sz w:val="24"/>
          <w:szCs w:val="24"/>
        </w:rPr>
        <w:t>a</w:t>
      </w:r>
      <w:r w:rsidRPr="00560171">
        <w:rPr>
          <w:rFonts w:ascii="Times New Roman" w:eastAsia="Times New Roman" w:hAnsi="Times New Roman" w:cs="Times New Roman"/>
          <w:sz w:val="24"/>
          <w:szCs w:val="24"/>
        </w:rPr>
        <w:t xml:space="preserve">mong African American adults in the primary care setting. </w:t>
      </w:r>
      <w:r w:rsidRPr="00560171">
        <w:rPr>
          <w:rFonts w:ascii="Times New Roman" w:eastAsia="Times New Roman" w:hAnsi="Times New Roman" w:cs="Times New Roman"/>
          <w:i/>
          <w:iCs/>
          <w:sz w:val="24"/>
          <w:szCs w:val="24"/>
        </w:rPr>
        <w:t>Journal of psychosocial nursing and mental health services</w:t>
      </w:r>
      <w:r w:rsidRPr="00560171">
        <w:rPr>
          <w:rFonts w:ascii="Times New Roman" w:eastAsia="Times New Roman" w:hAnsi="Times New Roman" w:cs="Times New Roman"/>
          <w:sz w:val="24"/>
          <w:szCs w:val="24"/>
        </w:rPr>
        <w:t xml:space="preserve">, </w:t>
      </w:r>
      <w:r w:rsidRPr="00560171">
        <w:rPr>
          <w:rFonts w:ascii="Times New Roman" w:eastAsia="Times New Roman" w:hAnsi="Times New Roman" w:cs="Times New Roman"/>
          <w:i/>
          <w:iCs/>
          <w:sz w:val="24"/>
          <w:szCs w:val="24"/>
        </w:rPr>
        <w:t>57</w:t>
      </w:r>
      <w:r w:rsidRPr="00560171">
        <w:rPr>
          <w:rFonts w:ascii="Times New Roman" w:eastAsia="Times New Roman" w:hAnsi="Times New Roman" w:cs="Times New Roman"/>
          <w:sz w:val="24"/>
          <w:szCs w:val="24"/>
        </w:rPr>
        <w:t xml:space="preserve">(10), 18–23. </w:t>
      </w:r>
      <w:hyperlink r:id="rId12" w:history="1">
        <w:r w:rsidRPr="00E129F8">
          <w:rPr>
            <w:rStyle w:val="Hyperlink"/>
            <w:rFonts w:ascii="Times New Roman" w:eastAsia="Times New Roman" w:hAnsi="Times New Roman" w:cs="Times New Roman"/>
            <w:sz w:val="24"/>
            <w:szCs w:val="24"/>
          </w:rPr>
          <w:t>https://doi.org/10.3928/02793695-20190610-01</w:t>
        </w:r>
      </w:hyperlink>
      <w:r>
        <w:rPr>
          <w:rFonts w:ascii="Times New Roman" w:eastAsia="Times New Roman" w:hAnsi="Times New Roman" w:cs="Times New Roman"/>
          <w:sz w:val="24"/>
          <w:szCs w:val="24"/>
        </w:rPr>
        <w:t xml:space="preserve"> </w:t>
      </w:r>
    </w:p>
    <w:p w:rsidR="00AD2EFC" w:rsidRPr="00433CD7" w:rsidRDefault="00AD2EFC" w:rsidP="00AD2EFC">
      <w:pPr>
        <w:spacing w:after="0" w:line="480" w:lineRule="auto"/>
        <w:ind w:left="720" w:hanging="720"/>
        <w:rPr>
          <w:rFonts w:ascii="Times New Roman" w:hAnsi="Times New Roman" w:cs="Times New Roman"/>
          <w:sz w:val="24"/>
          <w:szCs w:val="24"/>
        </w:rPr>
      </w:pPr>
      <w:r w:rsidRPr="00433CD7">
        <w:rPr>
          <w:rFonts w:ascii="Times New Roman" w:hAnsi="Times New Roman" w:cs="Times New Roman"/>
          <w:color w:val="222222"/>
          <w:sz w:val="24"/>
          <w:szCs w:val="24"/>
          <w:shd w:val="clear" w:color="auto" w:fill="FFFFFF"/>
        </w:rPr>
        <w:t xml:space="preserve">Schaffer, M. A., </w:t>
      </w:r>
      <w:proofErr w:type="spellStart"/>
      <w:r w:rsidRPr="00433CD7">
        <w:rPr>
          <w:rFonts w:ascii="Times New Roman" w:hAnsi="Times New Roman" w:cs="Times New Roman"/>
          <w:color w:val="222222"/>
          <w:sz w:val="24"/>
          <w:szCs w:val="24"/>
          <w:shd w:val="clear" w:color="auto" w:fill="FFFFFF"/>
        </w:rPr>
        <w:t>Strohschein</w:t>
      </w:r>
      <w:proofErr w:type="spellEnd"/>
      <w:r w:rsidRPr="00433CD7">
        <w:rPr>
          <w:rFonts w:ascii="Times New Roman" w:hAnsi="Times New Roman" w:cs="Times New Roman"/>
          <w:color w:val="222222"/>
          <w:sz w:val="24"/>
          <w:szCs w:val="24"/>
          <w:shd w:val="clear" w:color="auto" w:fill="FFFFFF"/>
        </w:rPr>
        <w:t xml:space="preserve">, S., &amp; </w:t>
      </w:r>
      <w:proofErr w:type="spellStart"/>
      <w:r w:rsidRPr="00433CD7">
        <w:rPr>
          <w:rFonts w:ascii="Times New Roman" w:hAnsi="Times New Roman" w:cs="Times New Roman"/>
          <w:color w:val="222222"/>
          <w:sz w:val="24"/>
          <w:szCs w:val="24"/>
          <w:shd w:val="clear" w:color="auto" w:fill="FFFFFF"/>
        </w:rPr>
        <w:t>Glavin</w:t>
      </w:r>
      <w:proofErr w:type="spellEnd"/>
      <w:r w:rsidRPr="00433CD7">
        <w:rPr>
          <w:rFonts w:ascii="Times New Roman" w:hAnsi="Times New Roman" w:cs="Times New Roman"/>
          <w:color w:val="222222"/>
          <w:sz w:val="24"/>
          <w:szCs w:val="24"/>
          <w:shd w:val="clear" w:color="auto" w:fill="FFFFFF"/>
        </w:rPr>
        <w:t>, K. (2022). Twenty years with the public health intervention wheel: Evidence for practice. </w:t>
      </w:r>
      <w:r w:rsidRPr="00433CD7">
        <w:rPr>
          <w:rFonts w:ascii="Times New Roman" w:hAnsi="Times New Roman" w:cs="Times New Roman"/>
          <w:i/>
          <w:iCs/>
          <w:color w:val="222222"/>
          <w:sz w:val="24"/>
          <w:szCs w:val="24"/>
          <w:shd w:val="clear" w:color="auto" w:fill="FFFFFF"/>
        </w:rPr>
        <w:t>Public Health Nursing</w:t>
      </w:r>
      <w:r w:rsidRPr="00433CD7">
        <w:rPr>
          <w:rFonts w:ascii="Times New Roman" w:hAnsi="Times New Roman" w:cs="Times New Roman"/>
          <w:color w:val="222222"/>
          <w:sz w:val="24"/>
          <w:szCs w:val="24"/>
          <w:shd w:val="clear" w:color="auto" w:fill="FFFFFF"/>
        </w:rPr>
        <w:t>, </w:t>
      </w:r>
      <w:r w:rsidRPr="00433CD7">
        <w:rPr>
          <w:rFonts w:ascii="Times New Roman" w:hAnsi="Times New Roman" w:cs="Times New Roman"/>
          <w:i/>
          <w:iCs/>
          <w:color w:val="222222"/>
          <w:sz w:val="24"/>
          <w:szCs w:val="24"/>
          <w:shd w:val="clear" w:color="auto" w:fill="FFFFFF"/>
        </w:rPr>
        <w:t>39</w:t>
      </w:r>
      <w:r w:rsidRPr="00433CD7">
        <w:rPr>
          <w:rFonts w:ascii="Times New Roman" w:hAnsi="Times New Roman" w:cs="Times New Roman"/>
          <w:color w:val="222222"/>
          <w:sz w:val="24"/>
          <w:szCs w:val="24"/>
          <w:shd w:val="clear" w:color="auto" w:fill="FFFFFF"/>
        </w:rPr>
        <w:t xml:space="preserve">(1), 195-201. </w:t>
      </w:r>
      <w:hyperlink r:id="rId13" w:history="1">
        <w:r w:rsidRPr="00433CD7">
          <w:rPr>
            <w:rStyle w:val="Hyperlink"/>
            <w:rFonts w:ascii="Times New Roman" w:hAnsi="Times New Roman" w:cs="Times New Roman"/>
            <w:sz w:val="24"/>
            <w:szCs w:val="24"/>
            <w:shd w:val="clear" w:color="auto" w:fill="FFFFFF"/>
          </w:rPr>
          <w:t>https://doi.org/10.1111/phn.12941</w:t>
        </w:r>
      </w:hyperlink>
      <w:r w:rsidRPr="00433CD7">
        <w:rPr>
          <w:rFonts w:ascii="Times New Roman" w:hAnsi="Times New Roman" w:cs="Times New Roman"/>
          <w:color w:val="222222"/>
          <w:sz w:val="24"/>
          <w:szCs w:val="24"/>
          <w:shd w:val="clear" w:color="auto" w:fill="FFFFFF"/>
        </w:rPr>
        <w:t xml:space="preserve"> </w:t>
      </w:r>
    </w:p>
    <w:p w:rsidR="00AD2EFC" w:rsidRDefault="00AD2EFC" w:rsidP="00AD2EFC">
      <w:pPr>
        <w:spacing w:after="0" w:line="480" w:lineRule="auto"/>
        <w:ind w:left="720" w:hanging="720"/>
        <w:rPr>
          <w:rFonts w:ascii="Times New Roman" w:eastAsia="Times New Roman" w:hAnsi="Times New Roman" w:cs="Times New Roman"/>
          <w:sz w:val="24"/>
          <w:szCs w:val="24"/>
        </w:rPr>
      </w:pPr>
      <w:proofErr w:type="spellStart"/>
      <w:r w:rsidRPr="00AC57F8">
        <w:rPr>
          <w:rFonts w:ascii="Times New Roman" w:eastAsia="Times New Roman" w:hAnsi="Times New Roman" w:cs="Times New Roman"/>
          <w:sz w:val="24"/>
          <w:szCs w:val="24"/>
        </w:rPr>
        <w:t>Siniscalchi</w:t>
      </w:r>
      <w:proofErr w:type="spellEnd"/>
      <w:r w:rsidRPr="00AC57F8">
        <w:rPr>
          <w:rFonts w:ascii="Times New Roman" w:eastAsia="Times New Roman" w:hAnsi="Times New Roman" w:cs="Times New Roman"/>
          <w:sz w:val="24"/>
          <w:szCs w:val="24"/>
        </w:rPr>
        <w:t xml:space="preserve">, K. A., Broome, M. E., Fish, J., Ventimiglia, J., Thompson, J., Roy, P., Pipes, R., &amp; Trivedi, M. (2020). Depression screening and measurement-based care in primary care. </w:t>
      </w:r>
      <w:r w:rsidRPr="00AC57F8">
        <w:rPr>
          <w:rFonts w:ascii="Times New Roman" w:eastAsia="Times New Roman" w:hAnsi="Times New Roman" w:cs="Times New Roman"/>
          <w:i/>
          <w:iCs/>
          <w:sz w:val="24"/>
          <w:szCs w:val="24"/>
        </w:rPr>
        <w:t>Journa</w:t>
      </w:r>
      <w:r>
        <w:rPr>
          <w:rFonts w:ascii="Times New Roman" w:eastAsia="Times New Roman" w:hAnsi="Times New Roman" w:cs="Times New Roman"/>
          <w:i/>
          <w:iCs/>
          <w:sz w:val="24"/>
          <w:szCs w:val="24"/>
        </w:rPr>
        <w:t>l of Primary C</w:t>
      </w:r>
      <w:r w:rsidRPr="00AC57F8">
        <w:rPr>
          <w:rFonts w:ascii="Times New Roman" w:eastAsia="Times New Roman" w:hAnsi="Times New Roman" w:cs="Times New Roman"/>
          <w:i/>
          <w:iCs/>
          <w:sz w:val="24"/>
          <w:szCs w:val="24"/>
        </w:rPr>
        <w:t xml:space="preserve">are &amp; </w:t>
      </w:r>
      <w:r>
        <w:rPr>
          <w:rFonts w:ascii="Times New Roman" w:eastAsia="Times New Roman" w:hAnsi="Times New Roman" w:cs="Times New Roman"/>
          <w:i/>
          <w:iCs/>
          <w:sz w:val="24"/>
          <w:szCs w:val="24"/>
        </w:rPr>
        <w:t>C</w:t>
      </w:r>
      <w:r w:rsidRPr="00AC57F8">
        <w:rPr>
          <w:rFonts w:ascii="Times New Roman" w:eastAsia="Times New Roman" w:hAnsi="Times New Roman" w:cs="Times New Roman"/>
          <w:i/>
          <w:iCs/>
          <w:sz w:val="24"/>
          <w:szCs w:val="24"/>
        </w:rPr>
        <w:t xml:space="preserve">ommunity </w:t>
      </w:r>
      <w:r>
        <w:rPr>
          <w:rFonts w:ascii="Times New Roman" w:eastAsia="Times New Roman" w:hAnsi="Times New Roman" w:cs="Times New Roman"/>
          <w:i/>
          <w:iCs/>
          <w:sz w:val="24"/>
          <w:szCs w:val="24"/>
        </w:rPr>
        <w:t>H</w:t>
      </w:r>
      <w:r w:rsidRPr="00AC57F8">
        <w:rPr>
          <w:rFonts w:ascii="Times New Roman" w:eastAsia="Times New Roman" w:hAnsi="Times New Roman" w:cs="Times New Roman"/>
          <w:i/>
          <w:iCs/>
          <w:sz w:val="24"/>
          <w:szCs w:val="24"/>
        </w:rPr>
        <w:t>ealth</w:t>
      </w:r>
      <w:r w:rsidRPr="00AC57F8">
        <w:rPr>
          <w:rFonts w:ascii="Times New Roman" w:eastAsia="Times New Roman" w:hAnsi="Times New Roman" w:cs="Times New Roman"/>
          <w:sz w:val="24"/>
          <w:szCs w:val="24"/>
        </w:rPr>
        <w:t xml:space="preserve">, </w:t>
      </w:r>
      <w:r w:rsidRPr="00AC57F8">
        <w:rPr>
          <w:rFonts w:ascii="Times New Roman" w:eastAsia="Times New Roman" w:hAnsi="Times New Roman" w:cs="Times New Roman"/>
          <w:i/>
          <w:iCs/>
          <w:sz w:val="24"/>
          <w:szCs w:val="24"/>
        </w:rPr>
        <w:t>11</w:t>
      </w:r>
      <w:r w:rsidRPr="00AC57F8">
        <w:rPr>
          <w:rFonts w:ascii="Times New Roman" w:eastAsia="Times New Roman" w:hAnsi="Times New Roman" w:cs="Times New Roman"/>
          <w:sz w:val="24"/>
          <w:szCs w:val="24"/>
        </w:rPr>
        <w:t xml:space="preserve">, 2150132720931261. </w:t>
      </w:r>
      <w:hyperlink r:id="rId14" w:history="1">
        <w:r w:rsidRPr="00E129F8">
          <w:rPr>
            <w:rStyle w:val="Hyperlink"/>
            <w:rFonts w:ascii="Times New Roman" w:eastAsia="Times New Roman" w:hAnsi="Times New Roman" w:cs="Times New Roman"/>
            <w:sz w:val="24"/>
            <w:szCs w:val="24"/>
          </w:rPr>
          <w:t>https://doi.org/10.1177/2150132720931261</w:t>
        </w:r>
      </w:hyperlink>
      <w:r>
        <w:rPr>
          <w:rFonts w:ascii="Times New Roman" w:eastAsia="Times New Roman" w:hAnsi="Times New Roman" w:cs="Times New Roman"/>
          <w:sz w:val="24"/>
          <w:szCs w:val="24"/>
        </w:rPr>
        <w:t xml:space="preserve"> </w:t>
      </w:r>
    </w:p>
    <w:p w:rsidR="00AD2EFC" w:rsidRDefault="00AD2EFC" w:rsidP="00AD2EFC">
      <w:pPr>
        <w:spacing w:after="0" w:line="480" w:lineRule="auto"/>
        <w:ind w:left="720" w:hanging="720"/>
        <w:rPr>
          <w:rStyle w:val="meta-citation"/>
        </w:rPr>
      </w:pPr>
      <w:r w:rsidRPr="00423D47">
        <w:rPr>
          <w:rFonts w:ascii="Times New Roman" w:eastAsia="Times New Roman" w:hAnsi="Times New Roman" w:cs="Times New Roman"/>
          <w:sz w:val="24"/>
          <w:szCs w:val="24"/>
        </w:rPr>
        <w:t xml:space="preserve">Siu, A. L., </w:t>
      </w:r>
      <w:proofErr w:type="spellStart"/>
      <w:r w:rsidRPr="00423D47">
        <w:rPr>
          <w:rFonts w:ascii="Times New Roman" w:eastAsia="Times New Roman" w:hAnsi="Times New Roman" w:cs="Times New Roman"/>
          <w:sz w:val="24"/>
          <w:szCs w:val="24"/>
        </w:rPr>
        <w:t>Bibbins</w:t>
      </w:r>
      <w:proofErr w:type="spellEnd"/>
      <w:r w:rsidRPr="00423D47">
        <w:rPr>
          <w:rFonts w:ascii="Times New Roman" w:eastAsia="Times New Roman" w:hAnsi="Times New Roman" w:cs="Times New Roman"/>
          <w:sz w:val="24"/>
          <w:szCs w:val="24"/>
        </w:rPr>
        <w:t xml:space="preserve">-Domingo, K., Grossman, D. C., Baumann, L. C., Davidson, K. W., </w:t>
      </w:r>
      <w:proofErr w:type="spellStart"/>
      <w:r w:rsidRPr="00423D47">
        <w:rPr>
          <w:rFonts w:ascii="Times New Roman" w:eastAsia="Times New Roman" w:hAnsi="Times New Roman" w:cs="Times New Roman"/>
          <w:sz w:val="24"/>
          <w:szCs w:val="24"/>
        </w:rPr>
        <w:t>Ebell</w:t>
      </w:r>
      <w:proofErr w:type="spellEnd"/>
      <w:r w:rsidRPr="00423D47">
        <w:rPr>
          <w:rFonts w:ascii="Times New Roman" w:eastAsia="Times New Roman" w:hAnsi="Times New Roman" w:cs="Times New Roman"/>
          <w:sz w:val="24"/>
          <w:szCs w:val="24"/>
        </w:rPr>
        <w:t xml:space="preserve">, M., ... &amp; US Preventive Services Task Force. (2016). </w:t>
      </w:r>
      <w:proofErr w:type="gramStart"/>
      <w:r w:rsidRPr="00423D47">
        <w:rPr>
          <w:rFonts w:ascii="Times New Roman" w:eastAsia="Times New Roman" w:hAnsi="Times New Roman" w:cs="Times New Roman"/>
          <w:sz w:val="24"/>
          <w:szCs w:val="24"/>
        </w:rPr>
        <w:t>Screening</w:t>
      </w:r>
      <w:proofErr w:type="gramEnd"/>
      <w:r w:rsidRPr="00423D47">
        <w:rPr>
          <w:rFonts w:ascii="Times New Roman" w:eastAsia="Times New Roman" w:hAnsi="Times New Roman" w:cs="Times New Roman"/>
          <w:sz w:val="24"/>
          <w:szCs w:val="24"/>
        </w:rPr>
        <w:t xml:space="preserve"> for depression in adults: US Preventive Services Task Force recommendation statement. </w:t>
      </w:r>
      <w:proofErr w:type="spellStart"/>
      <w:r w:rsidRPr="00423D47">
        <w:rPr>
          <w:rFonts w:ascii="Times New Roman" w:eastAsia="Times New Roman" w:hAnsi="Times New Roman" w:cs="Times New Roman"/>
          <w:i/>
          <w:iCs/>
          <w:sz w:val="24"/>
          <w:szCs w:val="24"/>
        </w:rPr>
        <w:t>Jama</w:t>
      </w:r>
      <w:proofErr w:type="spellEnd"/>
      <w:r w:rsidRPr="00423D47">
        <w:rPr>
          <w:rFonts w:ascii="Times New Roman" w:eastAsia="Times New Roman" w:hAnsi="Times New Roman" w:cs="Times New Roman"/>
          <w:sz w:val="24"/>
          <w:szCs w:val="24"/>
        </w:rPr>
        <w:t xml:space="preserve">, </w:t>
      </w:r>
      <w:r w:rsidRPr="00423D47">
        <w:rPr>
          <w:rFonts w:ascii="Times New Roman" w:eastAsia="Times New Roman" w:hAnsi="Times New Roman" w:cs="Times New Roman"/>
          <w:i/>
          <w:iCs/>
          <w:sz w:val="24"/>
          <w:szCs w:val="24"/>
        </w:rPr>
        <w:t>315</w:t>
      </w:r>
      <w:r w:rsidRPr="00423D47">
        <w:rPr>
          <w:rFonts w:ascii="Times New Roman" w:eastAsia="Times New Roman" w:hAnsi="Times New Roman" w:cs="Times New Roman"/>
          <w:sz w:val="24"/>
          <w:szCs w:val="24"/>
        </w:rPr>
        <w:t>(4), 380-387.</w:t>
      </w:r>
      <w:r>
        <w:rPr>
          <w:rFonts w:ascii="Times New Roman" w:eastAsia="Times New Roman" w:hAnsi="Times New Roman" w:cs="Times New Roman"/>
          <w:sz w:val="24"/>
          <w:szCs w:val="24"/>
        </w:rPr>
        <w:t xml:space="preserve"> </w:t>
      </w:r>
      <w:hyperlink r:id="rId15" w:history="1">
        <w:r w:rsidRPr="00E129F8">
          <w:rPr>
            <w:rStyle w:val="Hyperlink"/>
            <w:rFonts w:ascii="Times New Roman" w:eastAsia="Times New Roman" w:hAnsi="Times New Roman" w:cs="Times New Roman"/>
            <w:sz w:val="24"/>
            <w:szCs w:val="24"/>
          </w:rPr>
          <w:t>https://doi.org/</w:t>
        </w:r>
        <w:r w:rsidRPr="00E129F8">
          <w:rPr>
            <w:rStyle w:val="Hyperlink"/>
          </w:rPr>
          <w:t>10.1001/jama.2015.18392</w:t>
        </w:r>
      </w:hyperlink>
      <w:r>
        <w:rPr>
          <w:rStyle w:val="meta-citation"/>
        </w:rPr>
        <w:t xml:space="preserve"> </w:t>
      </w:r>
    </w:p>
    <w:bookmarkEnd w:id="0"/>
    <w:p w:rsidR="008D3580" w:rsidRDefault="008D358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D7BD1" w:rsidRDefault="000D7BD1" w:rsidP="008D3580">
      <w:pPr>
        <w:spacing w:after="0" w:line="240" w:lineRule="auto"/>
        <w:jc w:val="center"/>
        <w:rPr>
          <w:rFonts w:ascii="Times New Roman" w:eastAsia="Times New Roman" w:hAnsi="Times New Roman" w:cs="Times New Roman"/>
          <w:b/>
          <w:sz w:val="24"/>
          <w:szCs w:val="24"/>
        </w:rPr>
        <w:sectPr w:rsidR="000D7BD1">
          <w:pgSz w:w="12240" w:h="15840"/>
          <w:pgMar w:top="1440" w:right="1440" w:bottom="1440" w:left="1440" w:header="708" w:footer="708" w:gutter="0"/>
          <w:cols w:space="708"/>
          <w:docGrid w:linePitch="360"/>
        </w:sectPr>
      </w:pPr>
    </w:p>
    <w:p w:rsidR="008D3580" w:rsidRDefault="008D3580" w:rsidP="008D35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1: Johns Hopkins Individual Evidence Summary Tool</w:t>
      </w:r>
    </w:p>
    <w:p w:rsidR="008D3580" w:rsidRDefault="008D3580" w:rsidP="008D3580">
      <w:pPr>
        <w:spacing w:after="0" w:line="240" w:lineRule="auto"/>
        <w:jc w:val="center"/>
        <w:rPr>
          <w:rFonts w:ascii="Times New Roman" w:eastAsia="Times New Roman" w:hAnsi="Times New Roman" w:cs="Times New Roman"/>
          <w:b/>
          <w:sz w:val="24"/>
          <w:szCs w:val="24"/>
        </w:rPr>
      </w:pP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0D7BD1" w:rsidRPr="009B1351" w:rsidTr="003B4897">
        <w:trPr>
          <w:trHeight w:val="920"/>
        </w:trPr>
        <w:tc>
          <w:tcPr>
            <w:tcW w:w="375" w:type="pct"/>
            <w:shd w:val="clear" w:color="auto" w:fill="D1D3D4"/>
          </w:tcPr>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spacing w:before="155" w:line="240" w:lineRule="atLeast"/>
              <w:ind w:left="103" w:right="138"/>
              <w:rPr>
                <w:rFonts w:ascii="Times New Roman" w:hAnsi="Times New Roman" w:cs="Times New Roman"/>
                <w:b/>
                <w:sz w:val="16"/>
                <w:szCs w:val="16"/>
              </w:rPr>
            </w:pPr>
            <w:r w:rsidRPr="009B1351">
              <w:rPr>
                <w:rFonts w:ascii="Times New Roman" w:hAnsi="Times New Roman" w:cs="Times New Roman"/>
                <w:b/>
                <w:color w:val="231F20"/>
                <w:w w:val="105"/>
                <w:sz w:val="16"/>
                <w:szCs w:val="16"/>
              </w:rPr>
              <w:t xml:space="preserve">Article </w:t>
            </w:r>
            <w:r w:rsidRPr="009B1351">
              <w:rPr>
                <w:rFonts w:ascii="Times New Roman" w:hAnsi="Times New Roman" w:cs="Times New Roman"/>
                <w:b/>
                <w:color w:val="231F20"/>
                <w:sz w:val="16"/>
                <w:szCs w:val="16"/>
              </w:rPr>
              <w:t>Number</w:t>
            </w:r>
          </w:p>
        </w:tc>
        <w:tc>
          <w:tcPr>
            <w:tcW w:w="633" w:type="pct"/>
            <w:shd w:val="clear" w:color="auto" w:fill="D1D3D4"/>
          </w:tcPr>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spacing w:before="176"/>
              <w:ind w:left="103"/>
              <w:rPr>
                <w:rFonts w:ascii="Times New Roman" w:hAnsi="Times New Roman" w:cs="Times New Roman"/>
                <w:b/>
                <w:sz w:val="16"/>
                <w:szCs w:val="16"/>
              </w:rPr>
            </w:pPr>
            <w:r w:rsidRPr="009B1351">
              <w:rPr>
                <w:rFonts w:ascii="Times New Roman" w:hAnsi="Times New Roman" w:cs="Times New Roman"/>
                <w:b/>
                <w:color w:val="231F20"/>
                <w:sz w:val="16"/>
                <w:szCs w:val="16"/>
              </w:rPr>
              <w:t>Author and Date</w:t>
            </w:r>
          </w:p>
        </w:tc>
        <w:tc>
          <w:tcPr>
            <w:tcW w:w="611" w:type="pct"/>
            <w:shd w:val="clear" w:color="auto" w:fill="D1D3D4"/>
          </w:tcPr>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spacing w:before="176"/>
              <w:ind w:left="103"/>
              <w:rPr>
                <w:rFonts w:ascii="Times New Roman" w:hAnsi="Times New Roman" w:cs="Times New Roman"/>
                <w:b/>
                <w:sz w:val="16"/>
                <w:szCs w:val="16"/>
              </w:rPr>
            </w:pPr>
            <w:r w:rsidRPr="009B1351">
              <w:rPr>
                <w:rFonts w:ascii="Times New Roman" w:hAnsi="Times New Roman" w:cs="Times New Roman"/>
                <w:b/>
                <w:color w:val="231F20"/>
                <w:sz w:val="16"/>
                <w:szCs w:val="16"/>
              </w:rPr>
              <w:t>Evidence Type</w:t>
            </w:r>
          </w:p>
        </w:tc>
        <w:tc>
          <w:tcPr>
            <w:tcW w:w="649" w:type="pct"/>
            <w:shd w:val="clear" w:color="auto" w:fill="D1D3D4"/>
          </w:tcPr>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spacing w:before="155" w:line="240" w:lineRule="atLeast"/>
              <w:ind w:left="103" w:right="112"/>
              <w:rPr>
                <w:rFonts w:ascii="Times New Roman" w:hAnsi="Times New Roman" w:cs="Times New Roman"/>
                <w:b/>
                <w:sz w:val="16"/>
                <w:szCs w:val="16"/>
              </w:rPr>
            </w:pPr>
            <w:r w:rsidRPr="009B1351">
              <w:rPr>
                <w:rFonts w:ascii="Times New Roman" w:hAnsi="Times New Roman" w:cs="Times New Roman"/>
                <w:b/>
                <w:color w:val="231F20"/>
                <w:w w:val="105"/>
                <w:sz w:val="16"/>
                <w:szCs w:val="16"/>
              </w:rPr>
              <w:t>Sample, Sample Size, Setting</w:t>
            </w:r>
          </w:p>
        </w:tc>
        <w:tc>
          <w:tcPr>
            <w:tcW w:w="804" w:type="pct"/>
            <w:shd w:val="clear" w:color="auto" w:fill="D1D3D4"/>
          </w:tcPr>
          <w:p w:rsidR="008D3580" w:rsidRPr="009B1351" w:rsidRDefault="008D3580" w:rsidP="003B4897">
            <w:pPr>
              <w:pStyle w:val="TableParagraph"/>
              <w:spacing w:before="167" w:line="240" w:lineRule="atLeast"/>
              <w:ind w:left="103"/>
              <w:rPr>
                <w:rFonts w:ascii="Times New Roman" w:hAnsi="Times New Roman" w:cs="Times New Roman"/>
                <w:b/>
                <w:sz w:val="16"/>
                <w:szCs w:val="16"/>
              </w:rPr>
            </w:pPr>
            <w:r w:rsidRPr="009B1351">
              <w:rPr>
                <w:rFonts w:ascii="Times New Roman" w:hAnsi="Times New Roman" w:cs="Times New Roman"/>
                <w:b/>
                <w:color w:val="231F20"/>
                <w:sz w:val="16"/>
                <w:szCs w:val="16"/>
              </w:rPr>
              <w:t>Findings That Help Answer the EBP Question</w:t>
            </w:r>
          </w:p>
        </w:tc>
        <w:tc>
          <w:tcPr>
            <w:tcW w:w="623" w:type="pct"/>
            <w:shd w:val="clear" w:color="auto" w:fill="D1D3D4"/>
          </w:tcPr>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spacing w:before="155" w:line="240" w:lineRule="atLeast"/>
              <w:ind w:left="103" w:right="124"/>
              <w:rPr>
                <w:rFonts w:ascii="Times New Roman" w:hAnsi="Times New Roman" w:cs="Times New Roman"/>
                <w:b/>
                <w:sz w:val="16"/>
                <w:szCs w:val="16"/>
              </w:rPr>
            </w:pPr>
            <w:r w:rsidRPr="009B1351">
              <w:rPr>
                <w:rFonts w:ascii="Times New Roman" w:hAnsi="Times New Roman" w:cs="Times New Roman"/>
                <w:b/>
                <w:color w:val="231F20"/>
                <w:sz w:val="16"/>
                <w:szCs w:val="16"/>
              </w:rPr>
              <w:t xml:space="preserve">Observable </w:t>
            </w:r>
            <w:r w:rsidRPr="009B1351">
              <w:rPr>
                <w:rFonts w:ascii="Times New Roman" w:hAnsi="Times New Roman" w:cs="Times New Roman"/>
                <w:b/>
                <w:color w:val="231F20"/>
                <w:w w:val="105"/>
                <w:sz w:val="16"/>
                <w:szCs w:val="16"/>
              </w:rPr>
              <w:t>Measures</w:t>
            </w:r>
          </w:p>
        </w:tc>
        <w:tc>
          <w:tcPr>
            <w:tcW w:w="652" w:type="pct"/>
            <w:shd w:val="clear" w:color="auto" w:fill="D1D3D4"/>
          </w:tcPr>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spacing w:before="176"/>
              <w:ind w:left="103"/>
              <w:jc w:val="center"/>
              <w:rPr>
                <w:rFonts w:ascii="Times New Roman" w:hAnsi="Times New Roman" w:cs="Times New Roman"/>
                <w:b/>
                <w:sz w:val="16"/>
                <w:szCs w:val="16"/>
              </w:rPr>
            </w:pPr>
            <w:r w:rsidRPr="009B1351">
              <w:rPr>
                <w:rFonts w:ascii="Times New Roman" w:hAnsi="Times New Roman" w:cs="Times New Roman"/>
                <w:b/>
                <w:color w:val="231F20"/>
                <w:w w:val="105"/>
                <w:sz w:val="16"/>
                <w:szCs w:val="16"/>
              </w:rPr>
              <w:t>Limitations</w:t>
            </w:r>
          </w:p>
        </w:tc>
        <w:tc>
          <w:tcPr>
            <w:tcW w:w="652" w:type="pct"/>
            <w:shd w:val="clear" w:color="auto" w:fill="D1D3D4"/>
          </w:tcPr>
          <w:p w:rsidR="008D3580" w:rsidRPr="009B1351" w:rsidRDefault="008D3580" w:rsidP="003B4897">
            <w:pPr>
              <w:pStyle w:val="TableParagraph"/>
              <w:rPr>
                <w:rFonts w:ascii="Times New Roman" w:hAnsi="Times New Roman" w:cs="Times New Roman"/>
                <w:b/>
                <w:sz w:val="16"/>
                <w:szCs w:val="16"/>
              </w:rPr>
            </w:pPr>
          </w:p>
          <w:p w:rsidR="008D3580" w:rsidRPr="009B1351" w:rsidRDefault="008D3580" w:rsidP="003B4897">
            <w:pPr>
              <w:pStyle w:val="TableParagraph"/>
              <w:spacing w:before="155" w:line="240" w:lineRule="atLeast"/>
              <w:ind w:left="103" w:right="107"/>
              <w:rPr>
                <w:rFonts w:ascii="Times New Roman" w:hAnsi="Times New Roman" w:cs="Times New Roman"/>
                <w:b/>
                <w:sz w:val="16"/>
                <w:szCs w:val="16"/>
              </w:rPr>
            </w:pPr>
            <w:r w:rsidRPr="009B1351">
              <w:rPr>
                <w:rFonts w:ascii="Times New Roman" w:hAnsi="Times New Roman" w:cs="Times New Roman"/>
                <w:b/>
                <w:color w:val="231F20"/>
                <w:w w:val="105"/>
                <w:sz w:val="16"/>
                <w:szCs w:val="16"/>
              </w:rPr>
              <w:t>Evidence Level, Quality</w:t>
            </w:r>
          </w:p>
        </w:tc>
      </w:tr>
      <w:tr w:rsidR="008D3580" w:rsidTr="003B4897">
        <w:trPr>
          <w:trHeight w:val="880"/>
        </w:trPr>
        <w:tc>
          <w:tcPr>
            <w:tcW w:w="375" w:type="pct"/>
          </w:tcPr>
          <w:p w:rsidR="008D3580" w:rsidRDefault="008D3580" w:rsidP="008D3580">
            <w:pPr>
              <w:pStyle w:val="TableParagraph"/>
              <w:numPr>
                <w:ilvl w:val="0"/>
                <w:numId w:val="3"/>
              </w:numPr>
              <w:rPr>
                <w:rFonts w:ascii="Times New Roman"/>
                <w:sz w:val="16"/>
              </w:rPr>
            </w:pPr>
          </w:p>
        </w:tc>
        <w:tc>
          <w:tcPr>
            <w:tcW w:w="633" w:type="pct"/>
          </w:tcPr>
          <w:p w:rsidR="008D3580" w:rsidRDefault="000D7BD1" w:rsidP="003B4897">
            <w:pPr>
              <w:pStyle w:val="TableParagraph"/>
              <w:rPr>
                <w:rFonts w:ascii="Times New Roman"/>
                <w:sz w:val="16"/>
              </w:rPr>
            </w:pPr>
            <w:r>
              <w:rPr>
                <w:rFonts w:ascii="Times New Roman"/>
                <w:sz w:val="16"/>
              </w:rPr>
              <w:t>Franco et al. (2023)</w:t>
            </w:r>
          </w:p>
        </w:tc>
        <w:tc>
          <w:tcPr>
            <w:tcW w:w="611" w:type="pct"/>
          </w:tcPr>
          <w:p w:rsidR="008D3580" w:rsidRPr="000D7BD1" w:rsidRDefault="000D7BD1" w:rsidP="003B4897">
            <w:pPr>
              <w:pStyle w:val="TableParagraph"/>
              <w:rPr>
                <w:rFonts w:ascii="Times New Roman"/>
                <w:sz w:val="16"/>
              </w:rPr>
            </w:pPr>
            <w:r>
              <w:rPr>
                <w:rFonts w:ascii="Times New Roman"/>
                <w:b/>
                <w:sz w:val="16"/>
              </w:rPr>
              <w:t xml:space="preserve">Evidence: </w:t>
            </w:r>
            <w:r>
              <w:rPr>
                <w:rFonts w:ascii="Times New Roman"/>
                <w:sz w:val="16"/>
              </w:rPr>
              <w:t>Quantitative</w:t>
            </w:r>
          </w:p>
          <w:p w:rsidR="000D7BD1" w:rsidRPr="00F25867" w:rsidRDefault="000D7BD1" w:rsidP="003B4897">
            <w:pPr>
              <w:pStyle w:val="TableParagraph"/>
              <w:rPr>
                <w:rFonts w:ascii="Times New Roman"/>
                <w:sz w:val="16"/>
              </w:rPr>
            </w:pPr>
            <w:r>
              <w:rPr>
                <w:rFonts w:ascii="Times New Roman"/>
                <w:b/>
                <w:sz w:val="16"/>
              </w:rPr>
              <w:t>Type:</w:t>
            </w:r>
            <w:r w:rsidR="00F25867">
              <w:rPr>
                <w:rFonts w:ascii="Times New Roman"/>
                <w:b/>
                <w:sz w:val="16"/>
              </w:rPr>
              <w:t xml:space="preserve"> </w:t>
            </w:r>
            <w:r w:rsidR="00F25867">
              <w:rPr>
                <w:rFonts w:ascii="Times New Roman"/>
                <w:sz w:val="16"/>
              </w:rPr>
              <w:t>Randomized controlled trial</w:t>
            </w:r>
          </w:p>
          <w:p w:rsidR="000D7BD1" w:rsidRPr="00F25867" w:rsidRDefault="000D7BD1" w:rsidP="003B4897">
            <w:pPr>
              <w:pStyle w:val="TableParagraph"/>
              <w:rPr>
                <w:rFonts w:ascii="Times New Roman"/>
                <w:sz w:val="16"/>
              </w:rPr>
            </w:pPr>
            <w:r>
              <w:rPr>
                <w:rFonts w:ascii="Times New Roman"/>
                <w:b/>
                <w:sz w:val="16"/>
              </w:rPr>
              <w:t>Aims:</w:t>
            </w:r>
            <w:r w:rsidR="00F25867">
              <w:rPr>
                <w:rFonts w:ascii="Times New Roman"/>
                <w:b/>
                <w:sz w:val="16"/>
              </w:rPr>
              <w:t xml:space="preserve"> </w:t>
            </w:r>
            <w:r w:rsidR="00F25867">
              <w:rPr>
                <w:rFonts w:ascii="Times New Roman"/>
                <w:sz w:val="16"/>
              </w:rPr>
              <w:t>To determine whether a population health approach to depression screening is more effective that screening during clinic appointments alone for identifying patient s with depression</w:t>
            </w:r>
          </w:p>
        </w:tc>
        <w:tc>
          <w:tcPr>
            <w:tcW w:w="649" w:type="pct"/>
          </w:tcPr>
          <w:p w:rsidR="008D3580" w:rsidRPr="00F25867" w:rsidRDefault="00F25867" w:rsidP="009D6494">
            <w:pPr>
              <w:pStyle w:val="TableParagraph"/>
              <w:tabs>
                <w:tab w:val="left" w:pos="1064"/>
              </w:tabs>
              <w:ind w:right="132"/>
              <w:rPr>
                <w:rFonts w:ascii="Times New Roman" w:hAnsi="Times New Roman" w:cs="Times New Roman"/>
                <w:sz w:val="16"/>
                <w:szCs w:val="16"/>
              </w:rPr>
            </w:pPr>
            <w:r>
              <w:rPr>
                <w:rFonts w:ascii="Times New Roman" w:hAnsi="Times New Roman" w:cs="Times New Roman"/>
                <w:b/>
                <w:sz w:val="16"/>
                <w:szCs w:val="16"/>
              </w:rPr>
              <w:t xml:space="preserve">Sample: </w:t>
            </w:r>
            <w:r>
              <w:rPr>
                <w:rFonts w:ascii="Times New Roman" w:hAnsi="Times New Roman" w:cs="Times New Roman"/>
                <w:sz w:val="16"/>
                <w:szCs w:val="16"/>
              </w:rPr>
              <w:t xml:space="preserve">Eligible adult patients </w:t>
            </w:r>
            <w:r w:rsidR="00DD5DA4">
              <w:rPr>
                <w:rFonts w:ascii="Times New Roman" w:hAnsi="Times New Roman" w:cs="Times New Roman"/>
                <w:sz w:val="16"/>
                <w:szCs w:val="16"/>
              </w:rPr>
              <w:t>with a clinic appointment within the past 26 months (age 18-64) or 14 months (age ≥65)</w:t>
            </w:r>
            <w:r w:rsidR="00FB0CA0">
              <w:rPr>
                <w:rFonts w:ascii="Times New Roman" w:hAnsi="Times New Roman" w:cs="Times New Roman"/>
                <w:sz w:val="16"/>
                <w:szCs w:val="16"/>
              </w:rPr>
              <w:t>, with an active portal account, and due for annual screening</w:t>
            </w:r>
          </w:p>
          <w:p w:rsidR="00F25867" w:rsidRPr="00FB0CA0" w:rsidRDefault="00F25867" w:rsidP="009D6494">
            <w:pPr>
              <w:pStyle w:val="TableParagraph"/>
              <w:tabs>
                <w:tab w:val="left" w:pos="1064"/>
              </w:tabs>
              <w:ind w:right="132"/>
              <w:rPr>
                <w:rFonts w:ascii="Times New Roman" w:hAnsi="Times New Roman" w:cs="Times New Roman"/>
                <w:sz w:val="16"/>
                <w:szCs w:val="16"/>
              </w:rPr>
            </w:pPr>
            <w:r>
              <w:rPr>
                <w:rFonts w:ascii="Times New Roman" w:hAnsi="Times New Roman" w:cs="Times New Roman"/>
                <w:b/>
                <w:sz w:val="16"/>
                <w:szCs w:val="16"/>
              </w:rPr>
              <w:t>Sample size:</w:t>
            </w:r>
            <w:r w:rsidR="00FB0CA0">
              <w:rPr>
                <w:rFonts w:ascii="Times New Roman" w:hAnsi="Times New Roman" w:cs="Times New Roman"/>
                <w:b/>
                <w:sz w:val="16"/>
                <w:szCs w:val="16"/>
              </w:rPr>
              <w:t xml:space="preserve"> </w:t>
            </w:r>
            <w:r w:rsidR="00FB0CA0">
              <w:rPr>
                <w:rFonts w:ascii="Times New Roman" w:hAnsi="Times New Roman" w:cs="Times New Roman"/>
                <w:sz w:val="16"/>
                <w:szCs w:val="16"/>
              </w:rPr>
              <w:t>N=2713 patients</w:t>
            </w:r>
            <w:r w:rsidR="00A57456">
              <w:rPr>
                <w:rFonts w:ascii="Times New Roman" w:hAnsi="Times New Roman" w:cs="Times New Roman"/>
                <w:sz w:val="16"/>
                <w:szCs w:val="16"/>
              </w:rPr>
              <w:t xml:space="preserve"> (58% female; 47% African American)</w:t>
            </w:r>
          </w:p>
          <w:p w:rsidR="00F25867" w:rsidRPr="00A57456" w:rsidRDefault="00F25867" w:rsidP="009D6494">
            <w:pPr>
              <w:pStyle w:val="TableParagraph"/>
              <w:tabs>
                <w:tab w:val="left" w:pos="1064"/>
              </w:tabs>
              <w:ind w:right="132"/>
              <w:rPr>
                <w:rFonts w:ascii="Times New Roman" w:hAnsi="Times New Roman" w:cs="Times New Roman"/>
                <w:sz w:val="16"/>
                <w:szCs w:val="16"/>
              </w:rPr>
            </w:pPr>
            <w:r>
              <w:rPr>
                <w:rFonts w:ascii="Times New Roman" w:hAnsi="Times New Roman" w:cs="Times New Roman"/>
                <w:b/>
                <w:sz w:val="16"/>
                <w:szCs w:val="16"/>
              </w:rPr>
              <w:t xml:space="preserve">Setting: </w:t>
            </w:r>
            <w:r w:rsidR="00A57456">
              <w:rPr>
                <w:rFonts w:ascii="Times New Roman" w:hAnsi="Times New Roman" w:cs="Times New Roman"/>
                <w:sz w:val="16"/>
                <w:szCs w:val="16"/>
              </w:rPr>
              <w:t>Adult internal medicine clinic</w:t>
            </w:r>
          </w:p>
        </w:tc>
        <w:tc>
          <w:tcPr>
            <w:tcW w:w="804" w:type="pct"/>
          </w:tcPr>
          <w:p w:rsidR="008D3580" w:rsidRPr="008A7BBA" w:rsidRDefault="00A57456" w:rsidP="003B4897">
            <w:pPr>
              <w:pStyle w:val="TableParagraph"/>
              <w:rPr>
                <w:rFonts w:ascii="Times New Roman" w:hAnsi="Times New Roman" w:cs="Times New Roman"/>
                <w:sz w:val="16"/>
                <w:szCs w:val="16"/>
              </w:rPr>
            </w:pPr>
            <w:r>
              <w:rPr>
                <w:rFonts w:ascii="Times New Roman" w:hAnsi="Times New Roman" w:cs="Times New Roman"/>
                <w:sz w:val="16"/>
                <w:szCs w:val="16"/>
              </w:rPr>
              <w:t>Depression screening rate was higher in the population healthcare arm (43%) compared to the usual care arm (33%)</w:t>
            </w:r>
            <w:r w:rsidR="00DD7DD0">
              <w:rPr>
                <w:rFonts w:ascii="Times New Roman" w:hAnsi="Times New Roman" w:cs="Times New Roman"/>
                <w:sz w:val="16"/>
                <w:szCs w:val="16"/>
              </w:rPr>
              <w:t>. The intervention arm also had a higher positive screens rate (10%) than the usual care arm (4%)</w:t>
            </w:r>
          </w:p>
        </w:tc>
        <w:tc>
          <w:tcPr>
            <w:tcW w:w="623" w:type="pct"/>
          </w:tcPr>
          <w:p w:rsidR="008D3580" w:rsidRDefault="00562F9A" w:rsidP="003B4897">
            <w:pPr>
              <w:pStyle w:val="TableParagraph"/>
              <w:rPr>
                <w:rFonts w:ascii="Times New Roman"/>
                <w:sz w:val="16"/>
              </w:rPr>
            </w:pPr>
            <w:r>
              <w:rPr>
                <w:rFonts w:ascii="Times New Roman"/>
                <w:sz w:val="16"/>
              </w:rPr>
              <w:t>CAD-MDD or PHQ-2 to measure the proportion of patients screened for depression (primary outcome)</w:t>
            </w:r>
          </w:p>
          <w:p w:rsidR="00562F9A" w:rsidRDefault="00562F9A" w:rsidP="003B4897">
            <w:pPr>
              <w:pStyle w:val="TableParagraph"/>
              <w:rPr>
                <w:rFonts w:ascii="Times New Roman"/>
                <w:sz w:val="16"/>
              </w:rPr>
            </w:pPr>
          </w:p>
        </w:tc>
        <w:tc>
          <w:tcPr>
            <w:tcW w:w="652" w:type="pct"/>
          </w:tcPr>
          <w:p w:rsidR="008D3580" w:rsidRDefault="00A83261" w:rsidP="003B4897">
            <w:pPr>
              <w:pStyle w:val="TableParagraph"/>
              <w:rPr>
                <w:rFonts w:ascii="Times New Roman"/>
                <w:sz w:val="16"/>
              </w:rPr>
            </w:pPr>
            <w:r>
              <w:rPr>
                <w:rFonts w:ascii="Times New Roman"/>
                <w:sz w:val="16"/>
              </w:rPr>
              <w:t>The study was conducted in a single urban academic teaching clinic with a large African American population; this mat limit the generalizability of the findings to other settings</w:t>
            </w:r>
          </w:p>
          <w:p w:rsidR="00A83261" w:rsidRDefault="00A83261" w:rsidP="003B4897">
            <w:pPr>
              <w:pStyle w:val="TableParagraph"/>
              <w:rPr>
                <w:rFonts w:ascii="Times New Roman"/>
                <w:sz w:val="16"/>
              </w:rPr>
            </w:pPr>
          </w:p>
          <w:p w:rsidR="00A83261" w:rsidRDefault="009716DC" w:rsidP="003B4897">
            <w:pPr>
              <w:pStyle w:val="TableParagraph"/>
              <w:rPr>
                <w:rFonts w:ascii="Times New Roman"/>
                <w:sz w:val="16"/>
              </w:rPr>
            </w:pPr>
            <w:r>
              <w:rPr>
                <w:rFonts w:ascii="Times New Roman"/>
                <w:sz w:val="16"/>
              </w:rPr>
              <w:t>The change of the screening tool before the start of the study may have created a confounding effect on the screening rate for the usual care arm</w:t>
            </w:r>
          </w:p>
        </w:tc>
        <w:tc>
          <w:tcPr>
            <w:tcW w:w="652" w:type="pct"/>
          </w:tcPr>
          <w:p w:rsidR="008D3580" w:rsidRDefault="009716DC" w:rsidP="003B4897">
            <w:pPr>
              <w:pStyle w:val="TableParagraph"/>
              <w:rPr>
                <w:rFonts w:ascii="Times New Roman"/>
                <w:sz w:val="16"/>
              </w:rPr>
            </w:pPr>
            <w:r>
              <w:rPr>
                <w:rFonts w:ascii="Times New Roman"/>
                <w:sz w:val="16"/>
              </w:rPr>
              <w:t>Level 1</w:t>
            </w:r>
          </w:p>
          <w:p w:rsidR="000C6847" w:rsidRDefault="000C6847" w:rsidP="003B4897">
            <w:pPr>
              <w:pStyle w:val="TableParagraph"/>
              <w:rPr>
                <w:rFonts w:ascii="Times New Roman"/>
                <w:sz w:val="16"/>
              </w:rPr>
            </w:pPr>
            <w:r>
              <w:rPr>
                <w:rFonts w:ascii="Times New Roman"/>
                <w:sz w:val="16"/>
              </w:rPr>
              <w:t>B (Good quality)</w:t>
            </w:r>
          </w:p>
        </w:tc>
      </w:tr>
      <w:tr w:rsidR="008D3580" w:rsidTr="003B4897">
        <w:trPr>
          <w:trHeight w:val="860"/>
        </w:trPr>
        <w:tc>
          <w:tcPr>
            <w:tcW w:w="375" w:type="pct"/>
          </w:tcPr>
          <w:p w:rsidR="008D3580" w:rsidRDefault="008D3580" w:rsidP="003B4897">
            <w:pPr>
              <w:pStyle w:val="TableParagraph"/>
              <w:rPr>
                <w:rFonts w:ascii="Times New Roman"/>
                <w:sz w:val="16"/>
              </w:rPr>
            </w:pPr>
          </w:p>
        </w:tc>
        <w:tc>
          <w:tcPr>
            <w:tcW w:w="633" w:type="pct"/>
          </w:tcPr>
          <w:p w:rsidR="008D3580" w:rsidRDefault="008D3580" w:rsidP="003B4897">
            <w:pPr>
              <w:pStyle w:val="TableParagraph"/>
              <w:rPr>
                <w:rFonts w:ascii="Times New Roman"/>
                <w:sz w:val="16"/>
              </w:rPr>
            </w:pPr>
          </w:p>
        </w:tc>
        <w:tc>
          <w:tcPr>
            <w:tcW w:w="611" w:type="pct"/>
          </w:tcPr>
          <w:p w:rsidR="008D3580" w:rsidRDefault="008D3580" w:rsidP="003B4897">
            <w:pPr>
              <w:pStyle w:val="TableParagraph"/>
              <w:rPr>
                <w:rFonts w:ascii="Times New Roman"/>
                <w:sz w:val="16"/>
              </w:rPr>
            </w:pPr>
          </w:p>
        </w:tc>
        <w:tc>
          <w:tcPr>
            <w:tcW w:w="649" w:type="pct"/>
          </w:tcPr>
          <w:p w:rsidR="008D3580" w:rsidRDefault="008D3580" w:rsidP="009D6494">
            <w:pPr>
              <w:pStyle w:val="TableParagraph"/>
              <w:tabs>
                <w:tab w:val="left" w:pos="1064"/>
              </w:tabs>
              <w:ind w:right="132"/>
              <w:rPr>
                <w:rFonts w:ascii="Gill Sans MT"/>
                <w:sz w:val="14"/>
              </w:rPr>
            </w:pPr>
          </w:p>
        </w:tc>
        <w:tc>
          <w:tcPr>
            <w:tcW w:w="804" w:type="pct"/>
          </w:tcPr>
          <w:p w:rsidR="008D3580" w:rsidRDefault="008D3580" w:rsidP="003B4897">
            <w:pPr>
              <w:pStyle w:val="TableParagraph"/>
              <w:rPr>
                <w:rFonts w:ascii="Times New Roman"/>
                <w:sz w:val="16"/>
              </w:rPr>
            </w:pPr>
          </w:p>
        </w:tc>
        <w:tc>
          <w:tcPr>
            <w:tcW w:w="623" w:type="pct"/>
          </w:tcPr>
          <w:p w:rsidR="008D3580" w:rsidRDefault="008D3580" w:rsidP="003B4897">
            <w:pPr>
              <w:pStyle w:val="TableParagraph"/>
              <w:rPr>
                <w:rFonts w:ascii="Times New Roman"/>
                <w:sz w:val="16"/>
              </w:rPr>
            </w:pPr>
          </w:p>
        </w:tc>
        <w:tc>
          <w:tcPr>
            <w:tcW w:w="652" w:type="pct"/>
          </w:tcPr>
          <w:p w:rsidR="008D3580" w:rsidRDefault="008D3580" w:rsidP="003B4897">
            <w:pPr>
              <w:pStyle w:val="TableParagraph"/>
              <w:rPr>
                <w:rFonts w:ascii="Times New Roman"/>
                <w:sz w:val="16"/>
              </w:rPr>
            </w:pPr>
          </w:p>
        </w:tc>
        <w:tc>
          <w:tcPr>
            <w:tcW w:w="652" w:type="pct"/>
          </w:tcPr>
          <w:p w:rsidR="008D3580" w:rsidRDefault="008D3580" w:rsidP="003B4897">
            <w:pPr>
              <w:pStyle w:val="TableParagraph"/>
              <w:rPr>
                <w:rFonts w:ascii="Times New Roman"/>
                <w:sz w:val="16"/>
              </w:rPr>
            </w:pPr>
          </w:p>
        </w:tc>
      </w:tr>
    </w:tbl>
    <w:p w:rsidR="008D3580" w:rsidRPr="008D3580" w:rsidRDefault="008D3580" w:rsidP="008D3580">
      <w:pPr>
        <w:spacing w:after="0" w:line="240" w:lineRule="auto"/>
        <w:rPr>
          <w:rFonts w:ascii="Times New Roman" w:eastAsia="Times New Roman" w:hAnsi="Times New Roman" w:cs="Times New Roman"/>
          <w:sz w:val="24"/>
          <w:szCs w:val="24"/>
        </w:rPr>
      </w:pPr>
    </w:p>
    <w:sectPr w:rsidR="008D3580" w:rsidRPr="008D3580" w:rsidSect="000D7BD1">
      <w:pgSz w:w="15840" w:h="1224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1" w15:restartNumberingAfterBreak="0">
    <w:nsid w:val="33D10BA7"/>
    <w:multiLevelType w:val="hybridMultilevel"/>
    <w:tmpl w:val="BC9896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A0"/>
    <w:rsid w:val="00013FD8"/>
    <w:rsid w:val="000577D3"/>
    <w:rsid w:val="000C6847"/>
    <w:rsid w:val="000D7BD1"/>
    <w:rsid w:val="000F3BF8"/>
    <w:rsid w:val="00110BCB"/>
    <w:rsid w:val="00124811"/>
    <w:rsid w:val="00124E23"/>
    <w:rsid w:val="001900E0"/>
    <w:rsid w:val="00264C45"/>
    <w:rsid w:val="002F7107"/>
    <w:rsid w:val="003E2B75"/>
    <w:rsid w:val="00423D47"/>
    <w:rsid w:val="004D0037"/>
    <w:rsid w:val="00560171"/>
    <w:rsid w:val="00562F9A"/>
    <w:rsid w:val="005C21A3"/>
    <w:rsid w:val="005F7129"/>
    <w:rsid w:val="0060133D"/>
    <w:rsid w:val="006B2143"/>
    <w:rsid w:val="0072261C"/>
    <w:rsid w:val="00753851"/>
    <w:rsid w:val="007745D8"/>
    <w:rsid w:val="007957CE"/>
    <w:rsid w:val="007D1EAC"/>
    <w:rsid w:val="007D6C30"/>
    <w:rsid w:val="00810640"/>
    <w:rsid w:val="008307A0"/>
    <w:rsid w:val="00843667"/>
    <w:rsid w:val="008514AA"/>
    <w:rsid w:val="008706AD"/>
    <w:rsid w:val="008944E1"/>
    <w:rsid w:val="008D3580"/>
    <w:rsid w:val="008F2F89"/>
    <w:rsid w:val="009716DC"/>
    <w:rsid w:val="00994088"/>
    <w:rsid w:val="009D6494"/>
    <w:rsid w:val="00A1287A"/>
    <w:rsid w:val="00A37746"/>
    <w:rsid w:val="00A57456"/>
    <w:rsid w:val="00A67188"/>
    <w:rsid w:val="00A81460"/>
    <w:rsid w:val="00A83261"/>
    <w:rsid w:val="00AC57F8"/>
    <w:rsid w:val="00AD2EFC"/>
    <w:rsid w:val="00B23B2F"/>
    <w:rsid w:val="00B6193F"/>
    <w:rsid w:val="00C11BC3"/>
    <w:rsid w:val="00C13AD3"/>
    <w:rsid w:val="00C37E4C"/>
    <w:rsid w:val="00C44E86"/>
    <w:rsid w:val="00C64690"/>
    <w:rsid w:val="00C70162"/>
    <w:rsid w:val="00DD5DA4"/>
    <w:rsid w:val="00DD7DD0"/>
    <w:rsid w:val="00DE1C4B"/>
    <w:rsid w:val="00E05967"/>
    <w:rsid w:val="00E24C43"/>
    <w:rsid w:val="00E50413"/>
    <w:rsid w:val="00EF46E3"/>
    <w:rsid w:val="00F25867"/>
    <w:rsid w:val="00F33DD5"/>
    <w:rsid w:val="00F95D16"/>
    <w:rsid w:val="00FB0CA0"/>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056D"/>
  <w15:chartTrackingRefBased/>
  <w15:docId w15:val="{B37D5D4C-CAC1-4461-AFF9-98492351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143"/>
    <w:rPr>
      <w:color w:val="0563C1" w:themeColor="hyperlink"/>
      <w:u w:val="single"/>
    </w:rPr>
  </w:style>
  <w:style w:type="character" w:customStyle="1" w:styleId="meta-citation">
    <w:name w:val="meta-citation"/>
    <w:basedOn w:val="DefaultParagraphFont"/>
    <w:rsid w:val="0072261C"/>
  </w:style>
  <w:style w:type="paragraph" w:customStyle="1" w:styleId="TableParagraph">
    <w:name w:val="Table Paragraph"/>
    <w:basedOn w:val="Normal"/>
    <w:uiPriority w:val="1"/>
    <w:qFormat/>
    <w:rsid w:val="008D3580"/>
    <w:pPr>
      <w:widowControl w:val="0"/>
      <w:autoSpaceDE w:val="0"/>
      <w:autoSpaceDN w:val="0"/>
      <w:spacing w:after="0" w:line="240" w:lineRule="auto"/>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8695">
      <w:bodyDiv w:val="1"/>
      <w:marLeft w:val="0"/>
      <w:marRight w:val="0"/>
      <w:marTop w:val="0"/>
      <w:marBottom w:val="0"/>
      <w:divBdr>
        <w:top w:val="none" w:sz="0" w:space="0" w:color="auto"/>
        <w:left w:val="none" w:sz="0" w:space="0" w:color="auto"/>
        <w:bottom w:val="none" w:sz="0" w:space="0" w:color="auto"/>
        <w:right w:val="none" w:sz="0" w:space="0" w:color="auto"/>
      </w:divBdr>
      <w:divsChild>
        <w:div w:id="1103380498">
          <w:marLeft w:val="0"/>
          <w:marRight w:val="0"/>
          <w:marTop w:val="0"/>
          <w:marBottom w:val="0"/>
          <w:divBdr>
            <w:top w:val="none" w:sz="0" w:space="0" w:color="auto"/>
            <w:left w:val="none" w:sz="0" w:space="0" w:color="auto"/>
            <w:bottom w:val="none" w:sz="0" w:space="0" w:color="auto"/>
            <w:right w:val="none" w:sz="0" w:space="0" w:color="auto"/>
          </w:divBdr>
        </w:div>
      </w:divsChild>
    </w:div>
    <w:div w:id="169293886">
      <w:bodyDiv w:val="1"/>
      <w:marLeft w:val="0"/>
      <w:marRight w:val="0"/>
      <w:marTop w:val="0"/>
      <w:marBottom w:val="0"/>
      <w:divBdr>
        <w:top w:val="none" w:sz="0" w:space="0" w:color="auto"/>
        <w:left w:val="none" w:sz="0" w:space="0" w:color="auto"/>
        <w:bottom w:val="none" w:sz="0" w:space="0" w:color="auto"/>
        <w:right w:val="none" w:sz="0" w:space="0" w:color="auto"/>
      </w:divBdr>
      <w:divsChild>
        <w:div w:id="1975982656">
          <w:marLeft w:val="0"/>
          <w:marRight w:val="0"/>
          <w:marTop w:val="0"/>
          <w:marBottom w:val="0"/>
          <w:divBdr>
            <w:top w:val="none" w:sz="0" w:space="0" w:color="auto"/>
            <w:left w:val="none" w:sz="0" w:space="0" w:color="auto"/>
            <w:bottom w:val="none" w:sz="0" w:space="0" w:color="auto"/>
            <w:right w:val="none" w:sz="0" w:space="0" w:color="auto"/>
          </w:divBdr>
        </w:div>
      </w:divsChild>
    </w:div>
    <w:div w:id="728921070">
      <w:bodyDiv w:val="1"/>
      <w:marLeft w:val="0"/>
      <w:marRight w:val="0"/>
      <w:marTop w:val="0"/>
      <w:marBottom w:val="0"/>
      <w:divBdr>
        <w:top w:val="none" w:sz="0" w:space="0" w:color="auto"/>
        <w:left w:val="none" w:sz="0" w:space="0" w:color="auto"/>
        <w:bottom w:val="none" w:sz="0" w:space="0" w:color="auto"/>
        <w:right w:val="none" w:sz="0" w:space="0" w:color="auto"/>
      </w:divBdr>
      <w:divsChild>
        <w:div w:id="852381499">
          <w:marLeft w:val="0"/>
          <w:marRight w:val="0"/>
          <w:marTop w:val="0"/>
          <w:marBottom w:val="0"/>
          <w:divBdr>
            <w:top w:val="none" w:sz="0" w:space="0" w:color="auto"/>
            <w:left w:val="none" w:sz="0" w:space="0" w:color="auto"/>
            <w:bottom w:val="none" w:sz="0" w:space="0" w:color="auto"/>
            <w:right w:val="none" w:sz="0" w:space="0" w:color="auto"/>
          </w:divBdr>
        </w:div>
      </w:divsChild>
    </w:div>
    <w:div w:id="984745628">
      <w:bodyDiv w:val="1"/>
      <w:marLeft w:val="0"/>
      <w:marRight w:val="0"/>
      <w:marTop w:val="0"/>
      <w:marBottom w:val="0"/>
      <w:divBdr>
        <w:top w:val="none" w:sz="0" w:space="0" w:color="auto"/>
        <w:left w:val="none" w:sz="0" w:space="0" w:color="auto"/>
        <w:bottom w:val="none" w:sz="0" w:space="0" w:color="auto"/>
        <w:right w:val="none" w:sz="0" w:space="0" w:color="auto"/>
      </w:divBdr>
      <w:divsChild>
        <w:div w:id="230775309">
          <w:marLeft w:val="0"/>
          <w:marRight w:val="0"/>
          <w:marTop w:val="0"/>
          <w:marBottom w:val="0"/>
          <w:divBdr>
            <w:top w:val="none" w:sz="0" w:space="0" w:color="auto"/>
            <w:left w:val="none" w:sz="0" w:space="0" w:color="auto"/>
            <w:bottom w:val="none" w:sz="0" w:space="0" w:color="auto"/>
            <w:right w:val="none" w:sz="0" w:space="0" w:color="auto"/>
          </w:divBdr>
        </w:div>
      </w:divsChild>
    </w:div>
    <w:div w:id="1198272778">
      <w:bodyDiv w:val="1"/>
      <w:marLeft w:val="0"/>
      <w:marRight w:val="0"/>
      <w:marTop w:val="0"/>
      <w:marBottom w:val="0"/>
      <w:divBdr>
        <w:top w:val="none" w:sz="0" w:space="0" w:color="auto"/>
        <w:left w:val="none" w:sz="0" w:space="0" w:color="auto"/>
        <w:bottom w:val="none" w:sz="0" w:space="0" w:color="auto"/>
        <w:right w:val="none" w:sz="0" w:space="0" w:color="auto"/>
      </w:divBdr>
      <w:divsChild>
        <w:div w:id="490295870">
          <w:marLeft w:val="0"/>
          <w:marRight w:val="0"/>
          <w:marTop w:val="0"/>
          <w:marBottom w:val="0"/>
          <w:divBdr>
            <w:top w:val="none" w:sz="0" w:space="0" w:color="auto"/>
            <w:left w:val="none" w:sz="0" w:space="0" w:color="auto"/>
            <w:bottom w:val="none" w:sz="0" w:space="0" w:color="auto"/>
            <w:right w:val="none" w:sz="0" w:space="0" w:color="auto"/>
          </w:divBdr>
        </w:div>
      </w:divsChild>
    </w:div>
    <w:div w:id="1533958764">
      <w:bodyDiv w:val="1"/>
      <w:marLeft w:val="0"/>
      <w:marRight w:val="0"/>
      <w:marTop w:val="0"/>
      <w:marBottom w:val="0"/>
      <w:divBdr>
        <w:top w:val="none" w:sz="0" w:space="0" w:color="auto"/>
        <w:left w:val="none" w:sz="0" w:space="0" w:color="auto"/>
        <w:bottom w:val="none" w:sz="0" w:space="0" w:color="auto"/>
        <w:right w:val="none" w:sz="0" w:space="0" w:color="auto"/>
      </w:divBdr>
      <w:divsChild>
        <w:div w:id="230119269">
          <w:marLeft w:val="0"/>
          <w:marRight w:val="0"/>
          <w:marTop w:val="0"/>
          <w:marBottom w:val="0"/>
          <w:divBdr>
            <w:top w:val="none" w:sz="0" w:space="0" w:color="auto"/>
            <w:left w:val="none" w:sz="0" w:space="0" w:color="auto"/>
            <w:bottom w:val="none" w:sz="0" w:space="0" w:color="auto"/>
            <w:right w:val="none" w:sz="0" w:space="0" w:color="auto"/>
          </w:divBdr>
        </w:div>
      </w:divsChild>
    </w:div>
    <w:div w:id="1690717968">
      <w:bodyDiv w:val="1"/>
      <w:marLeft w:val="0"/>
      <w:marRight w:val="0"/>
      <w:marTop w:val="0"/>
      <w:marBottom w:val="0"/>
      <w:divBdr>
        <w:top w:val="none" w:sz="0" w:space="0" w:color="auto"/>
        <w:left w:val="none" w:sz="0" w:space="0" w:color="auto"/>
        <w:bottom w:val="none" w:sz="0" w:space="0" w:color="auto"/>
        <w:right w:val="none" w:sz="0" w:space="0" w:color="auto"/>
      </w:divBdr>
      <w:divsChild>
        <w:div w:id="926114395">
          <w:marLeft w:val="0"/>
          <w:marRight w:val="0"/>
          <w:marTop w:val="0"/>
          <w:marBottom w:val="0"/>
          <w:divBdr>
            <w:top w:val="none" w:sz="0" w:space="0" w:color="auto"/>
            <w:left w:val="none" w:sz="0" w:space="0" w:color="auto"/>
            <w:bottom w:val="none" w:sz="0" w:space="0" w:color="auto"/>
            <w:right w:val="none" w:sz="0" w:space="0" w:color="auto"/>
          </w:divBdr>
        </w:div>
      </w:divsChild>
    </w:div>
    <w:div w:id="1697727845">
      <w:bodyDiv w:val="1"/>
      <w:marLeft w:val="0"/>
      <w:marRight w:val="0"/>
      <w:marTop w:val="0"/>
      <w:marBottom w:val="0"/>
      <w:divBdr>
        <w:top w:val="none" w:sz="0" w:space="0" w:color="auto"/>
        <w:left w:val="none" w:sz="0" w:space="0" w:color="auto"/>
        <w:bottom w:val="none" w:sz="0" w:space="0" w:color="auto"/>
        <w:right w:val="none" w:sz="0" w:space="0" w:color="auto"/>
      </w:divBdr>
      <w:divsChild>
        <w:div w:id="854853155">
          <w:marLeft w:val="0"/>
          <w:marRight w:val="0"/>
          <w:marTop w:val="0"/>
          <w:marBottom w:val="0"/>
          <w:divBdr>
            <w:top w:val="none" w:sz="0" w:space="0" w:color="auto"/>
            <w:left w:val="none" w:sz="0" w:space="0" w:color="auto"/>
            <w:bottom w:val="none" w:sz="0" w:space="0" w:color="auto"/>
            <w:right w:val="none" w:sz="0" w:space="0" w:color="auto"/>
          </w:divBdr>
        </w:div>
      </w:divsChild>
    </w:div>
    <w:div w:id="1855151227">
      <w:bodyDiv w:val="1"/>
      <w:marLeft w:val="0"/>
      <w:marRight w:val="0"/>
      <w:marTop w:val="0"/>
      <w:marBottom w:val="0"/>
      <w:divBdr>
        <w:top w:val="none" w:sz="0" w:space="0" w:color="auto"/>
        <w:left w:val="none" w:sz="0" w:space="0" w:color="auto"/>
        <w:bottom w:val="none" w:sz="0" w:space="0" w:color="auto"/>
        <w:right w:val="none" w:sz="0" w:space="0" w:color="auto"/>
      </w:divBdr>
      <w:divsChild>
        <w:div w:id="1034232190">
          <w:marLeft w:val="0"/>
          <w:marRight w:val="0"/>
          <w:marTop w:val="0"/>
          <w:marBottom w:val="0"/>
          <w:divBdr>
            <w:top w:val="none" w:sz="0" w:space="0" w:color="auto"/>
            <w:left w:val="none" w:sz="0" w:space="0" w:color="auto"/>
            <w:bottom w:val="none" w:sz="0" w:space="0" w:color="auto"/>
            <w:right w:val="none" w:sz="0" w:space="0" w:color="auto"/>
          </w:divBdr>
        </w:div>
      </w:divsChild>
    </w:div>
    <w:div w:id="1965960661">
      <w:bodyDiv w:val="1"/>
      <w:marLeft w:val="0"/>
      <w:marRight w:val="0"/>
      <w:marTop w:val="0"/>
      <w:marBottom w:val="0"/>
      <w:divBdr>
        <w:top w:val="none" w:sz="0" w:space="0" w:color="auto"/>
        <w:left w:val="none" w:sz="0" w:space="0" w:color="auto"/>
        <w:bottom w:val="none" w:sz="0" w:space="0" w:color="auto"/>
        <w:right w:val="none" w:sz="0" w:space="0" w:color="auto"/>
      </w:divBdr>
      <w:divsChild>
        <w:div w:id="25810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75-021-01550-5" TargetMode="External"/><Relationship Id="rId13" Type="http://schemas.openxmlformats.org/officeDocument/2006/relationships/hyperlink" Target="https://doi.org/10.1111/phn.12941" TargetMode="External"/><Relationship Id="rId3" Type="http://schemas.openxmlformats.org/officeDocument/2006/relationships/settings" Target="settings.xml"/><Relationship Id="rId7" Type="http://schemas.openxmlformats.org/officeDocument/2006/relationships/hyperlink" Target="https://doi.org/10.1007/s11606-022-07779-9" TargetMode="External"/><Relationship Id="rId12" Type="http://schemas.openxmlformats.org/officeDocument/2006/relationships/hyperlink" Target="https://doi.org/10.3928/02793695-20190610-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02/hbe2.216" TargetMode="External"/><Relationship Id="rId11" Type="http://schemas.openxmlformats.org/officeDocument/2006/relationships/hyperlink" Target="https://doi.org/10.3928/00485713-20230215-01" TargetMode="External"/><Relationship Id="rId5" Type="http://schemas.openxmlformats.org/officeDocument/2006/relationships/hyperlink" Target="https://doi.org/10.1016/s0027-9684(15)30380-1" TargetMode="External"/><Relationship Id="rId15" Type="http://schemas.openxmlformats.org/officeDocument/2006/relationships/hyperlink" Target="https://doi.org/10.1001/jama.2015.18392" TargetMode="External"/><Relationship Id="rId10" Type="http://schemas.openxmlformats.org/officeDocument/2006/relationships/hyperlink" Target="https://www.health.state.mn.us/communities/practices/research/phncouncil/docs/PHInterventions.pdf" TargetMode="External"/><Relationship Id="rId4" Type="http://schemas.openxmlformats.org/officeDocument/2006/relationships/webSettings" Target="webSettings.xml"/><Relationship Id="rId9" Type="http://schemas.openxmlformats.org/officeDocument/2006/relationships/hyperlink" Target="https://doi.org/10.3934/publichealth.2018.1.13" TargetMode="External"/><Relationship Id="rId14" Type="http://schemas.openxmlformats.org/officeDocument/2006/relationships/hyperlink" Target="https://doi.org/10.1177/2150132720931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2023-09-13T23:06:00Z</dcterms:created>
  <dcterms:modified xsi:type="dcterms:W3CDTF">2023-09-14T00:50:00Z</dcterms:modified>
</cp:coreProperties>
</file>