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D36C8" w14:textId="09D2AF11" w:rsidR="00D027C4" w:rsidRDefault="005121AB" w:rsidP="00A746C8">
      <w:pPr>
        <w:spacing w:after="0" w:line="480" w:lineRule="auto"/>
        <w:rPr>
          <w:rFonts w:ascii="Times New Roman" w:hAnsi="Times New Roman" w:cs="Times New Roman"/>
          <w:sz w:val="24"/>
          <w:szCs w:val="24"/>
        </w:rPr>
      </w:pPr>
      <w:r>
        <w:rPr>
          <w:rFonts w:ascii="Times New Roman" w:hAnsi="Times New Roman" w:cs="Times New Roman"/>
          <w:sz w:val="24"/>
          <w:szCs w:val="24"/>
        </w:rPr>
        <w:t>The increasing rate of WPV at the practice setting has been an ongoing challenge requiring an immediate solution.</w:t>
      </w:r>
      <w:r>
        <w:rPr>
          <w:rFonts w:ascii="Times New Roman" w:hAnsi="Times New Roman" w:cs="Times New Roman"/>
          <w:sz w:val="24"/>
          <w:szCs w:val="24"/>
        </w:rPr>
        <w:t xml:space="preserve"> Consistent with</w:t>
      </w:r>
      <w:r w:rsidR="005D4E8B">
        <w:rPr>
          <w:rFonts w:ascii="Times New Roman" w:hAnsi="Times New Roman" w:cs="Times New Roman"/>
          <w:sz w:val="24"/>
          <w:szCs w:val="24"/>
        </w:rPr>
        <w:t xml:space="preserve"> </w:t>
      </w:r>
      <w:proofErr w:type="spellStart"/>
      <w:r w:rsidR="005D4E8B">
        <w:rPr>
          <w:rFonts w:ascii="Times New Roman" w:hAnsi="Times New Roman" w:cs="Times New Roman"/>
          <w:sz w:val="24"/>
          <w:szCs w:val="24"/>
        </w:rPr>
        <w:t>D’Ettorre</w:t>
      </w:r>
      <w:proofErr w:type="spellEnd"/>
      <w:r w:rsidR="005D4E8B">
        <w:rPr>
          <w:rFonts w:ascii="Times New Roman" w:hAnsi="Times New Roman" w:cs="Times New Roman"/>
          <w:sz w:val="24"/>
          <w:szCs w:val="24"/>
        </w:rPr>
        <w:t xml:space="preserve"> et al. (2021)</w:t>
      </w:r>
      <w:r w:rsidR="0096147B">
        <w:rPr>
          <w:rFonts w:ascii="Times New Roman" w:hAnsi="Times New Roman" w:cs="Times New Roman"/>
          <w:sz w:val="24"/>
          <w:szCs w:val="24"/>
        </w:rPr>
        <w:t xml:space="preserve">, the sequalae of violent attacks could involve somatic injuries, psychological consequences, post-traumatic stress disorder symptoms, self-blame, low job satisfaction, increased intention to leave, and high turnover rates. </w:t>
      </w:r>
      <w:r>
        <w:rPr>
          <w:rFonts w:ascii="Times New Roman" w:hAnsi="Times New Roman" w:cs="Times New Roman"/>
          <w:sz w:val="24"/>
          <w:szCs w:val="24"/>
        </w:rPr>
        <w:t>The development, implementation, and evaluation of the WPV prevention program would involve the following multi-stakeholder team</w:t>
      </w:r>
      <w:r w:rsidR="00BF4A11">
        <w:rPr>
          <w:rFonts w:ascii="Times New Roman" w:hAnsi="Times New Roman" w:cs="Times New Roman"/>
          <w:sz w:val="24"/>
          <w:szCs w:val="24"/>
        </w:rPr>
        <w:t xml:space="preserve">: </w:t>
      </w:r>
      <w:r w:rsidR="00DC3525">
        <w:rPr>
          <w:rFonts w:ascii="Times New Roman" w:hAnsi="Times New Roman" w:cs="Times New Roman"/>
          <w:sz w:val="24"/>
          <w:szCs w:val="24"/>
        </w:rPr>
        <w:t xml:space="preserve">security staff, human resources, </w:t>
      </w:r>
      <w:r w:rsidR="001020AD">
        <w:rPr>
          <w:rFonts w:ascii="Times New Roman" w:hAnsi="Times New Roman" w:cs="Times New Roman"/>
          <w:sz w:val="24"/>
          <w:szCs w:val="24"/>
        </w:rPr>
        <w:t>clinical</w:t>
      </w:r>
      <w:r w:rsidR="00CC21E1">
        <w:rPr>
          <w:rFonts w:ascii="Times New Roman" w:hAnsi="Times New Roman" w:cs="Times New Roman"/>
          <w:sz w:val="24"/>
          <w:szCs w:val="24"/>
        </w:rPr>
        <w:t xml:space="preserve"> supervisors, nursing staff</w:t>
      </w:r>
      <w:r w:rsidR="001020AD">
        <w:rPr>
          <w:rFonts w:ascii="Times New Roman" w:hAnsi="Times New Roman" w:cs="Times New Roman"/>
          <w:sz w:val="24"/>
          <w:szCs w:val="24"/>
        </w:rPr>
        <w:t>, and the administration. While each stakeholder group will have individual roles and responsibility, the team is expected to represent shared perspectives of security, safety culture, physical environment, emergency preparedness, regulations, safety event reporting, and patient advocacy. In dev</w:t>
      </w:r>
      <w:r w:rsidR="00245C7E">
        <w:rPr>
          <w:rFonts w:ascii="Times New Roman" w:hAnsi="Times New Roman" w:cs="Times New Roman"/>
          <w:sz w:val="24"/>
          <w:szCs w:val="24"/>
        </w:rPr>
        <w:t xml:space="preserve">eloping and implementing the WVP program, the following steps will be considered. </w:t>
      </w:r>
    </w:p>
    <w:p w14:paraId="58141EEC" w14:textId="7008C03A" w:rsidR="00245C7E" w:rsidRDefault="00245C7E" w:rsidP="00245C7E">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Establishment of a steering committee: </w:t>
      </w:r>
      <w:r w:rsidR="009212BD">
        <w:rPr>
          <w:rFonts w:ascii="Times New Roman" w:hAnsi="Times New Roman" w:cs="Times New Roman"/>
          <w:sz w:val="24"/>
          <w:szCs w:val="24"/>
        </w:rPr>
        <w:t xml:space="preserve">The development of a steering committee will focus on bringing different perspectives and opinions that would facilitate changes to policies and procedures. The team will be responsible for developing security and safety plan, policy, and goals and requesting or allocating adequate resources for the  </w:t>
      </w:r>
    </w:p>
    <w:p w14:paraId="7F6C1911" w14:textId="194BEBD4" w:rsidR="009212BD" w:rsidRDefault="009212BD" w:rsidP="00245C7E">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Hazard identification and worksite analysis: The systematic process will involve assessing the existing and potential hazards that may cause incidents. The assessment will be continuous to ensure </w:t>
      </w:r>
      <w:r w:rsidR="00310433">
        <w:rPr>
          <w:rFonts w:ascii="Times New Roman" w:hAnsi="Times New Roman" w:cs="Times New Roman"/>
          <w:sz w:val="24"/>
          <w:szCs w:val="24"/>
        </w:rPr>
        <w:t xml:space="preserve">constant updating the plans, policy, and goals. </w:t>
      </w:r>
    </w:p>
    <w:p w14:paraId="7ED83E0D" w14:textId="1AA0D148" w:rsidR="009212BD" w:rsidRDefault="009212BD" w:rsidP="00245C7E">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Staff </w:t>
      </w:r>
      <w:r w:rsidR="00310433">
        <w:rPr>
          <w:rFonts w:ascii="Times New Roman" w:hAnsi="Times New Roman" w:cs="Times New Roman"/>
          <w:sz w:val="24"/>
          <w:szCs w:val="24"/>
        </w:rPr>
        <w:t xml:space="preserve">safety and health </w:t>
      </w:r>
      <w:r>
        <w:rPr>
          <w:rFonts w:ascii="Times New Roman" w:hAnsi="Times New Roman" w:cs="Times New Roman"/>
          <w:sz w:val="24"/>
          <w:szCs w:val="24"/>
        </w:rPr>
        <w:t xml:space="preserve">training: Following the establishment of a steering committee, all staff members will undergo training on violence prevention. The ED staff will receive additional training on de-escalation techniques, workplace safety practices, and trauma-informed care. </w:t>
      </w:r>
    </w:p>
    <w:p w14:paraId="268977D2" w14:textId="4649AD71" w:rsidR="00310433" w:rsidRDefault="00310433" w:rsidP="00245C7E">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Development of a violence reporting system: The system will make reporting standardized and mandatory.</w:t>
      </w:r>
    </w:p>
    <w:p w14:paraId="2097EB88" w14:textId="4835DE75" w:rsidR="009212BD" w:rsidRDefault="00310433" w:rsidP="00245C7E">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Recordkeeping and </w:t>
      </w:r>
      <w:r w:rsidR="005D4E8B">
        <w:rPr>
          <w:rFonts w:ascii="Times New Roman" w:hAnsi="Times New Roman" w:cs="Times New Roman"/>
          <w:sz w:val="24"/>
          <w:szCs w:val="24"/>
        </w:rPr>
        <w:t xml:space="preserve">continuous </w:t>
      </w:r>
      <w:r>
        <w:rPr>
          <w:rFonts w:ascii="Times New Roman" w:hAnsi="Times New Roman" w:cs="Times New Roman"/>
          <w:sz w:val="24"/>
          <w:szCs w:val="24"/>
        </w:rPr>
        <w:t>program evaluation: The step will focus on determining the effectiveness of the program and identifying possible deficiencies</w:t>
      </w:r>
      <w:r w:rsidR="005D4E8B">
        <w:rPr>
          <w:rFonts w:ascii="Times New Roman" w:hAnsi="Times New Roman" w:cs="Times New Roman"/>
          <w:sz w:val="24"/>
          <w:szCs w:val="24"/>
        </w:rPr>
        <w:t xml:space="preserve"> to ensure proactive changes depending on needs</w:t>
      </w:r>
      <w:r>
        <w:rPr>
          <w:rFonts w:ascii="Times New Roman" w:hAnsi="Times New Roman" w:cs="Times New Roman"/>
          <w:sz w:val="24"/>
          <w:szCs w:val="24"/>
        </w:rPr>
        <w:t>.</w:t>
      </w:r>
    </w:p>
    <w:p w14:paraId="55A4062B" w14:textId="0332D044" w:rsidR="005D4E8B" w:rsidRDefault="005D4E8B" w:rsidP="005D4E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4F6C6ABD" w14:textId="01AED2F3" w:rsidR="005D4E8B" w:rsidRPr="005D4E8B" w:rsidRDefault="005D4E8B" w:rsidP="005D4E8B">
      <w:pPr>
        <w:spacing w:after="0" w:line="480" w:lineRule="auto"/>
        <w:ind w:left="720" w:hanging="720"/>
        <w:rPr>
          <w:rFonts w:ascii="Times New Roman" w:eastAsia="Times New Roman" w:hAnsi="Times New Roman" w:cs="Times New Roman"/>
          <w:sz w:val="24"/>
          <w:szCs w:val="24"/>
          <w:lang w:val="en-GB" w:eastAsia="en-GB"/>
        </w:rPr>
      </w:pPr>
      <w:proofErr w:type="spellStart"/>
      <w:r w:rsidRPr="005D4E8B">
        <w:rPr>
          <w:rFonts w:ascii="Times New Roman" w:eastAsia="Times New Roman" w:hAnsi="Times New Roman" w:cs="Times New Roman"/>
          <w:sz w:val="24"/>
          <w:szCs w:val="24"/>
          <w:lang w:val="en-GB" w:eastAsia="en-GB"/>
        </w:rPr>
        <w:t>D'Ettorre</w:t>
      </w:r>
      <w:proofErr w:type="spellEnd"/>
      <w:r w:rsidRPr="005D4E8B">
        <w:rPr>
          <w:rFonts w:ascii="Times New Roman" w:eastAsia="Times New Roman" w:hAnsi="Times New Roman" w:cs="Times New Roman"/>
          <w:sz w:val="24"/>
          <w:szCs w:val="24"/>
          <w:lang w:val="en-GB" w:eastAsia="en-GB"/>
        </w:rPr>
        <w:t xml:space="preserve">, G., </w:t>
      </w:r>
      <w:proofErr w:type="spellStart"/>
      <w:r w:rsidRPr="005D4E8B">
        <w:rPr>
          <w:rFonts w:ascii="Times New Roman" w:eastAsia="Times New Roman" w:hAnsi="Times New Roman" w:cs="Times New Roman"/>
          <w:sz w:val="24"/>
          <w:szCs w:val="24"/>
          <w:lang w:val="en-GB" w:eastAsia="en-GB"/>
        </w:rPr>
        <w:t>Pellicani</w:t>
      </w:r>
      <w:proofErr w:type="spellEnd"/>
      <w:r w:rsidRPr="005D4E8B">
        <w:rPr>
          <w:rFonts w:ascii="Times New Roman" w:eastAsia="Times New Roman" w:hAnsi="Times New Roman" w:cs="Times New Roman"/>
          <w:sz w:val="24"/>
          <w:szCs w:val="24"/>
          <w:lang w:val="en-GB" w:eastAsia="en-GB"/>
        </w:rPr>
        <w:t xml:space="preserve">, V., </w:t>
      </w:r>
      <w:proofErr w:type="spellStart"/>
      <w:r w:rsidRPr="005D4E8B">
        <w:rPr>
          <w:rFonts w:ascii="Times New Roman" w:eastAsia="Times New Roman" w:hAnsi="Times New Roman" w:cs="Times New Roman"/>
          <w:sz w:val="24"/>
          <w:szCs w:val="24"/>
          <w:lang w:val="en-GB" w:eastAsia="en-GB"/>
        </w:rPr>
        <w:t>Mazzotta</w:t>
      </w:r>
      <w:proofErr w:type="spellEnd"/>
      <w:r w:rsidRPr="005D4E8B">
        <w:rPr>
          <w:rFonts w:ascii="Times New Roman" w:eastAsia="Times New Roman" w:hAnsi="Times New Roman" w:cs="Times New Roman"/>
          <w:sz w:val="24"/>
          <w:szCs w:val="24"/>
          <w:lang w:val="en-GB" w:eastAsia="en-GB"/>
        </w:rPr>
        <w:t xml:space="preserve">, M., &amp; </w:t>
      </w:r>
      <w:proofErr w:type="spellStart"/>
      <w:r w:rsidRPr="005D4E8B">
        <w:rPr>
          <w:rFonts w:ascii="Times New Roman" w:eastAsia="Times New Roman" w:hAnsi="Times New Roman" w:cs="Times New Roman"/>
          <w:sz w:val="24"/>
          <w:szCs w:val="24"/>
          <w:lang w:val="en-GB" w:eastAsia="en-GB"/>
        </w:rPr>
        <w:t>Vullo</w:t>
      </w:r>
      <w:proofErr w:type="spellEnd"/>
      <w:r w:rsidRPr="005D4E8B">
        <w:rPr>
          <w:rFonts w:ascii="Times New Roman" w:eastAsia="Times New Roman" w:hAnsi="Times New Roman" w:cs="Times New Roman"/>
          <w:sz w:val="24"/>
          <w:szCs w:val="24"/>
          <w:lang w:val="en-GB" w:eastAsia="en-GB"/>
        </w:rPr>
        <w:t xml:space="preserve">, A. (2018). Preventing and managing workplace violence against healthcare workers in Emergency Departments. </w:t>
      </w:r>
      <w:r w:rsidRPr="005D4E8B">
        <w:rPr>
          <w:rFonts w:ascii="Times New Roman" w:eastAsia="Times New Roman" w:hAnsi="Times New Roman" w:cs="Times New Roman"/>
          <w:i/>
          <w:iCs/>
          <w:sz w:val="24"/>
          <w:szCs w:val="24"/>
          <w:lang w:val="en-GB" w:eastAsia="en-GB"/>
        </w:rPr>
        <w:t>Acta bio-</w:t>
      </w:r>
      <w:proofErr w:type="spellStart"/>
      <w:proofErr w:type="gramStart"/>
      <w:r w:rsidRPr="005D4E8B">
        <w:rPr>
          <w:rFonts w:ascii="Times New Roman" w:eastAsia="Times New Roman" w:hAnsi="Times New Roman" w:cs="Times New Roman"/>
          <w:i/>
          <w:iCs/>
          <w:sz w:val="24"/>
          <w:szCs w:val="24"/>
          <w:lang w:val="en-GB" w:eastAsia="en-GB"/>
        </w:rPr>
        <w:t>medica</w:t>
      </w:r>
      <w:proofErr w:type="spellEnd"/>
      <w:r w:rsidRPr="005D4E8B">
        <w:rPr>
          <w:rFonts w:ascii="Times New Roman" w:eastAsia="Times New Roman" w:hAnsi="Times New Roman" w:cs="Times New Roman"/>
          <w:i/>
          <w:iCs/>
          <w:sz w:val="24"/>
          <w:szCs w:val="24"/>
          <w:lang w:val="en-GB" w:eastAsia="en-GB"/>
        </w:rPr>
        <w:t xml:space="preserve"> :</w:t>
      </w:r>
      <w:proofErr w:type="gramEnd"/>
      <w:r w:rsidRPr="005D4E8B">
        <w:rPr>
          <w:rFonts w:ascii="Times New Roman" w:eastAsia="Times New Roman" w:hAnsi="Times New Roman" w:cs="Times New Roman"/>
          <w:i/>
          <w:iCs/>
          <w:sz w:val="24"/>
          <w:szCs w:val="24"/>
          <w:lang w:val="en-GB" w:eastAsia="en-GB"/>
        </w:rPr>
        <w:t xml:space="preserve"> </w:t>
      </w:r>
      <w:proofErr w:type="spellStart"/>
      <w:r w:rsidRPr="005D4E8B">
        <w:rPr>
          <w:rFonts w:ascii="Times New Roman" w:eastAsia="Times New Roman" w:hAnsi="Times New Roman" w:cs="Times New Roman"/>
          <w:i/>
          <w:iCs/>
          <w:sz w:val="24"/>
          <w:szCs w:val="24"/>
          <w:lang w:val="en-GB" w:eastAsia="en-GB"/>
        </w:rPr>
        <w:t>Atenei</w:t>
      </w:r>
      <w:proofErr w:type="spellEnd"/>
      <w:r w:rsidRPr="005D4E8B">
        <w:rPr>
          <w:rFonts w:ascii="Times New Roman" w:eastAsia="Times New Roman" w:hAnsi="Times New Roman" w:cs="Times New Roman"/>
          <w:i/>
          <w:iCs/>
          <w:sz w:val="24"/>
          <w:szCs w:val="24"/>
          <w:lang w:val="en-GB" w:eastAsia="en-GB"/>
        </w:rPr>
        <w:t xml:space="preserve"> </w:t>
      </w:r>
      <w:proofErr w:type="spellStart"/>
      <w:r w:rsidRPr="005D4E8B">
        <w:rPr>
          <w:rFonts w:ascii="Times New Roman" w:eastAsia="Times New Roman" w:hAnsi="Times New Roman" w:cs="Times New Roman"/>
          <w:i/>
          <w:iCs/>
          <w:sz w:val="24"/>
          <w:szCs w:val="24"/>
          <w:lang w:val="en-GB" w:eastAsia="en-GB"/>
        </w:rPr>
        <w:t>Parmensis</w:t>
      </w:r>
      <w:proofErr w:type="spellEnd"/>
      <w:r w:rsidRPr="005D4E8B">
        <w:rPr>
          <w:rFonts w:ascii="Times New Roman" w:eastAsia="Times New Roman" w:hAnsi="Times New Roman" w:cs="Times New Roman"/>
          <w:sz w:val="24"/>
          <w:szCs w:val="24"/>
          <w:lang w:val="en-GB" w:eastAsia="en-GB"/>
        </w:rPr>
        <w:t xml:space="preserve">, </w:t>
      </w:r>
      <w:r w:rsidRPr="005D4E8B">
        <w:rPr>
          <w:rFonts w:ascii="Times New Roman" w:eastAsia="Times New Roman" w:hAnsi="Times New Roman" w:cs="Times New Roman"/>
          <w:i/>
          <w:iCs/>
          <w:sz w:val="24"/>
          <w:szCs w:val="24"/>
          <w:lang w:val="en-GB" w:eastAsia="en-GB"/>
        </w:rPr>
        <w:t>89</w:t>
      </w:r>
      <w:r w:rsidRPr="005D4E8B">
        <w:rPr>
          <w:rFonts w:ascii="Times New Roman" w:eastAsia="Times New Roman" w:hAnsi="Times New Roman" w:cs="Times New Roman"/>
          <w:sz w:val="24"/>
          <w:szCs w:val="24"/>
          <w:lang w:val="en-GB" w:eastAsia="en-GB"/>
        </w:rPr>
        <w:t>(4-S), 28–36. https://doi.org/10.23750/abm.v89i4-S.7113</w:t>
      </w:r>
      <w:bookmarkStart w:id="0" w:name="_GoBack"/>
      <w:bookmarkEnd w:id="0"/>
    </w:p>
    <w:sectPr w:rsidR="005D4E8B" w:rsidRPr="005D4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2D14"/>
    <w:multiLevelType w:val="hybridMultilevel"/>
    <w:tmpl w:val="7C960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C8"/>
    <w:rsid w:val="001020AD"/>
    <w:rsid w:val="00245C7E"/>
    <w:rsid w:val="00310433"/>
    <w:rsid w:val="005121AB"/>
    <w:rsid w:val="005D4E8B"/>
    <w:rsid w:val="009212BD"/>
    <w:rsid w:val="0096147B"/>
    <w:rsid w:val="00A26797"/>
    <w:rsid w:val="00A746C8"/>
    <w:rsid w:val="00BF4A11"/>
    <w:rsid w:val="00CC21E1"/>
    <w:rsid w:val="00D027C4"/>
    <w:rsid w:val="00DC3525"/>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AD0B"/>
  <w15:chartTrackingRefBased/>
  <w15:docId w15:val="{3708AB40-07F6-4888-8427-07595DAB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47B"/>
    <w:rPr>
      <w:color w:val="0563C1" w:themeColor="hyperlink"/>
      <w:u w:val="single"/>
    </w:rPr>
  </w:style>
  <w:style w:type="character" w:styleId="UnresolvedMention">
    <w:name w:val="Unresolved Mention"/>
    <w:basedOn w:val="DefaultParagraphFont"/>
    <w:uiPriority w:val="99"/>
    <w:semiHidden/>
    <w:unhideWhenUsed/>
    <w:rsid w:val="0096147B"/>
    <w:rPr>
      <w:color w:val="605E5C"/>
      <w:shd w:val="clear" w:color="auto" w:fill="E1DFDD"/>
    </w:rPr>
  </w:style>
  <w:style w:type="paragraph" w:styleId="ListParagraph">
    <w:name w:val="List Paragraph"/>
    <w:basedOn w:val="Normal"/>
    <w:uiPriority w:val="34"/>
    <w:qFormat/>
    <w:rsid w:val="00245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99454">
      <w:bodyDiv w:val="1"/>
      <w:marLeft w:val="0"/>
      <w:marRight w:val="0"/>
      <w:marTop w:val="0"/>
      <w:marBottom w:val="0"/>
      <w:divBdr>
        <w:top w:val="none" w:sz="0" w:space="0" w:color="auto"/>
        <w:left w:val="none" w:sz="0" w:space="0" w:color="auto"/>
        <w:bottom w:val="none" w:sz="0" w:space="0" w:color="auto"/>
        <w:right w:val="none" w:sz="0" w:space="0" w:color="auto"/>
      </w:divBdr>
      <w:divsChild>
        <w:div w:id="1645039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1006</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2024-03-31T22:09:00Z</dcterms:created>
  <dcterms:modified xsi:type="dcterms:W3CDTF">2024-04-01T17:24:00Z</dcterms:modified>
</cp:coreProperties>
</file>