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6EE14" w14:textId="6DE3C94E" w:rsidR="00253A0F" w:rsidRPr="00253A0F" w:rsidRDefault="00253A0F" w:rsidP="00253A0F">
      <w:pPr>
        <w:jc w:val="center"/>
        <w:rPr>
          <w:b/>
        </w:rPr>
      </w:pPr>
      <w:r>
        <w:rPr>
          <w:b/>
        </w:rPr>
        <w:t>Group-Facilitated Discussion</w:t>
      </w:r>
    </w:p>
    <w:p w14:paraId="6BD90978" w14:textId="2D52B92E" w:rsidR="00F61F85" w:rsidRDefault="00E86D07" w:rsidP="00253A0F">
      <w:pPr>
        <w:ind w:firstLine="720"/>
      </w:pPr>
      <w:r>
        <w:t>Early identification</w:t>
      </w:r>
      <w:r w:rsidR="00253A0F">
        <w:t xml:space="preserve"> and</w:t>
      </w:r>
      <w:r>
        <w:t xml:space="preserve"> understandi</w:t>
      </w:r>
      <w:bookmarkStart w:id="0" w:name="_GoBack"/>
      <w:bookmarkEnd w:id="0"/>
      <w:r>
        <w:t>ng</w:t>
      </w:r>
      <w:r w:rsidR="00253A0F">
        <w:t xml:space="preserve"> of ADHD in children and adolescents </w:t>
      </w:r>
      <w:proofErr w:type="gramStart"/>
      <w:r w:rsidR="00253A0F">
        <w:t>is</w:t>
      </w:r>
      <w:proofErr w:type="gramEnd"/>
      <w:r w:rsidR="00253A0F">
        <w:t xml:space="preserve"> essential for optimal long-term outcomes.</w:t>
      </w:r>
      <w:r w:rsidR="000E6359">
        <w:t xml:space="preserve"> As observed by</w:t>
      </w:r>
      <w:r w:rsidR="00053F29">
        <w:t xml:space="preserve"> Miller et al. (2023)</w:t>
      </w:r>
      <w:r w:rsidR="000E6359">
        <w:t xml:space="preserve">, this could enable the implementation of appropriate preventive interventions aimed at reducing the likelihood of impairing levels of symptoms and subsequent complications. Indeed, early treatment has been shown to be predictive of prognosis or long-term outcomes. For example, </w:t>
      </w:r>
      <w:proofErr w:type="spellStart"/>
      <w:r w:rsidR="00EC46AD">
        <w:t>Houmann</w:t>
      </w:r>
      <w:proofErr w:type="spellEnd"/>
      <w:r w:rsidR="00EC46AD">
        <w:t xml:space="preserve"> et al. (2024) </w:t>
      </w:r>
      <w:r w:rsidR="000E6359">
        <w:t xml:space="preserve">found that early treatment and ascertainment of response during the first months of treatment could enable the identification of non-responders and improve long-term outcomes. </w:t>
      </w:r>
      <w:r w:rsidR="00F61F85">
        <w:t>In this regard, early treatment can reduce the severity of symptoms and psychiatric comorbidities.</w:t>
      </w:r>
    </w:p>
    <w:p w14:paraId="6E18BFF4" w14:textId="77777777" w:rsidR="00253A0F" w:rsidRDefault="00F61F85" w:rsidP="00253A0F">
      <w:pPr>
        <w:ind w:firstLine="720"/>
      </w:pPr>
      <w:r>
        <w:t xml:space="preserve">Since its approval by the FDA in assessment and diagnosis of ADHD, NEBA has </w:t>
      </w:r>
      <w:r w:rsidR="003D1B37">
        <w:t>attracted significant attention from researchers and professionals. As observed by</w:t>
      </w:r>
      <w:r w:rsidR="00EC46AD">
        <w:t xml:space="preserve"> Bong and Kim (2021)</w:t>
      </w:r>
      <w:r w:rsidR="003D1B37">
        <w:t xml:space="preserve">, the NEBA system can enable the diagnosis of ADHD at clinicians’ discretion, especially for patients with mental or physical comorbidities that could be mistaken for ADHD. Similarly, </w:t>
      </w:r>
      <w:r w:rsidR="00EC46AD">
        <w:t xml:space="preserve">Adamou et al. (2020) </w:t>
      </w:r>
      <w:r w:rsidR="003D1B37">
        <w:t>reported that the NEBA system has clinical utility in identifying and differentiating ADHD based on the observation of the elevated levels of absolute and relative theta power. While earl</w:t>
      </w:r>
      <w:r w:rsidR="00BF18D5">
        <w:t>y evidence suggested a diagnostic accuracy of almost 90% (</w:t>
      </w:r>
      <w:r w:rsidR="00EC46AD">
        <w:t>Bong &amp; Kim, 2021</w:t>
      </w:r>
      <w:r w:rsidR="00BF18D5">
        <w:t xml:space="preserve">), </w:t>
      </w:r>
      <w:proofErr w:type="spellStart"/>
      <w:r w:rsidR="00BF18D5">
        <w:t>qEEG</w:t>
      </w:r>
      <w:proofErr w:type="spellEnd"/>
      <w:r w:rsidR="00BF18D5">
        <w:t xml:space="preserve"> has received criticism because many subsequent studies have failed to replicate the accuracy (</w:t>
      </w:r>
      <w:proofErr w:type="spellStart"/>
      <w:r w:rsidR="00EC46AD">
        <w:t>Byeon</w:t>
      </w:r>
      <w:proofErr w:type="spellEnd"/>
      <w:r w:rsidR="00EC46AD">
        <w:t xml:space="preserve"> et al., 2020</w:t>
      </w:r>
      <w:r w:rsidR="00BF18D5">
        <w:t>). As noted by</w:t>
      </w:r>
      <w:r w:rsidR="00EC46AD">
        <w:t xml:space="preserve"> </w:t>
      </w:r>
      <w:proofErr w:type="spellStart"/>
      <w:r w:rsidR="00EC46AD">
        <w:t>Freismuth</w:t>
      </w:r>
      <w:proofErr w:type="spellEnd"/>
      <w:r w:rsidR="00EC46AD">
        <w:t xml:space="preserve"> &amp; </w:t>
      </w:r>
      <w:proofErr w:type="spellStart"/>
      <w:r w:rsidR="00EC46AD">
        <w:t>TaheriNejad</w:t>
      </w:r>
      <w:proofErr w:type="spellEnd"/>
      <w:r w:rsidR="00EC46AD">
        <w:t xml:space="preserve"> (2020)</w:t>
      </w:r>
      <w:r w:rsidR="00BF18D5">
        <w:t xml:space="preserve">, the controversy could relate to the heterogeneous nature of ADHD, with multiple but independent brain defects causing the disorder and manifesting differently in EEG readings. Consequently, a single </w:t>
      </w:r>
      <w:proofErr w:type="spellStart"/>
      <w:r w:rsidR="00BF18D5">
        <w:t>qEEG</w:t>
      </w:r>
      <w:proofErr w:type="spellEnd"/>
      <w:r w:rsidR="00BF18D5">
        <w:t xml:space="preserve"> may not be adequate in diagnosing ADHD because of the heterogenous nature of the disorder. Although multivariate measurement approaches ate used to obtain meaningful charts and higher </w:t>
      </w:r>
      <w:r w:rsidR="00BF18D5">
        <w:lastRenderedPageBreak/>
        <w:t xml:space="preserve">accuracy, EEG-based methodologies are currently not recommended </w:t>
      </w:r>
      <w:r w:rsidR="00133B62">
        <w:t xml:space="preserve">as sole aids for diagnosing ADHD because of their feasibility and robustness. </w:t>
      </w:r>
    </w:p>
    <w:p w14:paraId="4109BADE" w14:textId="77777777" w:rsidR="00253A0F" w:rsidRDefault="00133B62" w:rsidP="00253A0F">
      <w:pPr>
        <w:ind w:firstLine="720"/>
      </w:pPr>
      <w:r>
        <w:t>While early recognition of ADHD is essential, treating the disorder among preschoolers requires appropriate considerations of the most suitable treatment approach. According to</w:t>
      </w:r>
      <w:r w:rsidR="00EC46AD">
        <w:t xml:space="preserve"> </w:t>
      </w:r>
      <w:proofErr w:type="spellStart"/>
      <w:r w:rsidR="00EC46AD">
        <w:t>Wigal</w:t>
      </w:r>
      <w:proofErr w:type="spellEnd"/>
      <w:r w:rsidR="00EC46AD">
        <w:t xml:space="preserve"> et al. (2020)</w:t>
      </w:r>
      <w:r w:rsidR="0005673F">
        <w:t xml:space="preserve">, assessment and treatment of ADHD among preschoolers should account for the developmental, social, and functional context of early childhood, considering the differences in symptoms in preschool children compared with school-aged children. </w:t>
      </w:r>
      <w:r>
        <w:t xml:space="preserve">Most clinical practice guidelines recommend behavioral interventions for the patients and/or their parents or caregivers. Specifically, parent training in behavior management (PTBM) and classroom management are recommended as the first-line treatment modalities for ADHD in preschoolers </w:t>
      </w:r>
      <w:r>
        <w:t>(</w:t>
      </w:r>
      <w:proofErr w:type="spellStart"/>
      <w:r w:rsidR="00EC46AD">
        <w:t>Eom</w:t>
      </w:r>
      <w:proofErr w:type="spellEnd"/>
      <w:r w:rsidR="00EC46AD">
        <w:t xml:space="preserve"> &amp; Kim, 2024</w:t>
      </w:r>
      <w:r>
        <w:t>;</w:t>
      </w:r>
      <w:r w:rsidR="00EC46AD">
        <w:t xml:space="preserve"> </w:t>
      </w:r>
      <w:proofErr w:type="spellStart"/>
      <w:r w:rsidR="00EC46AD">
        <w:t>Wigal</w:t>
      </w:r>
      <w:proofErr w:type="spellEnd"/>
      <w:r w:rsidR="00EC46AD">
        <w:t xml:space="preserve"> et al., 2020</w:t>
      </w:r>
      <w:r>
        <w:t>)</w:t>
      </w:r>
      <w:r>
        <w:t xml:space="preserve">. </w:t>
      </w:r>
      <w:r w:rsidR="0005673F">
        <w:t>However, pharmacotherapy using methylphenidate could be considered in some cases. As supported by</w:t>
      </w:r>
      <w:r w:rsidR="00EC46AD">
        <w:t xml:space="preserve"> </w:t>
      </w:r>
      <w:proofErr w:type="spellStart"/>
      <w:r w:rsidR="00EC46AD">
        <w:t>Eom</w:t>
      </w:r>
      <w:proofErr w:type="spellEnd"/>
      <w:r w:rsidR="00EC46AD">
        <w:t xml:space="preserve"> and Kim (2024)</w:t>
      </w:r>
      <w:r w:rsidR="0005673F">
        <w:t>, the medication could be used in areas lacking evidence supporting evidence-based behavioral treatments or among children with moderate-to-severe symptoms nor responding to behavioral interventions. However, it should be noted that evidence for methylphenidate use among preschoolers does not meet approval levels for the FDA.</w:t>
      </w:r>
    </w:p>
    <w:p w14:paraId="5A1AF7B0" w14:textId="1D4A28BE" w:rsidR="0005673F" w:rsidRDefault="0005673F" w:rsidP="00253A0F">
      <w:pPr>
        <w:ind w:firstLine="720"/>
      </w:pPr>
      <w:r>
        <w:t>ADHD is a significant risk factor for suicidal ideation and behavior in children and adolescents</w:t>
      </w:r>
      <w:r w:rsidR="00053F29">
        <w:t>, with its symptoms and psychiatric comorbidities contributing to the risk</w:t>
      </w:r>
      <w:r>
        <w:t xml:space="preserve"> (American Psychiatric Association, 2022</w:t>
      </w:r>
      <w:r w:rsidR="00053F29">
        <w:t>)</w:t>
      </w:r>
      <w:r>
        <w:t>.</w:t>
      </w:r>
      <w:r w:rsidR="00053F29">
        <w:t xml:space="preserve"> However, impulsivity is one ADHD symptom directly linked to suicidal ideation and behaviors in adolescents (</w:t>
      </w:r>
      <w:r w:rsidR="00EC46AD">
        <w:t>Zahid et al., 2020</w:t>
      </w:r>
      <w:r w:rsidR="00053F29">
        <w:t>). Impulsivity increases the risk of engagement in easily accessible maladaptive strategies to regulate emotions and provocative or painful experiences that decrease the aversive nature of SB (</w:t>
      </w:r>
      <w:proofErr w:type="spellStart"/>
      <w:r w:rsidR="00EC46AD">
        <w:t>Garas</w:t>
      </w:r>
      <w:proofErr w:type="spellEnd"/>
      <w:r w:rsidR="00EC46AD">
        <w:t xml:space="preserve"> &amp; </w:t>
      </w:r>
      <w:proofErr w:type="spellStart"/>
      <w:r w:rsidR="00EC46AD">
        <w:t>Balazs</w:t>
      </w:r>
      <w:proofErr w:type="spellEnd"/>
      <w:r w:rsidR="00EC46AD">
        <w:t>, 2020</w:t>
      </w:r>
      <w:r w:rsidR="00053F29">
        <w:t>)</w:t>
      </w:r>
      <w:r w:rsidR="00053F29">
        <w:t xml:space="preserve">. </w:t>
      </w:r>
    </w:p>
    <w:p w14:paraId="30EB4A05" w14:textId="156E85B5" w:rsidR="00053F29" w:rsidRDefault="00053F29" w:rsidP="00053F29">
      <w:pPr>
        <w:jc w:val="center"/>
        <w:rPr>
          <w:b/>
        </w:rPr>
      </w:pPr>
      <w:r>
        <w:rPr>
          <w:b/>
        </w:rPr>
        <w:t xml:space="preserve">References </w:t>
      </w:r>
    </w:p>
    <w:p w14:paraId="3A936205" w14:textId="77777777" w:rsidR="002D28E6" w:rsidRDefault="002D28E6" w:rsidP="00EC46AD">
      <w:pPr>
        <w:suppressAutoHyphens w:val="0"/>
        <w:ind w:left="720" w:hanging="720"/>
        <w:rPr>
          <w:lang w:val="en-GB" w:eastAsia="en-GB"/>
        </w:rPr>
      </w:pPr>
      <w:r w:rsidRPr="00EC46AD">
        <w:rPr>
          <w:lang w:val="en-GB" w:eastAsia="en-GB"/>
        </w:rPr>
        <w:lastRenderedPageBreak/>
        <w:t xml:space="preserve">Adamou, M., </w:t>
      </w:r>
      <w:proofErr w:type="spellStart"/>
      <w:r w:rsidRPr="00EC46AD">
        <w:rPr>
          <w:lang w:val="en-GB" w:eastAsia="en-GB"/>
        </w:rPr>
        <w:t>Fullen</w:t>
      </w:r>
      <w:proofErr w:type="spellEnd"/>
      <w:r w:rsidRPr="00EC46AD">
        <w:rPr>
          <w:lang w:val="en-GB" w:eastAsia="en-GB"/>
        </w:rPr>
        <w:t xml:space="preserve">, T., &amp; Jones, S. L. (2020). EEG for diagnosis of adult ADHD: a systematic review with narrative analysis. </w:t>
      </w:r>
      <w:r w:rsidRPr="00EC46AD">
        <w:rPr>
          <w:i/>
          <w:iCs/>
          <w:lang w:val="en-GB" w:eastAsia="en-GB"/>
        </w:rPr>
        <w:t>Frontiers in Psychiatry</w:t>
      </w:r>
      <w:r w:rsidRPr="00EC46AD">
        <w:rPr>
          <w:lang w:val="en-GB" w:eastAsia="en-GB"/>
        </w:rPr>
        <w:t xml:space="preserve">, </w:t>
      </w:r>
      <w:r w:rsidRPr="00EC46AD">
        <w:rPr>
          <w:i/>
          <w:iCs/>
          <w:lang w:val="en-GB" w:eastAsia="en-GB"/>
        </w:rPr>
        <w:t>11</w:t>
      </w:r>
      <w:r w:rsidRPr="00EC46AD">
        <w:rPr>
          <w:lang w:val="en-GB" w:eastAsia="en-GB"/>
        </w:rPr>
        <w:t>, 569984.</w:t>
      </w:r>
      <w:r>
        <w:rPr>
          <w:lang w:val="en-GB" w:eastAsia="en-GB"/>
        </w:rPr>
        <w:t xml:space="preserve"> </w:t>
      </w:r>
      <w:hyperlink r:id="rId5" w:history="1">
        <w:r w:rsidRPr="00253AAE">
          <w:rPr>
            <w:rStyle w:val="Hyperlink"/>
            <w:lang w:val="en-GB" w:eastAsia="en-GB"/>
          </w:rPr>
          <w:t>https://doi.org/10.3389/fpsyt.2020.00871</w:t>
        </w:r>
      </w:hyperlink>
      <w:r>
        <w:rPr>
          <w:lang w:val="en-GB" w:eastAsia="en-GB"/>
        </w:rPr>
        <w:t xml:space="preserve"> </w:t>
      </w:r>
    </w:p>
    <w:p w14:paraId="43241BAE" w14:textId="77777777" w:rsidR="002D28E6" w:rsidRDefault="002D28E6" w:rsidP="00EC46AD">
      <w:pPr>
        <w:suppressAutoHyphens w:val="0"/>
        <w:ind w:left="720" w:hanging="720"/>
        <w:rPr>
          <w:lang w:val="en-GB" w:eastAsia="en-GB"/>
        </w:rPr>
      </w:pPr>
      <w:r w:rsidRPr="00717713">
        <w:t>American Psychiatric Association. (2022).</w:t>
      </w:r>
      <w:r w:rsidRPr="00717713">
        <w:rPr>
          <w:rStyle w:val="apple-converted-space"/>
        </w:rPr>
        <w:t> </w:t>
      </w:r>
      <w:r w:rsidRPr="00717713">
        <w:rPr>
          <w:i/>
          <w:iCs/>
        </w:rPr>
        <w:t>Diagnostic and statistical manual of mental disorders DSM-5</w:t>
      </w:r>
      <w:r w:rsidRPr="00717713">
        <w:rPr>
          <w:rStyle w:val="apple-converted-space"/>
        </w:rPr>
        <w:t> </w:t>
      </w:r>
      <w:r w:rsidRPr="00717713">
        <w:t xml:space="preserve">– </w:t>
      </w:r>
      <w:r w:rsidRPr="00717713">
        <w:rPr>
          <w:i/>
        </w:rPr>
        <w:t>Test revision</w:t>
      </w:r>
      <w:r w:rsidRPr="00717713">
        <w:t xml:space="preserve"> (5th ed.). Washington DC: American Psychiatric Association.</w:t>
      </w:r>
    </w:p>
    <w:p w14:paraId="5B46AF16" w14:textId="77777777" w:rsidR="002D28E6" w:rsidRDefault="002D28E6" w:rsidP="00EC46AD">
      <w:pPr>
        <w:suppressAutoHyphens w:val="0"/>
        <w:ind w:left="720" w:hanging="720"/>
        <w:rPr>
          <w:lang w:val="en-GB" w:eastAsia="en-GB"/>
        </w:rPr>
      </w:pPr>
      <w:r w:rsidRPr="00EC46AD">
        <w:rPr>
          <w:lang w:val="en-GB" w:eastAsia="en-GB"/>
        </w:rPr>
        <w:t xml:space="preserve">Bong, S. H., &amp; Kim, J. W. (2021). The </w:t>
      </w:r>
      <w:r w:rsidRPr="00EC46AD">
        <w:rPr>
          <w:lang w:val="en-GB" w:eastAsia="en-GB"/>
        </w:rPr>
        <w:t>role of quantitative electroencephalogram in the diagnosis and subgrouping of attention-deficit/hyperactivity disorder</w:t>
      </w:r>
      <w:r w:rsidRPr="00EC46AD">
        <w:rPr>
          <w:lang w:val="en-GB" w:eastAsia="en-GB"/>
        </w:rPr>
        <w:t xml:space="preserve">. </w:t>
      </w:r>
      <w:proofErr w:type="spellStart"/>
      <w:r w:rsidRPr="00EC46AD">
        <w:rPr>
          <w:i/>
          <w:iCs/>
          <w:lang w:val="en-GB" w:eastAsia="en-GB"/>
        </w:rPr>
        <w:t>Soa</w:t>
      </w:r>
      <w:proofErr w:type="spellEnd"/>
      <w:r w:rsidRPr="00EC46AD">
        <w:rPr>
          <w:i/>
          <w:iCs/>
          <w:lang w:val="en-GB" w:eastAsia="en-GB"/>
        </w:rPr>
        <w:t>--</w:t>
      </w:r>
      <w:proofErr w:type="spellStart"/>
      <w:r w:rsidRPr="00EC46AD">
        <w:rPr>
          <w:i/>
          <w:iCs/>
          <w:lang w:val="en-GB" w:eastAsia="en-GB"/>
        </w:rPr>
        <w:t>ch'ongsonyon</w:t>
      </w:r>
      <w:proofErr w:type="spellEnd"/>
      <w:r w:rsidRPr="00EC46AD">
        <w:rPr>
          <w:i/>
          <w:iCs/>
          <w:lang w:val="en-GB" w:eastAsia="en-GB"/>
        </w:rPr>
        <w:t xml:space="preserve"> </w:t>
      </w:r>
      <w:proofErr w:type="spellStart"/>
      <w:r w:rsidRPr="00EC46AD">
        <w:rPr>
          <w:i/>
          <w:iCs/>
          <w:lang w:val="en-GB" w:eastAsia="en-GB"/>
        </w:rPr>
        <w:t>chongsin</w:t>
      </w:r>
      <w:proofErr w:type="spellEnd"/>
      <w:r w:rsidRPr="00EC46AD">
        <w:rPr>
          <w:i/>
          <w:iCs/>
          <w:lang w:val="en-GB" w:eastAsia="en-GB"/>
        </w:rPr>
        <w:t xml:space="preserve"> </w:t>
      </w:r>
      <w:proofErr w:type="spellStart"/>
      <w:r w:rsidRPr="00EC46AD">
        <w:rPr>
          <w:i/>
          <w:iCs/>
          <w:lang w:val="en-GB" w:eastAsia="en-GB"/>
        </w:rPr>
        <w:t>uihak</w:t>
      </w:r>
      <w:proofErr w:type="spellEnd"/>
      <w:r w:rsidRPr="00EC46AD">
        <w:rPr>
          <w:i/>
          <w:iCs/>
          <w:lang w:val="en-GB" w:eastAsia="en-GB"/>
        </w:rPr>
        <w:t xml:space="preserve"> = Journal of child &amp; adolescent psychiatry</w:t>
      </w:r>
      <w:r w:rsidRPr="00EC46AD">
        <w:rPr>
          <w:lang w:val="en-GB" w:eastAsia="en-GB"/>
        </w:rPr>
        <w:t xml:space="preserve">, </w:t>
      </w:r>
      <w:r w:rsidRPr="00EC46AD">
        <w:rPr>
          <w:i/>
          <w:iCs/>
          <w:lang w:val="en-GB" w:eastAsia="en-GB"/>
        </w:rPr>
        <w:t>32</w:t>
      </w:r>
      <w:r w:rsidRPr="00EC46AD">
        <w:rPr>
          <w:lang w:val="en-GB" w:eastAsia="en-GB"/>
        </w:rPr>
        <w:t xml:space="preserve">(3), 85–92. </w:t>
      </w:r>
      <w:hyperlink r:id="rId6" w:history="1">
        <w:r w:rsidRPr="00EC46AD">
          <w:rPr>
            <w:rStyle w:val="Hyperlink"/>
            <w:lang w:val="en-GB" w:eastAsia="en-GB"/>
          </w:rPr>
          <w:t>https://doi.org/10.5765/jkacap.210010</w:t>
        </w:r>
      </w:hyperlink>
      <w:r>
        <w:rPr>
          <w:lang w:val="en-GB" w:eastAsia="en-GB"/>
        </w:rPr>
        <w:t xml:space="preserve"> </w:t>
      </w:r>
    </w:p>
    <w:p w14:paraId="41B7C6C5" w14:textId="77777777" w:rsidR="002D28E6" w:rsidRDefault="002D28E6" w:rsidP="00EC46AD">
      <w:pPr>
        <w:suppressAutoHyphens w:val="0"/>
        <w:ind w:left="720" w:hanging="720"/>
        <w:rPr>
          <w:lang w:val="en-GB" w:eastAsia="en-GB"/>
        </w:rPr>
      </w:pPr>
      <w:proofErr w:type="spellStart"/>
      <w:r w:rsidRPr="00EC46AD">
        <w:rPr>
          <w:lang w:val="en-GB" w:eastAsia="en-GB"/>
        </w:rPr>
        <w:t>Byeon</w:t>
      </w:r>
      <w:proofErr w:type="spellEnd"/>
      <w:r w:rsidRPr="00EC46AD">
        <w:rPr>
          <w:lang w:val="en-GB" w:eastAsia="en-GB"/>
        </w:rPr>
        <w:t xml:space="preserve">, J., Choi, T. Y., Won, G. H., Lee, J., &amp; Kim, J. W. (2020). A novel quantitative electroencephalography subtype with high alpha power in ADHD: ADHD or misdiagnosed </w:t>
      </w:r>
      <w:proofErr w:type="gramStart"/>
      <w:r w:rsidRPr="00EC46AD">
        <w:rPr>
          <w:lang w:val="en-GB" w:eastAsia="en-GB"/>
        </w:rPr>
        <w:t>ADHD?.</w:t>
      </w:r>
      <w:proofErr w:type="gramEnd"/>
      <w:r w:rsidRPr="00EC46AD">
        <w:rPr>
          <w:lang w:val="en-GB" w:eastAsia="en-GB"/>
        </w:rPr>
        <w:t xml:space="preserve"> </w:t>
      </w:r>
      <w:proofErr w:type="spellStart"/>
      <w:r w:rsidRPr="00EC46AD">
        <w:rPr>
          <w:i/>
          <w:iCs/>
          <w:lang w:val="en-GB" w:eastAsia="en-GB"/>
        </w:rPr>
        <w:t>PloS</w:t>
      </w:r>
      <w:proofErr w:type="spellEnd"/>
      <w:r w:rsidRPr="00EC46AD">
        <w:rPr>
          <w:i/>
          <w:iCs/>
          <w:lang w:val="en-GB" w:eastAsia="en-GB"/>
        </w:rPr>
        <w:t xml:space="preserve"> one</w:t>
      </w:r>
      <w:r w:rsidRPr="00EC46AD">
        <w:rPr>
          <w:lang w:val="en-GB" w:eastAsia="en-GB"/>
        </w:rPr>
        <w:t xml:space="preserve">, </w:t>
      </w:r>
      <w:r w:rsidRPr="00EC46AD">
        <w:rPr>
          <w:i/>
          <w:iCs/>
          <w:lang w:val="en-GB" w:eastAsia="en-GB"/>
        </w:rPr>
        <w:t>15</w:t>
      </w:r>
      <w:r w:rsidRPr="00EC46AD">
        <w:rPr>
          <w:lang w:val="en-GB" w:eastAsia="en-GB"/>
        </w:rPr>
        <w:t xml:space="preserve">(11), e0242566. </w:t>
      </w:r>
      <w:hyperlink r:id="rId7" w:history="1">
        <w:r w:rsidRPr="00EC46AD">
          <w:rPr>
            <w:rStyle w:val="Hyperlink"/>
            <w:lang w:val="en-GB" w:eastAsia="en-GB"/>
          </w:rPr>
          <w:t>https://doi.org/10.1371/journal.pone.0242566</w:t>
        </w:r>
      </w:hyperlink>
    </w:p>
    <w:p w14:paraId="42513CFF" w14:textId="77777777" w:rsidR="002D28E6" w:rsidRDefault="002D28E6" w:rsidP="00EC46AD">
      <w:pPr>
        <w:suppressAutoHyphens w:val="0"/>
        <w:ind w:left="720" w:hanging="720"/>
        <w:rPr>
          <w:lang w:val="en-GB" w:eastAsia="en-GB"/>
        </w:rPr>
      </w:pPr>
      <w:proofErr w:type="spellStart"/>
      <w:r w:rsidRPr="00EC46AD">
        <w:rPr>
          <w:lang w:val="en-GB" w:eastAsia="en-GB"/>
        </w:rPr>
        <w:t>Eom</w:t>
      </w:r>
      <w:proofErr w:type="spellEnd"/>
      <w:r w:rsidRPr="00EC46AD">
        <w:rPr>
          <w:lang w:val="en-GB" w:eastAsia="en-GB"/>
        </w:rPr>
        <w:t xml:space="preserve">, T. H., &amp; Kim, Y. H. (2024). Clinical practice guidelines for attention-deficit/hyperactivity disorder: recent updates. </w:t>
      </w:r>
      <w:r w:rsidRPr="00EC46AD">
        <w:rPr>
          <w:i/>
          <w:iCs/>
          <w:lang w:val="en-GB" w:eastAsia="en-GB"/>
        </w:rPr>
        <w:t xml:space="preserve">Clinical and </w:t>
      </w:r>
      <w:r w:rsidRPr="00EC46AD">
        <w:rPr>
          <w:i/>
          <w:iCs/>
          <w:lang w:val="en-GB" w:eastAsia="en-GB"/>
        </w:rPr>
        <w:t xml:space="preserve">Experimental </w:t>
      </w:r>
      <w:proofErr w:type="spellStart"/>
      <w:r w:rsidRPr="00EC46AD">
        <w:rPr>
          <w:i/>
          <w:iCs/>
          <w:lang w:val="en-GB" w:eastAsia="en-GB"/>
        </w:rPr>
        <w:t>Pediatrics</w:t>
      </w:r>
      <w:proofErr w:type="spellEnd"/>
      <w:r w:rsidRPr="00EC46AD">
        <w:rPr>
          <w:lang w:val="en-GB" w:eastAsia="en-GB"/>
        </w:rPr>
        <w:t xml:space="preserve">, </w:t>
      </w:r>
      <w:r w:rsidRPr="00EC46AD">
        <w:rPr>
          <w:i/>
          <w:iCs/>
          <w:lang w:val="en-GB" w:eastAsia="en-GB"/>
        </w:rPr>
        <w:t>67</w:t>
      </w:r>
      <w:r w:rsidRPr="00EC46AD">
        <w:rPr>
          <w:lang w:val="en-GB" w:eastAsia="en-GB"/>
        </w:rPr>
        <w:t xml:space="preserve">(1), 26–34. </w:t>
      </w:r>
      <w:hyperlink r:id="rId8" w:history="1">
        <w:r w:rsidRPr="00EC46AD">
          <w:rPr>
            <w:rStyle w:val="Hyperlink"/>
            <w:lang w:val="en-GB" w:eastAsia="en-GB"/>
          </w:rPr>
          <w:t>https://doi.org/10.3345/cep.2021.01466</w:t>
        </w:r>
      </w:hyperlink>
    </w:p>
    <w:p w14:paraId="419DDCC7" w14:textId="77777777" w:rsidR="002D28E6" w:rsidRDefault="002D28E6" w:rsidP="00EC46AD">
      <w:pPr>
        <w:suppressAutoHyphens w:val="0"/>
        <w:ind w:left="720" w:hanging="720"/>
        <w:rPr>
          <w:lang w:val="en-GB" w:eastAsia="en-GB"/>
        </w:rPr>
      </w:pPr>
      <w:proofErr w:type="spellStart"/>
      <w:r w:rsidRPr="00EC46AD">
        <w:rPr>
          <w:lang w:val="en-GB" w:eastAsia="en-GB"/>
        </w:rPr>
        <w:t>Freismuth</w:t>
      </w:r>
      <w:proofErr w:type="spellEnd"/>
      <w:r w:rsidRPr="00EC46AD">
        <w:rPr>
          <w:lang w:val="en-GB" w:eastAsia="en-GB"/>
        </w:rPr>
        <w:t xml:space="preserve">, D., &amp; </w:t>
      </w:r>
      <w:proofErr w:type="spellStart"/>
      <w:r w:rsidRPr="00EC46AD">
        <w:rPr>
          <w:lang w:val="en-GB" w:eastAsia="en-GB"/>
        </w:rPr>
        <w:t>TaheriNejad</w:t>
      </w:r>
      <w:proofErr w:type="spellEnd"/>
      <w:r w:rsidRPr="00EC46AD">
        <w:rPr>
          <w:lang w:val="en-GB" w:eastAsia="en-GB"/>
        </w:rPr>
        <w:t xml:space="preserve">, N. (2022). On the treatment and diagnosis of attention deficit hyperactivity disorder with </w:t>
      </w:r>
      <w:proofErr w:type="spellStart"/>
      <w:r w:rsidRPr="00EC46AD">
        <w:rPr>
          <w:lang w:val="en-GB" w:eastAsia="en-GB"/>
        </w:rPr>
        <w:t>eeg</w:t>
      </w:r>
      <w:proofErr w:type="spellEnd"/>
      <w:r w:rsidRPr="00EC46AD">
        <w:rPr>
          <w:lang w:val="en-GB" w:eastAsia="en-GB"/>
        </w:rPr>
        <w:t xml:space="preserve"> assistance. </w:t>
      </w:r>
      <w:r w:rsidRPr="00EC46AD">
        <w:rPr>
          <w:i/>
          <w:iCs/>
          <w:lang w:val="en-GB" w:eastAsia="en-GB"/>
        </w:rPr>
        <w:t>Electronics</w:t>
      </w:r>
      <w:r w:rsidRPr="00EC46AD">
        <w:rPr>
          <w:lang w:val="en-GB" w:eastAsia="en-GB"/>
        </w:rPr>
        <w:t xml:space="preserve">, </w:t>
      </w:r>
      <w:r w:rsidRPr="00EC46AD">
        <w:rPr>
          <w:i/>
          <w:iCs/>
          <w:lang w:val="en-GB" w:eastAsia="en-GB"/>
        </w:rPr>
        <w:t>11</w:t>
      </w:r>
      <w:r w:rsidRPr="00EC46AD">
        <w:rPr>
          <w:lang w:val="en-GB" w:eastAsia="en-GB"/>
        </w:rPr>
        <w:t>(4), 606.</w:t>
      </w:r>
      <w:r>
        <w:rPr>
          <w:lang w:val="en-GB" w:eastAsia="en-GB"/>
        </w:rPr>
        <w:t xml:space="preserve"> </w:t>
      </w:r>
      <w:hyperlink r:id="rId9" w:history="1">
        <w:r w:rsidRPr="00253AAE">
          <w:rPr>
            <w:rStyle w:val="Hyperlink"/>
            <w:lang w:val="en-GB" w:eastAsia="en-GB"/>
          </w:rPr>
          <w:t>https://doi.org/10.3390/electronics11040606</w:t>
        </w:r>
      </w:hyperlink>
      <w:r>
        <w:rPr>
          <w:lang w:val="en-GB" w:eastAsia="en-GB"/>
        </w:rPr>
        <w:t xml:space="preserve"> </w:t>
      </w:r>
    </w:p>
    <w:p w14:paraId="602B8579" w14:textId="77777777" w:rsidR="002D28E6" w:rsidRPr="00053F29" w:rsidRDefault="002D28E6" w:rsidP="00EC46AD">
      <w:pPr>
        <w:suppressAutoHyphens w:val="0"/>
        <w:ind w:left="720" w:hanging="720"/>
        <w:rPr>
          <w:lang w:val="en-GB" w:eastAsia="en-GB"/>
        </w:rPr>
      </w:pPr>
      <w:proofErr w:type="spellStart"/>
      <w:r w:rsidRPr="00EC46AD">
        <w:rPr>
          <w:lang w:val="en-GB" w:eastAsia="en-GB"/>
        </w:rPr>
        <w:t>Garas</w:t>
      </w:r>
      <w:proofErr w:type="spellEnd"/>
      <w:r w:rsidRPr="00EC46AD">
        <w:rPr>
          <w:lang w:val="en-GB" w:eastAsia="en-GB"/>
        </w:rPr>
        <w:t xml:space="preserve">, P., &amp; </w:t>
      </w:r>
      <w:proofErr w:type="spellStart"/>
      <w:r w:rsidRPr="00EC46AD">
        <w:rPr>
          <w:lang w:val="en-GB" w:eastAsia="en-GB"/>
        </w:rPr>
        <w:t>Balazs</w:t>
      </w:r>
      <w:proofErr w:type="spellEnd"/>
      <w:r w:rsidRPr="00EC46AD">
        <w:rPr>
          <w:lang w:val="en-GB" w:eastAsia="en-GB"/>
        </w:rPr>
        <w:t xml:space="preserve">, J. (2020). </w:t>
      </w:r>
      <w:r w:rsidRPr="00EC46AD">
        <w:rPr>
          <w:lang w:val="en-GB" w:eastAsia="en-GB"/>
        </w:rPr>
        <w:t>long-term suicide risk of children and adolescents with attention deficit and hyperactivity disorder</w:t>
      </w:r>
      <w:r>
        <w:rPr>
          <w:lang w:val="en-GB" w:eastAsia="en-GB"/>
        </w:rPr>
        <w:t xml:space="preserve">: A </w:t>
      </w:r>
      <w:r w:rsidRPr="00EC46AD">
        <w:rPr>
          <w:lang w:val="en-GB" w:eastAsia="en-GB"/>
        </w:rPr>
        <w:t xml:space="preserve">systematic review. </w:t>
      </w:r>
      <w:r w:rsidRPr="00EC46AD">
        <w:rPr>
          <w:i/>
          <w:iCs/>
          <w:lang w:val="en-GB" w:eastAsia="en-GB"/>
        </w:rPr>
        <w:t>Frontiers in psychiatry</w:t>
      </w:r>
      <w:r w:rsidRPr="00EC46AD">
        <w:rPr>
          <w:lang w:val="en-GB" w:eastAsia="en-GB"/>
        </w:rPr>
        <w:t xml:space="preserve">, </w:t>
      </w:r>
      <w:r w:rsidRPr="00EC46AD">
        <w:rPr>
          <w:i/>
          <w:iCs/>
          <w:lang w:val="en-GB" w:eastAsia="en-GB"/>
        </w:rPr>
        <w:t>11</w:t>
      </w:r>
      <w:r w:rsidRPr="00EC46AD">
        <w:rPr>
          <w:lang w:val="en-GB" w:eastAsia="en-GB"/>
        </w:rPr>
        <w:t xml:space="preserve">, 557909. </w:t>
      </w:r>
      <w:hyperlink r:id="rId10" w:history="1">
        <w:r w:rsidRPr="00EC46AD">
          <w:rPr>
            <w:rStyle w:val="Hyperlink"/>
            <w:lang w:val="en-GB" w:eastAsia="en-GB"/>
          </w:rPr>
          <w:t>https://doi.org/10.3389/fpsyt.2020.557909</w:t>
        </w:r>
      </w:hyperlink>
      <w:r>
        <w:rPr>
          <w:lang w:val="en-GB" w:eastAsia="en-GB"/>
        </w:rPr>
        <w:t xml:space="preserve"> </w:t>
      </w:r>
    </w:p>
    <w:p w14:paraId="00AC623B" w14:textId="77777777" w:rsidR="002D28E6" w:rsidRDefault="002D28E6" w:rsidP="00EC46AD">
      <w:pPr>
        <w:suppressAutoHyphens w:val="0"/>
        <w:ind w:left="720" w:hanging="720"/>
        <w:rPr>
          <w:rStyle w:val="c-bibliographic-informationvalue"/>
        </w:rPr>
      </w:pPr>
      <w:proofErr w:type="spellStart"/>
      <w:r w:rsidRPr="00EC46AD">
        <w:rPr>
          <w:lang w:val="en-GB" w:eastAsia="en-GB"/>
        </w:rPr>
        <w:lastRenderedPageBreak/>
        <w:t>Houmann</w:t>
      </w:r>
      <w:proofErr w:type="spellEnd"/>
      <w:r w:rsidRPr="00EC46AD">
        <w:rPr>
          <w:lang w:val="en-GB" w:eastAsia="en-GB"/>
        </w:rPr>
        <w:t xml:space="preserve">, T. B., </w:t>
      </w:r>
      <w:proofErr w:type="spellStart"/>
      <w:r w:rsidRPr="00EC46AD">
        <w:rPr>
          <w:lang w:val="en-GB" w:eastAsia="en-GB"/>
        </w:rPr>
        <w:t>Kaalund-Brok</w:t>
      </w:r>
      <w:proofErr w:type="spellEnd"/>
      <w:r w:rsidRPr="00EC46AD">
        <w:rPr>
          <w:lang w:val="en-GB" w:eastAsia="en-GB"/>
        </w:rPr>
        <w:t xml:space="preserve">, K., </w:t>
      </w:r>
      <w:proofErr w:type="spellStart"/>
      <w:r w:rsidRPr="00EC46AD">
        <w:rPr>
          <w:lang w:val="en-GB" w:eastAsia="en-GB"/>
        </w:rPr>
        <w:t>Clemmensen</w:t>
      </w:r>
      <w:proofErr w:type="spellEnd"/>
      <w:r w:rsidRPr="00EC46AD">
        <w:rPr>
          <w:lang w:val="en-GB" w:eastAsia="en-GB"/>
        </w:rPr>
        <w:t xml:space="preserve">, L., Petersen, M. A., </w:t>
      </w:r>
      <w:proofErr w:type="spellStart"/>
      <w:r w:rsidRPr="00EC46AD">
        <w:rPr>
          <w:lang w:val="en-GB" w:eastAsia="en-GB"/>
        </w:rPr>
        <w:t>Plessen</w:t>
      </w:r>
      <w:proofErr w:type="spellEnd"/>
      <w:r w:rsidRPr="00EC46AD">
        <w:rPr>
          <w:lang w:val="en-GB" w:eastAsia="en-GB"/>
        </w:rPr>
        <w:t xml:space="preserve">, K. J., </w:t>
      </w:r>
      <w:proofErr w:type="spellStart"/>
      <w:r w:rsidRPr="00EC46AD">
        <w:rPr>
          <w:lang w:val="en-GB" w:eastAsia="en-GB"/>
        </w:rPr>
        <w:t>Bilenberg</w:t>
      </w:r>
      <w:proofErr w:type="spellEnd"/>
      <w:r w:rsidRPr="00EC46AD">
        <w:rPr>
          <w:lang w:val="en-GB" w:eastAsia="en-GB"/>
        </w:rPr>
        <w:t xml:space="preserve">, N., </w:t>
      </w:r>
      <w:r>
        <w:rPr>
          <w:lang w:val="en-GB" w:eastAsia="en-GB"/>
        </w:rPr>
        <w:t>Verhulst, F.,</w:t>
      </w:r>
      <w:r w:rsidRPr="00EC46AD">
        <w:rPr>
          <w:lang w:val="en-GB" w:eastAsia="en-GB"/>
        </w:rPr>
        <w:t xml:space="preserve"> &amp; Jeppesen, P. (2024). Early treatment response as predictor of long-term outcome in a clinical cohort of children with ADHD. </w:t>
      </w:r>
      <w:r w:rsidRPr="00EC46AD">
        <w:rPr>
          <w:i/>
          <w:iCs/>
          <w:lang w:val="en-GB" w:eastAsia="en-GB"/>
        </w:rPr>
        <w:t>European Child &amp; Adolescent Psychiatry</w:t>
      </w:r>
      <w:r w:rsidRPr="00EC46AD">
        <w:rPr>
          <w:lang w:val="en-GB" w:eastAsia="en-GB"/>
        </w:rPr>
        <w:t xml:space="preserve">, </w:t>
      </w:r>
      <w:r w:rsidRPr="00EC46AD">
        <w:rPr>
          <w:i/>
          <w:iCs/>
          <w:lang w:val="en-GB" w:eastAsia="en-GB"/>
        </w:rPr>
        <w:t>33</w:t>
      </w:r>
      <w:r w:rsidRPr="00EC46AD">
        <w:rPr>
          <w:lang w:val="en-GB" w:eastAsia="en-GB"/>
        </w:rPr>
        <w:t>(2), 357-367.</w:t>
      </w:r>
      <w:r>
        <w:rPr>
          <w:lang w:val="en-GB" w:eastAsia="en-GB"/>
        </w:rPr>
        <w:t xml:space="preserve"> </w:t>
      </w:r>
      <w:hyperlink r:id="rId11" w:history="1">
        <w:r w:rsidRPr="00253AAE">
          <w:rPr>
            <w:rStyle w:val="Hyperlink"/>
          </w:rPr>
          <w:t>https://doi.org/10.1007/s00787-023-02158-z</w:t>
        </w:r>
      </w:hyperlink>
      <w:r>
        <w:rPr>
          <w:rStyle w:val="c-bibliographic-informationvalue"/>
        </w:rPr>
        <w:t xml:space="preserve"> </w:t>
      </w:r>
    </w:p>
    <w:p w14:paraId="70411ACB" w14:textId="77777777" w:rsidR="002D28E6" w:rsidRDefault="002D28E6" w:rsidP="00053F29">
      <w:pPr>
        <w:suppressAutoHyphens w:val="0"/>
        <w:ind w:left="720" w:hanging="720"/>
        <w:rPr>
          <w:lang w:val="en-GB" w:eastAsia="en-GB"/>
        </w:rPr>
      </w:pPr>
      <w:r w:rsidRPr="00053F29">
        <w:rPr>
          <w:lang w:val="en-GB" w:eastAsia="en-GB"/>
        </w:rPr>
        <w:t xml:space="preserve">Miller, M., Arnett, A. B., Shephard, E., </w:t>
      </w:r>
      <w:proofErr w:type="spellStart"/>
      <w:r w:rsidRPr="00053F29">
        <w:rPr>
          <w:lang w:val="en-GB" w:eastAsia="en-GB"/>
        </w:rPr>
        <w:t>Charman</w:t>
      </w:r>
      <w:proofErr w:type="spellEnd"/>
      <w:r w:rsidRPr="00053F29">
        <w:rPr>
          <w:lang w:val="en-GB" w:eastAsia="en-GB"/>
        </w:rPr>
        <w:t xml:space="preserve">, T., Gustafsson, H. C., Joseph, H. M., </w:t>
      </w:r>
      <w:proofErr w:type="spellStart"/>
      <w:r w:rsidRPr="00053F29">
        <w:rPr>
          <w:lang w:val="en-GB" w:eastAsia="en-GB"/>
        </w:rPr>
        <w:t>Karalunas</w:t>
      </w:r>
      <w:proofErr w:type="spellEnd"/>
      <w:r w:rsidRPr="00053F29">
        <w:rPr>
          <w:lang w:val="en-GB" w:eastAsia="en-GB"/>
        </w:rPr>
        <w:t xml:space="preserve">, S., </w:t>
      </w:r>
      <w:proofErr w:type="spellStart"/>
      <w:r w:rsidRPr="00053F29">
        <w:rPr>
          <w:lang w:val="en-GB" w:eastAsia="en-GB"/>
        </w:rPr>
        <w:t>Nigg</w:t>
      </w:r>
      <w:proofErr w:type="spellEnd"/>
      <w:r w:rsidRPr="00053F29">
        <w:rPr>
          <w:lang w:val="en-GB" w:eastAsia="en-GB"/>
        </w:rPr>
        <w:t xml:space="preserve">, J. T., </w:t>
      </w:r>
      <w:proofErr w:type="spellStart"/>
      <w:r w:rsidRPr="00053F29">
        <w:rPr>
          <w:lang w:val="en-GB" w:eastAsia="en-GB"/>
        </w:rPr>
        <w:t>Polanczyk</w:t>
      </w:r>
      <w:proofErr w:type="spellEnd"/>
      <w:r w:rsidRPr="00053F29">
        <w:rPr>
          <w:lang w:val="en-GB" w:eastAsia="en-GB"/>
        </w:rPr>
        <w:t xml:space="preserve">, G. V., Sullivan, E. L., &amp; Jones, E. J. H. (2023). Delineating early developmental pathways to ADHD: Setting an international research agenda. </w:t>
      </w:r>
      <w:r w:rsidRPr="00053F29">
        <w:rPr>
          <w:i/>
          <w:iCs/>
          <w:lang w:val="en-GB" w:eastAsia="en-GB"/>
        </w:rPr>
        <w:t>JCPP advances</w:t>
      </w:r>
      <w:r w:rsidRPr="00053F29">
        <w:rPr>
          <w:lang w:val="en-GB" w:eastAsia="en-GB"/>
        </w:rPr>
        <w:t xml:space="preserve">, </w:t>
      </w:r>
      <w:r w:rsidRPr="00053F29">
        <w:rPr>
          <w:i/>
          <w:iCs/>
          <w:lang w:val="en-GB" w:eastAsia="en-GB"/>
        </w:rPr>
        <w:t>3</w:t>
      </w:r>
      <w:r w:rsidRPr="00053F29">
        <w:rPr>
          <w:lang w:val="en-GB" w:eastAsia="en-GB"/>
        </w:rPr>
        <w:t xml:space="preserve">(2), e12144. </w:t>
      </w:r>
      <w:hyperlink r:id="rId12" w:history="1">
        <w:r w:rsidRPr="00053F29">
          <w:rPr>
            <w:rStyle w:val="Hyperlink"/>
            <w:lang w:val="en-GB" w:eastAsia="en-GB"/>
          </w:rPr>
          <w:t>https://doi.org/10.1002/jcv2.12144</w:t>
        </w:r>
      </w:hyperlink>
      <w:r>
        <w:rPr>
          <w:lang w:val="en-GB" w:eastAsia="en-GB"/>
        </w:rPr>
        <w:t xml:space="preserve"> </w:t>
      </w:r>
    </w:p>
    <w:p w14:paraId="0CADC1C8" w14:textId="77777777" w:rsidR="002D28E6" w:rsidRDefault="002D28E6" w:rsidP="00EC46AD">
      <w:pPr>
        <w:suppressAutoHyphens w:val="0"/>
        <w:ind w:left="720" w:hanging="720"/>
        <w:rPr>
          <w:lang w:val="en-GB" w:eastAsia="en-GB"/>
        </w:rPr>
      </w:pPr>
      <w:proofErr w:type="spellStart"/>
      <w:r w:rsidRPr="00EC46AD">
        <w:rPr>
          <w:lang w:val="en-GB" w:eastAsia="en-GB"/>
        </w:rPr>
        <w:t>Wigal</w:t>
      </w:r>
      <w:proofErr w:type="spellEnd"/>
      <w:r w:rsidRPr="00EC46AD">
        <w:rPr>
          <w:lang w:val="en-GB" w:eastAsia="en-GB"/>
        </w:rPr>
        <w:t xml:space="preserve">, S., Chappell, P., Palumbo, D., </w:t>
      </w:r>
      <w:proofErr w:type="spellStart"/>
      <w:r w:rsidRPr="00EC46AD">
        <w:rPr>
          <w:lang w:val="en-GB" w:eastAsia="en-GB"/>
        </w:rPr>
        <w:t>Lubaczewski</w:t>
      </w:r>
      <w:proofErr w:type="spellEnd"/>
      <w:r w:rsidRPr="00EC46AD">
        <w:rPr>
          <w:lang w:val="en-GB" w:eastAsia="en-GB"/>
        </w:rPr>
        <w:t xml:space="preserve">, S., </w:t>
      </w:r>
      <w:proofErr w:type="spellStart"/>
      <w:r w:rsidRPr="00EC46AD">
        <w:rPr>
          <w:lang w:val="en-GB" w:eastAsia="en-GB"/>
        </w:rPr>
        <w:t>Ramaker</w:t>
      </w:r>
      <w:proofErr w:type="spellEnd"/>
      <w:r w:rsidRPr="00EC46AD">
        <w:rPr>
          <w:lang w:val="en-GB" w:eastAsia="en-GB"/>
        </w:rPr>
        <w:t xml:space="preserve">, S., &amp; Abbas, R. (2020). Diagnosis and </w:t>
      </w:r>
      <w:r w:rsidRPr="00EC46AD">
        <w:rPr>
          <w:lang w:val="en-GB" w:eastAsia="en-GB"/>
        </w:rPr>
        <w:t xml:space="preserve">treatment options for </w:t>
      </w:r>
      <w:proofErr w:type="spellStart"/>
      <w:r w:rsidRPr="00EC46AD">
        <w:rPr>
          <w:lang w:val="en-GB" w:eastAsia="en-GB"/>
        </w:rPr>
        <w:t>preschoolers</w:t>
      </w:r>
      <w:proofErr w:type="spellEnd"/>
      <w:r w:rsidRPr="00EC46AD">
        <w:rPr>
          <w:lang w:val="en-GB" w:eastAsia="en-GB"/>
        </w:rPr>
        <w:t xml:space="preserve"> with attention-deficit/hyperactivity disorder</w:t>
      </w:r>
      <w:r w:rsidRPr="00EC46AD">
        <w:rPr>
          <w:lang w:val="en-GB" w:eastAsia="en-GB"/>
        </w:rPr>
        <w:t xml:space="preserve">. </w:t>
      </w:r>
      <w:r w:rsidRPr="00EC46AD">
        <w:rPr>
          <w:i/>
          <w:iCs/>
          <w:lang w:val="en-GB" w:eastAsia="en-GB"/>
        </w:rPr>
        <w:t>Journal of child and adolescent psychopharmacology</w:t>
      </w:r>
      <w:r w:rsidRPr="00EC46AD">
        <w:rPr>
          <w:lang w:val="en-GB" w:eastAsia="en-GB"/>
        </w:rPr>
        <w:t xml:space="preserve">, </w:t>
      </w:r>
      <w:r w:rsidRPr="00EC46AD">
        <w:rPr>
          <w:i/>
          <w:iCs/>
          <w:lang w:val="en-GB" w:eastAsia="en-GB"/>
        </w:rPr>
        <w:t>30</w:t>
      </w:r>
      <w:r w:rsidRPr="00EC46AD">
        <w:rPr>
          <w:lang w:val="en-GB" w:eastAsia="en-GB"/>
        </w:rPr>
        <w:t xml:space="preserve">(2), 104–118. </w:t>
      </w:r>
      <w:hyperlink r:id="rId13" w:history="1">
        <w:r w:rsidRPr="00EC46AD">
          <w:rPr>
            <w:rStyle w:val="Hyperlink"/>
            <w:lang w:val="en-GB" w:eastAsia="en-GB"/>
          </w:rPr>
          <w:t>https://doi.org/10.1089/cap.2019.0116</w:t>
        </w:r>
      </w:hyperlink>
      <w:r>
        <w:rPr>
          <w:lang w:val="en-GB" w:eastAsia="en-GB"/>
        </w:rPr>
        <w:t xml:space="preserve"> </w:t>
      </w:r>
    </w:p>
    <w:p w14:paraId="00EFC132" w14:textId="77777777" w:rsidR="002D28E6" w:rsidRDefault="002D28E6" w:rsidP="00EC46AD">
      <w:pPr>
        <w:suppressAutoHyphens w:val="0"/>
        <w:ind w:left="720" w:hanging="720"/>
        <w:rPr>
          <w:lang w:val="en-GB" w:eastAsia="en-GB"/>
        </w:rPr>
      </w:pPr>
      <w:r w:rsidRPr="00EC46AD">
        <w:rPr>
          <w:lang w:val="en-GB" w:eastAsia="en-GB"/>
        </w:rPr>
        <w:t xml:space="preserve">Zahid, S., </w:t>
      </w:r>
      <w:proofErr w:type="spellStart"/>
      <w:r w:rsidRPr="00EC46AD">
        <w:rPr>
          <w:lang w:val="en-GB" w:eastAsia="en-GB"/>
        </w:rPr>
        <w:t>Bodicherla</w:t>
      </w:r>
      <w:proofErr w:type="spellEnd"/>
      <w:r w:rsidRPr="00EC46AD">
        <w:rPr>
          <w:lang w:val="en-GB" w:eastAsia="en-GB"/>
        </w:rPr>
        <w:t xml:space="preserve">, K. P., </w:t>
      </w:r>
      <w:proofErr w:type="spellStart"/>
      <w:r w:rsidRPr="00EC46AD">
        <w:rPr>
          <w:lang w:val="en-GB" w:eastAsia="en-GB"/>
        </w:rPr>
        <w:t>Eskander</w:t>
      </w:r>
      <w:proofErr w:type="spellEnd"/>
      <w:r w:rsidRPr="00EC46AD">
        <w:rPr>
          <w:lang w:val="en-GB" w:eastAsia="en-GB"/>
        </w:rPr>
        <w:t>, N., &amp; Patel, R. S. (2020). Attention-</w:t>
      </w:r>
      <w:r w:rsidRPr="00EC46AD">
        <w:rPr>
          <w:lang w:val="en-GB" w:eastAsia="en-GB"/>
        </w:rPr>
        <w:t xml:space="preserve">deficit/hyperactivity disorder and suicidal risk in major depression: </w:t>
      </w:r>
      <w:r w:rsidRPr="00EC46AD">
        <w:rPr>
          <w:lang w:val="en-GB" w:eastAsia="en-GB"/>
        </w:rPr>
        <w:t>Analysis of 141,530</w:t>
      </w:r>
      <w:r w:rsidRPr="00EC46AD">
        <w:rPr>
          <w:lang w:val="en-GB" w:eastAsia="en-GB"/>
        </w:rPr>
        <w:t xml:space="preserve"> adolescent hospitalizations. </w:t>
      </w:r>
      <w:proofErr w:type="spellStart"/>
      <w:r w:rsidRPr="00EC46AD">
        <w:rPr>
          <w:i/>
          <w:iCs/>
          <w:lang w:val="en-GB" w:eastAsia="en-GB"/>
        </w:rPr>
        <w:t>Cureus</w:t>
      </w:r>
      <w:proofErr w:type="spellEnd"/>
      <w:r w:rsidRPr="00EC46AD">
        <w:rPr>
          <w:lang w:val="en-GB" w:eastAsia="en-GB"/>
        </w:rPr>
        <w:t xml:space="preserve">, </w:t>
      </w:r>
      <w:r w:rsidRPr="00EC46AD">
        <w:rPr>
          <w:i/>
          <w:iCs/>
          <w:lang w:val="en-GB" w:eastAsia="en-GB"/>
        </w:rPr>
        <w:t>12</w:t>
      </w:r>
      <w:r w:rsidRPr="00EC46AD">
        <w:rPr>
          <w:lang w:val="en-GB" w:eastAsia="en-GB"/>
        </w:rPr>
        <w:t xml:space="preserve">(5), e7949. </w:t>
      </w:r>
      <w:hyperlink r:id="rId14" w:history="1">
        <w:r w:rsidRPr="00EC46AD">
          <w:rPr>
            <w:rStyle w:val="Hyperlink"/>
            <w:lang w:val="en-GB" w:eastAsia="en-GB"/>
          </w:rPr>
          <w:t>https://doi.org/10.7759/cureus.7949</w:t>
        </w:r>
      </w:hyperlink>
      <w:r>
        <w:rPr>
          <w:lang w:val="en-GB" w:eastAsia="en-GB"/>
        </w:rPr>
        <w:t xml:space="preserve"> </w:t>
      </w:r>
    </w:p>
    <w:sectPr w:rsidR="002D2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556EC"/>
    <w:multiLevelType w:val="hybridMultilevel"/>
    <w:tmpl w:val="70226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A1"/>
    <w:rsid w:val="000130C4"/>
    <w:rsid w:val="00053F29"/>
    <w:rsid w:val="0005673F"/>
    <w:rsid w:val="000E6359"/>
    <w:rsid w:val="00133B62"/>
    <w:rsid w:val="00253A0F"/>
    <w:rsid w:val="002627E9"/>
    <w:rsid w:val="002D28E6"/>
    <w:rsid w:val="002E7FE8"/>
    <w:rsid w:val="003D1B37"/>
    <w:rsid w:val="00471B54"/>
    <w:rsid w:val="007713A1"/>
    <w:rsid w:val="007A0006"/>
    <w:rsid w:val="007A032B"/>
    <w:rsid w:val="00847E70"/>
    <w:rsid w:val="008E1814"/>
    <w:rsid w:val="009D13B4"/>
    <w:rsid w:val="00A26797"/>
    <w:rsid w:val="00A44743"/>
    <w:rsid w:val="00BA4B83"/>
    <w:rsid w:val="00BF18D5"/>
    <w:rsid w:val="00C145A0"/>
    <w:rsid w:val="00CC1C46"/>
    <w:rsid w:val="00D027C4"/>
    <w:rsid w:val="00D11A71"/>
    <w:rsid w:val="00E25F7F"/>
    <w:rsid w:val="00E86D07"/>
    <w:rsid w:val="00EC46AD"/>
    <w:rsid w:val="00ED55B8"/>
    <w:rsid w:val="00F15700"/>
    <w:rsid w:val="00F52E66"/>
    <w:rsid w:val="00F61F85"/>
    <w:rsid w:val="00F977BC"/>
    <w:rsid w:val="00FC2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94FC"/>
  <w15:chartTrackingRefBased/>
  <w15:docId w15:val="{86D02BD4-736A-4FF9-8434-0B65A9B2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3A1"/>
    <w:pPr>
      <w:suppressAutoHyphens/>
      <w:spacing w:after="0" w:line="480" w:lineRule="auto"/>
    </w:pPr>
    <w:rPr>
      <w:rFonts w:ascii="Times New Roman" w:eastAsia="Times New Roman" w:hAnsi="Times New Roman" w:cs="Times New Roman"/>
      <w:sz w:val="24"/>
      <w:szCs w:val="24"/>
      <w:lang w:val="en-US"/>
    </w:rPr>
  </w:style>
  <w:style w:type="paragraph" w:styleId="Heading1">
    <w:name w:val="heading 1"/>
    <w:basedOn w:val="Normal"/>
    <w:next w:val="BodyText"/>
    <w:link w:val="Heading1Char"/>
    <w:qFormat/>
    <w:rsid w:val="007713A1"/>
    <w:pPr>
      <w:keepNext/>
      <w:keepLines/>
      <w:jc w:val="center"/>
      <w:outlineLvl w:val="0"/>
    </w:pPr>
    <w:rPr>
      <w:rFonts w:cs="Arial"/>
      <w:b/>
      <w:bCs/>
      <w:szCs w:val="32"/>
    </w:rPr>
  </w:style>
  <w:style w:type="paragraph" w:styleId="Heading2">
    <w:name w:val="heading 2"/>
    <w:basedOn w:val="Normal"/>
    <w:next w:val="BodyText"/>
    <w:link w:val="Heading2Char"/>
    <w:qFormat/>
    <w:rsid w:val="007713A1"/>
    <w:pPr>
      <w:keepNext/>
      <w:keepLines/>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A1"/>
    <w:rPr>
      <w:rFonts w:ascii="Times New Roman" w:eastAsia="Times New Roman" w:hAnsi="Times New Roman" w:cs="Arial"/>
      <w:b/>
      <w:bCs/>
      <w:sz w:val="24"/>
      <w:szCs w:val="32"/>
      <w:lang w:val="en-US"/>
    </w:rPr>
  </w:style>
  <w:style w:type="character" w:customStyle="1" w:styleId="Heading2Char">
    <w:name w:val="Heading 2 Char"/>
    <w:basedOn w:val="DefaultParagraphFont"/>
    <w:link w:val="Heading2"/>
    <w:rsid w:val="007713A1"/>
    <w:rPr>
      <w:rFonts w:ascii="Times New Roman" w:eastAsia="Times New Roman" w:hAnsi="Times New Roman" w:cs="Arial"/>
      <w:b/>
      <w:bCs/>
      <w:iCs/>
      <w:sz w:val="24"/>
      <w:szCs w:val="28"/>
      <w:lang w:val="en-US"/>
    </w:rPr>
  </w:style>
  <w:style w:type="paragraph" w:styleId="BodyText">
    <w:name w:val="Body Text"/>
    <w:basedOn w:val="Normal"/>
    <w:link w:val="BodyTextChar"/>
    <w:rsid w:val="007713A1"/>
    <w:pPr>
      <w:ind w:firstLine="720"/>
    </w:pPr>
  </w:style>
  <w:style w:type="character" w:customStyle="1" w:styleId="BodyTextChar">
    <w:name w:val="Body Text Char"/>
    <w:basedOn w:val="DefaultParagraphFont"/>
    <w:link w:val="BodyText"/>
    <w:rsid w:val="007713A1"/>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71B54"/>
    <w:rPr>
      <w:color w:val="0563C1" w:themeColor="hyperlink"/>
      <w:u w:val="single"/>
    </w:rPr>
  </w:style>
  <w:style w:type="character" w:styleId="UnresolvedMention">
    <w:name w:val="Unresolved Mention"/>
    <w:basedOn w:val="DefaultParagraphFont"/>
    <w:uiPriority w:val="99"/>
    <w:semiHidden/>
    <w:unhideWhenUsed/>
    <w:rsid w:val="00471B54"/>
    <w:rPr>
      <w:color w:val="605E5C"/>
      <w:shd w:val="clear" w:color="auto" w:fill="E1DFDD"/>
    </w:rPr>
  </w:style>
  <w:style w:type="character" w:customStyle="1" w:styleId="mixed-citation">
    <w:name w:val="mixed-citation"/>
    <w:basedOn w:val="DefaultParagraphFont"/>
    <w:rsid w:val="00471B54"/>
  </w:style>
  <w:style w:type="paragraph" w:styleId="ListParagraph">
    <w:name w:val="List Paragraph"/>
    <w:basedOn w:val="Normal"/>
    <w:uiPriority w:val="34"/>
    <w:qFormat/>
    <w:rsid w:val="00CC1C46"/>
    <w:pPr>
      <w:ind w:left="720"/>
      <w:contextualSpacing/>
    </w:pPr>
  </w:style>
  <w:style w:type="character" w:customStyle="1" w:styleId="c-bibliographic-informationvalue">
    <w:name w:val="c-bibliographic-information__value"/>
    <w:basedOn w:val="DefaultParagraphFont"/>
    <w:rsid w:val="00EC46AD"/>
  </w:style>
  <w:style w:type="character" w:customStyle="1" w:styleId="apple-converted-space">
    <w:name w:val="apple-converted-space"/>
    <w:rsid w:val="002D2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755795">
      <w:bodyDiv w:val="1"/>
      <w:marLeft w:val="0"/>
      <w:marRight w:val="0"/>
      <w:marTop w:val="0"/>
      <w:marBottom w:val="0"/>
      <w:divBdr>
        <w:top w:val="none" w:sz="0" w:space="0" w:color="auto"/>
        <w:left w:val="none" w:sz="0" w:space="0" w:color="auto"/>
        <w:bottom w:val="none" w:sz="0" w:space="0" w:color="auto"/>
        <w:right w:val="none" w:sz="0" w:space="0" w:color="auto"/>
      </w:divBdr>
      <w:divsChild>
        <w:div w:id="1769882259">
          <w:marLeft w:val="0"/>
          <w:marRight w:val="0"/>
          <w:marTop w:val="0"/>
          <w:marBottom w:val="0"/>
          <w:divBdr>
            <w:top w:val="none" w:sz="0" w:space="0" w:color="auto"/>
            <w:left w:val="none" w:sz="0" w:space="0" w:color="auto"/>
            <w:bottom w:val="none" w:sz="0" w:space="0" w:color="auto"/>
            <w:right w:val="none" w:sz="0" w:space="0" w:color="auto"/>
          </w:divBdr>
        </w:div>
      </w:divsChild>
    </w:div>
    <w:div w:id="388306706">
      <w:bodyDiv w:val="1"/>
      <w:marLeft w:val="0"/>
      <w:marRight w:val="0"/>
      <w:marTop w:val="0"/>
      <w:marBottom w:val="0"/>
      <w:divBdr>
        <w:top w:val="none" w:sz="0" w:space="0" w:color="auto"/>
        <w:left w:val="none" w:sz="0" w:space="0" w:color="auto"/>
        <w:bottom w:val="none" w:sz="0" w:space="0" w:color="auto"/>
        <w:right w:val="none" w:sz="0" w:space="0" w:color="auto"/>
      </w:divBdr>
      <w:divsChild>
        <w:div w:id="1934774095">
          <w:marLeft w:val="0"/>
          <w:marRight w:val="0"/>
          <w:marTop w:val="0"/>
          <w:marBottom w:val="0"/>
          <w:divBdr>
            <w:top w:val="none" w:sz="0" w:space="0" w:color="auto"/>
            <w:left w:val="none" w:sz="0" w:space="0" w:color="auto"/>
            <w:bottom w:val="none" w:sz="0" w:space="0" w:color="auto"/>
            <w:right w:val="none" w:sz="0" w:space="0" w:color="auto"/>
          </w:divBdr>
        </w:div>
      </w:divsChild>
    </w:div>
    <w:div w:id="392655668">
      <w:bodyDiv w:val="1"/>
      <w:marLeft w:val="0"/>
      <w:marRight w:val="0"/>
      <w:marTop w:val="0"/>
      <w:marBottom w:val="0"/>
      <w:divBdr>
        <w:top w:val="none" w:sz="0" w:space="0" w:color="auto"/>
        <w:left w:val="none" w:sz="0" w:space="0" w:color="auto"/>
        <w:bottom w:val="none" w:sz="0" w:space="0" w:color="auto"/>
        <w:right w:val="none" w:sz="0" w:space="0" w:color="auto"/>
      </w:divBdr>
      <w:divsChild>
        <w:div w:id="453866124">
          <w:marLeft w:val="0"/>
          <w:marRight w:val="0"/>
          <w:marTop w:val="0"/>
          <w:marBottom w:val="0"/>
          <w:divBdr>
            <w:top w:val="none" w:sz="0" w:space="0" w:color="auto"/>
            <w:left w:val="none" w:sz="0" w:space="0" w:color="auto"/>
            <w:bottom w:val="none" w:sz="0" w:space="0" w:color="auto"/>
            <w:right w:val="none" w:sz="0" w:space="0" w:color="auto"/>
          </w:divBdr>
        </w:div>
      </w:divsChild>
    </w:div>
    <w:div w:id="518930825">
      <w:bodyDiv w:val="1"/>
      <w:marLeft w:val="0"/>
      <w:marRight w:val="0"/>
      <w:marTop w:val="0"/>
      <w:marBottom w:val="0"/>
      <w:divBdr>
        <w:top w:val="none" w:sz="0" w:space="0" w:color="auto"/>
        <w:left w:val="none" w:sz="0" w:space="0" w:color="auto"/>
        <w:bottom w:val="none" w:sz="0" w:space="0" w:color="auto"/>
        <w:right w:val="none" w:sz="0" w:space="0" w:color="auto"/>
      </w:divBdr>
      <w:divsChild>
        <w:div w:id="886529261">
          <w:marLeft w:val="0"/>
          <w:marRight w:val="0"/>
          <w:marTop w:val="0"/>
          <w:marBottom w:val="0"/>
          <w:divBdr>
            <w:top w:val="none" w:sz="0" w:space="0" w:color="auto"/>
            <w:left w:val="none" w:sz="0" w:space="0" w:color="auto"/>
            <w:bottom w:val="none" w:sz="0" w:space="0" w:color="auto"/>
            <w:right w:val="none" w:sz="0" w:space="0" w:color="auto"/>
          </w:divBdr>
        </w:div>
      </w:divsChild>
    </w:div>
    <w:div w:id="826824665">
      <w:bodyDiv w:val="1"/>
      <w:marLeft w:val="0"/>
      <w:marRight w:val="0"/>
      <w:marTop w:val="0"/>
      <w:marBottom w:val="0"/>
      <w:divBdr>
        <w:top w:val="none" w:sz="0" w:space="0" w:color="auto"/>
        <w:left w:val="none" w:sz="0" w:space="0" w:color="auto"/>
        <w:bottom w:val="none" w:sz="0" w:space="0" w:color="auto"/>
        <w:right w:val="none" w:sz="0" w:space="0" w:color="auto"/>
      </w:divBdr>
      <w:divsChild>
        <w:div w:id="1662198868">
          <w:marLeft w:val="0"/>
          <w:marRight w:val="0"/>
          <w:marTop w:val="0"/>
          <w:marBottom w:val="0"/>
          <w:divBdr>
            <w:top w:val="none" w:sz="0" w:space="0" w:color="auto"/>
            <w:left w:val="none" w:sz="0" w:space="0" w:color="auto"/>
            <w:bottom w:val="none" w:sz="0" w:space="0" w:color="auto"/>
            <w:right w:val="none" w:sz="0" w:space="0" w:color="auto"/>
          </w:divBdr>
        </w:div>
      </w:divsChild>
    </w:div>
    <w:div w:id="890652840">
      <w:bodyDiv w:val="1"/>
      <w:marLeft w:val="0"/>
      <w:marRight w:val="0"/>
      <w:marTop w:val="0"/>
      <w:marBottom w:val="0"/>
      <w:divBdr>
        <w:top w:val="none" w:sz="0" w:space="0" w:color="auto"/>
        <w:left w:val="none" w:sz="0" w:space="0" w:color="auto"/>
        <w:bottom w:val="none" w:sz="0" w:space="0" w:color="auto"/>
        <w:right w:val="none" w:sz="0" w:space="0" w:color="auto"/>
      </w:divBdr>
      <w:divsChild>
        <w:div w:id="382601088">
          <w:marLeft w:val="0"/>
          <w:marRight w:val="0"/>
          <w:marTop w:val="0"/>
          <w:marBottom w:val="0"/>
          <w:divBdr>
            <w:top w:val="none" w:sz="0" w:space="0" w:color="auto"/>
            <w:left w:val="none" w:sz="0" w:space="0" w:color="auto"/>
            <w:bottom w:val="none" w:sz="0" w:space="0" w:color="auto"/>
            <w:right w:val="none" w:sz="0" w:space="0" w:color="auto"/>
          </w:divBdr>
        </w:div>
      </w:divsChild>
    </w:div>
    <w:div w:id="1297838015">
      <w:bodyDiv w:val="1"/>
      <w:marLeft w:val="0"/>
      <w:marRight w:val="0"/>
      <w:marTop w:val="0"/>
      <w:marBottom w:val="0"/>
      <w:divBdr>
        <w:top w:val="none" w:sz="0" w:space="0" w:color="auto"/>
        <w:left w:val="none" w:sz="0" w:space="0" w:color="auto"/>
        <w:bottom w:val="none" w:sz="0" w:space="0" w:color="auto"/>
        <w:right w:val="none" w:sz="0" w:space="0" w:color="auto"/>
      </w:divBdr>
      <w:divsChild>
        <w:div w:id="734552073">
          <w:marLeft w:val="0"/>
          <w:marRight w:val="0"/>
          <w:marTop w:val="0"/>
          <w:marBottom w:val="0"/>
          <w:divBdr>
            <w:top w:val="none" w:sz="0" w:space="0" w:color="auto"/>
            <w:left w:val="none" w:sz="0" w:space="0" w:color="auto"/>
            <w:bottom w:val="none" w:sz="0" w:space="0" w:color="auto"/>
            <w:right w:val="none" w:sz="0" w:space="0" w:color="auto"/>
          </w:divBdr>
        </w:div>
      </w:divsChild>
    </w:div>
    <w:div w:id="1497652675">
      <w:bodyDiv w:val="1"/>
      <w:marLeft w:val="0"/>
      <w:marRight w:val="0"/>
      <w:marTop w:val="0"/>
      <w:marBottom w:val="0"/>
      <w:divBdr>
        <w:top w:val="none" w:sz="0" w:space="0" w:color="auto"/>
        <w:left w:val="none" w:sz="0" w:space="0" w:color="auto"/>
        <w:bottom w:val="none" w:sz="0" w:space="0" w:color="auto"/>
        <w:right w:val="none" w:sz="0" w:space="0" w:color="auto"/>
      </w:divBdr>
      <w:divsChild>
        <w:div w:id="2074497035">
          <w:marLeft w:val="0"/>
          <w:marRight w:val="0"/>
          <w:marTop w:val="0"/>
          <w:marBottom w:val="0"/>
          <w:divBdr>
            <w:top w:val="none" w:sz="0" w:space="0" w:color="auto"/>
            <w:left w:val="none" w:sz="0" w:space="0" w:color="auto"/>
            <w:bottom w:val="none" w:sz="0" w:space="0" w:color="auto"/>
            <w:right w:val="none" w:sz="0" w:space="0" w:color="auto"/>
          </w:divBdr>
        </w:div>
      </w:divsChild>
    </w:div>
    <w:div w:id="1843424915">
      <w:bodyDiv w:val="1"/>
      <w:marLeft w:val="0"/>
      <w:marRight w:val="0"/>
      <w:marTop w:val="0"/>
      <w:marBottom w:val="0"/>
      <w:divBdr>
        <w:top w:val="none" w:sz="0" w:space="0" w:color="auto"/>
        <w:left w:val="none" w:sz="0" w:space="0" w:color="auto"/>
        <w:bottom w:val="none" w:sz="0" w:space="0" w:color="auto"/>
        <w:right w:val="none" w:sz="0" w:space="0" w:color="auto"/>
      </w:divBdr>
      <w:divsChild>
        <w:div w:id="601643778">
          <w:marLeft w:val="0"/>
          <w:marRight w:val="0"/>
          <w:marTop w:val="0"/>
          <w:marBottom w:val="0"/>
          <w:divBdr>
            <w:top w:val="none" w:sz="0" w:space="0" w:color="auto"/>
            <w:left w:val="none" w:sz="0" w:space="0" w:color="auto"/>
            <w:bottom w:val="none" w:sz="0" w:space="0" w:color="auto"/>
            <w:right w:val="none" w:sz="0" w:space="0" w:color="auto"/>
          </w:divBdr>
        </w:div>
      </w:divsChild>
    </w:div>
    <w:div w:id="1870726505">
      <w:bodyDiv w:val="1"/>
      <w:marLeft w:val="0"/>
      <w:marRight w:val="0"/>
      <w:marTop w:val="0"/>
      <w:marBottom w:val="0"/>
      <w:divBdr>
        <w:top w:val="none" w:sz="0" w:space="0" w:color="auto"/>
        <w:left w:val="none" w:sz="0" w:space="0" w:color="auto"/>
        <w:bottom w:val="none" w:sz="0" w:space="0" w:color="auto"/>
        <w:right w:val="none" w:sz="0" w:space="0" w:color="auto"/>
      </w:divBdr>
      <w:divsChild>
        <w:div w:id="165680499">
          <w:marLeft w:val="0"/>
          <w:marRight w:val="0"/>
          <w:marTop w:val="0"/>
          <w:marBottom w:val="0"/>
          <w:divBdr>
            <w:top w:val="none" w:sz="0" w:space="0" w:color="auto"/>
            <w:left w:val="none" w:sz="0" w:space="0" w:color="auto"/>
            <w:bottom w:val="none" w:sz="0" w:space="0" w:color="auto"/>
            <w:right w:val="none" w:sz="0" w:space="0" w:color="auto"/>
          </w:divBdr>
        </w:div>
      </w:divsChild>
    </w:div>
    <w:div w:id="2046951582">
      <w:bodyDiv w:val="1"/>
      <w:marLeft w:val="0"/>
      <w:marRight w:val="0"/>
      <w:marTop w:val="0"/>
      <w:marBottom w:val="0"/>
      <w:divBdr>
        <w:top w:val="none" w:sz="0" w:space="0" w:color="auto"/>
        <w:left w:val="none" w:sz="0" w:space="0" w:color="auto"/>
        <w:bottom w:val="none" w:sz="0" w:space="0" w:color="auto"/>
        <w:right w:val="none" w:sz="0" w:space="0" w:color="auto"/>
      </w:divBdr>
      <w:divsChild>
        <w:div w:id="336420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45/cep.2021.01466" TargetMode="External"/><Relationship Id="rId13" Type="http://schemas.openxmlformats.org/officeDocument/2006/relationships/hyperlink" Target="https://doi.org/10.1089/cap.2019.0116" TargetMode="External"/><Relationship Id="rId3" Type="http://schemas.openxmlformats.org/officeDocument/2006/relationships/settings" Target="settings.xml"/><Relationship Id="rId7" Type="http://schemas.openxmlformats.org/officeDocument/2006/relationships/hyperlink" Target="https://doi.org/10.1371/journal.pone.0242566" TargetMode="External"/><Relationship Id="rId12" Type="http://schemas.openxmlformats.org/officeDocument/2006/relationships/hyperlink" Target="https://doi.org/10.1002/jcv2.1214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5765/jkacap.210010" TargetMode="External"/><Relationship Id="rId11" Type="http://schemas.openxmlformats.org/officeDocument/2006/relationships/hyperlink" Target="https://doi.org/10.1007/s00787-023-02158-z" TargetMode="External"/><Relationship Id="rId5" Type="http://schemas.openxmlformats.org/officeDocument/2006/relationships/hyperlink" Target="https://doi.org/10.3389/fpsyt.2020.00871" TargetMode="External"/><Relationship Id="rId15" Type="http://schemas.openxmlformats.org/officeDocument/2006/relationships/fontTable" Target="fontTable.xml"/><Relationship Id="rId10" Type="http://schemas.openxmlformats.org/officeDocument/2006/relationships/hyperlink" Target="https://doi.org/10.3389/fpsyt.2020.557909" TargetMode="External"/><Relationship Id="rId4" Type="http://schemas.openxmlformats.org/officeDocument/2006/relationships/webSettings" Target="webSettings.xml"/><Relationship Id="rId9" Type="http://schemas.openxmlformats.org/officeDocument/2006/relationships/hyperlink" Target="https://doi.org/10.3390/electronics11040606" TargetMode="External"/><Relationship Id="rId14" Type="http://schemas.openxmlformats.org/officeDocument/2006/relationships/hyperlink" Target="https://doi.org/10.7759/cureus.7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2024-04-02T21:45:00Z</dcterms:created>
  <dcterms:modified xsi:type="dcterms:W3CDTF">2024-04-03T03:15:00Z</dcterms:modified>
</cp:coreProperties>
</file>