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479D" w14:textId="77777777" w:rsidR="003609D4" w:rsidRPr="003609D4" w:rsidRDefault="003609D4" w:rsidP="003609D4">
      <w:pPr>
        <w:spacing w:after="0" w:line="240" w:lineRule="auto"/>
        <w:outlineLvl w:val="2"/>
        <w:rPr>
          <w:rFonts w:ascii="var(--font-family-display)" w:eastAsia="Times New Roman" w:hAnsi="var(--font-family-display)" w:cs="Times New Roman"/>
          <w:b/>
          <w:bCs/>
          <w:kern w:val="0"/>
          <w:sz w:val="27"/>
          <w:szCs w:val="27"/>
          <w14:ligatures w14:val="none"/>
        </w:rPr>
      </w:pPr>
      <w:r w:rsidRPr="003609D4">
        <w:rPr>
          <w:rFonts w:ascii="var(--font-family-display)" w:eastAsia="Times New Roman" w:hAnsi="var(--font-family-display)" w:cs="Times New Roman"/>
          <w:b/>
          <w:bCs/>
          <w:kern w:val="0"/>
          <w:sz w:val="27"/>
          <w:szCs w:val="27"/>
          <w14:ligatures w14:val="none"/>
        </w:rPr>
        <w:t>Re: Week 14 Discussion: Translational, Implementation, Evaluation Science and Social Determinants of Health</w:t>
      </w:r>
    </w:p>
    <w:p w14:paraId="320AFCD2" w14:textId="77777777" w:rsidR="003609D4" w:rsidRPr="003609D4" w:rsidRDefault="003609D4" w:rsidP="003609D4">
      <w:pPr>
        <w:spacing w:after="0" w:line="240" w:lineRule="auto"/>
        <w:rPr>
          <w:rFonts w:ascii="Times New Roman" w:eastAsia="Times New Roman" w:hAnsi="Times New Roman" w:cs="Times New Roman"/>
          <w:kern w:val="0"/>
          <w14:ligatures w14:val="none"/>
        </w:rPr>
      </w:pPr>
      <w:r w:rsidRPr="003609D4">
        <w:rPr>
          <w:rFonts w:ascii="Times New Roman" w:eastAsia="Times New Roman" w:hAnsi="Times New Roman" w:cs="Times New Roman"/>
          <w:kern w:val="0"/>
          <w14:ligatures w14:val="none"/>
        </w:rPr>
        <w:t>by </w:t>
      </w:r>
      <w:hyperlink r:id="rId4" w:history="1">
        <w:r w:rsidRPr="003609D4">
          <w:rPr>
            <w:rFonts w:ascii="Times New Roman" w:eastAsia="Times New Roman" w:hAnsi="Times New Roman" w:cs="Times New Roman"/>
            <w:color w:val="0000FF"/>
            <w:kern w:val="0"/>
            <w:u w:val="single"/>
            <w14:ligatures w14:val="none"/>
          </w:rPr>
          <w:t>Tiffany White</w:t>
        </w:r>
      </w:hyperlink>
      <w:r w:rsidRPr="003609D4">
        <w:rPr>
          <w:rFonts w:ascii="Times New Roman" w:eastAsia="Times New Roman" w:hAnsi="Times New Roman" w:cs="Times New Roman"/>
          <w:kern w:val="0"/>
          <w14:ligatures w14:val="none"/>
        </w:rPr>
        <w:t> - Wednesday, 3 April 2024, 11:57 PM</w:t>
      </w:r>
    </w:p>
    <w:p w14:paraId="6A91D343" w14:textId="77777777" w:rsidR="003609D4" w:rsidRPr="003609D4" w:rsidRDefault="003609D4" w:rsidP="003609D4">
      <w:pPr>
        <w:shd w:val="clear" w:color="auto" w:fill="FFFFFF"/>
        <w:spacing w:after="0" w:line="240" w:lineRule="auto"/>
        <w:rPr>
          <w:rFonts w:ascii="Roboto" w:eastAsia="Times New Roman" w:hAnsi="Roboto" w:cs="Times New Roman"/>
          <w:color w:val="1D2125"/>
          <w:kern w:val="0"/>
          <w:sz w:val="23"/>
          <w:szCs w:val="23"/>
          <w14:ligatures w14:val="none"/>
        </w:rPr>
      </w:pPr>
      <w:r w:rsidRPr="003609D4">
        <w:rPr>
          <w:rFonts w:ascii="Roboto" w:eastAsia="Times New Roman" w:hAnsi="Roboto" w:cs="Times New Roman"/>
          <w:color w:val="1D2125"/>
          <w:kern w:val="0"/>
          <w:sz w:val="23"/>
          <w:szCs w:val="23"/>
          <w14:ligatures w14:val="none"/>
        </w:rPr>
        <w:t xml:space="preserve">The first fact that really surprised me was that it takes an average of 17 years for an intervention to reach all patients that it could benefit (Austin, 2021). I guess I didn’t realize it would take so long for something effective to be applied across the board. It seems like once we have a policy change at </w:t>
      </w:r>
      <w:proofErr w:type="gramStart"/>
      <w:r w:rsidRPr="003609D4">
        <w:rPr>
          <w:rFonts w:ascii="Roboto" w:eastAsia="Times New Roman" w:hAnsi="Roboto" w:cs="Times New Roman"/>
          <w:color w:val="1D2125"/>
          <w:kern w:val="0"/>
          <w:sz w:val="23"/>
          <w:szCs w:val="23"/>
          <w14:ligatures w14:val="none"/>
        </w:rPr>
        <w:t>work</w:t>
      </w:r>
      <w:proofErr w:type="gramEnd"/>
      <w:r w:rsidRPr="003609D4">
        <w:rPr>
          <w:rFonts w:ascii="Roboto" w:eastAsia="Times New Roman" w:hAnsi="Roboto" w:cs="Times New Roman"/>
          <w:color w:val="1D2125"/>
          <w:kern w:val="0"/>
          <w:sz w:val="23"/>
          <w:szCs w:val="23"/>
          <w14:ligatures w14:val="none"/>
        </w:rPr>
        <w:t xml:space="preserve"> we push it hard, between education and </w:t>
      </w:r>
      <w:proofErr w:type="spellStart"/>
      <w:r w:rsidRPr="003609D4">
        <w:rPr>
          <w:rFonts w:ascii="Roboto" w:eastAsia="Times New Roman" w:hAnsi="Roboto" w:cs="Times New Roman"/>
          <w:color w:val="1D2125"/>
          <w:kern w:val="0"/>
          <w:sz w:val="23"/>
          <w:szCs w:val="23"/>
          <w14:ligatures w14:val="none"/>
        </w:rPr>
        <w:t>skils</w:t>
      </w:r>
      <w:proofErr w:type="spellEnd"/>
      <w:r w:rsidRPr="003609D4">
        <w:rPr>
          <w:rFonts w:ascii="Roboto" w:eastAsia="Times New Roman" w:hAnsi="Roboto" w:cs="Times New Roman"/>
          <w:color w:val="1D2125"/>
          <w:kern w:val="0"/>
          <w:sz w:val="23"/>
          <w:szCs w:val="23"/>
          <w14:ligatures w14:val="none"/>
        </w:rPr>
        <w:t xml:space="preserve"> fairs and eventually write-ups if it isn’t followed. It seems like we could close that gap by looking at opportunities (such as our SPP) to put evidence in to practice.</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The second fact that surprised me was that the first stat was in 1976 even though we had evidence of the risks of atherosclerosis in 1961 (Luz &amp; Laurindo, 2022), which lines up with the average mentioned in the first paragraph. I thought, perhaps, that average was related to things like fall risks or changes in foley catheter use, not heart disease treatments. As Luz and Laurindo discussed, this meant the loss of lives.</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 xml:space="preserve">The third thing that surprised me was how complicated implementation can be. It would seem like knowing the better thing to do would become the desired behavior by those who are educated. But, as Neta et al. (2022) discussed, even when we know it is better to do something, it is hard to get a large group to do the better/healthier things. One thing that I worry about is who is </w:t>
      </w:r>
      <w:proofErr w:type="gramStart"/>
      <w:r w:rsidRPr="003609D4">
        <w:rPr>
          <w:rFonts w:ascii="Roboto" w:eastAsia="Times New Roman" w:hAnsi="Roboto" w:cs="Times New Roman"/>
          <w:color w:val="1D2125"/>
          <w:kern w:val="0"/>
          <w:sz w:val="23"/>
          <w:szCs w:val="23"/>
          <w14:ligatures w14:val="none"/>
        </w:rPr>
        <w:t>benefitting</w:t>
      </w:r>
      <w:proofErr w:type="gramEnd"/>
      <w:r w:rsidRPr="003609D4">
        <w:rPr>
          <w:rFonts w:ascii="Roboto" w:eastAsia="Times New Roman" w:hAnsi="Roboto" w:cs="Times New Roman"/>
          <w:color w:val="1D2125"/>
          <w:kern w:val="0"/>
          <w:sz w:val="23"/>
          <w:szCs w:val="23"/>
          <w14:ligatures w14:val="none"/>
        </w:rPr>
        <w:t xml:space="preserve"> from the lack of change. In the article referenced above, the political landscape leaves large spaces for lobbyists to petition against change and for things that boost their profits (</w:t>
      </w:r>
      <w:proofErr w:type="spellStart"/>
      <w:r w:rsidRPr="003609D4">
        <w:rPr>
          <w:rFonts w:ascii="Roboto" w:eastAsia="Times New Roman" w:hAnsi="Roboto" w:cs="Times New Roman"/>
          <w:color w:val="1D2125"/>
          <w:kern w:val="0"/>
          <w:sz w:val="23"/>
          <w:szCs w:val="23"/>
          <w14:ligatures w14:val="none"/>
        </w:rPr>
        <w:t>eg.</w:t>
      </w:r>
      <w:proofErr w:type="spellEnd"/>
      <w:r w:rsidRPr="003609D4">
        <w:rPr>
          <w:rFonts w:ascii="Roboto" w:eastAsia="Times New Roman" w:hAnsi="Roboto" w:cs="Times New Roman"/>
          <w:color w:val="1D2125"/>
          <w:kern w:val="0"/>
          <w:sz w:val="23"/>
          <w:szCs w:val="23"/>
          <w14:ligatures w14:val="none"/>
        </w:rPr>
        <w:t>, oil and gas).</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References:</w:t>
      </w:r>
      <w:r w:rsidRPr="003609D4">
        <w:rPr>
          <w:rFonts w:ascii="Roboto" w:eastAsia="Times New Roman" w:hAnsi="Roboto" w:cs="Times New Roman"/>
          <w:color w:val="1D2125"/>
          <w:kern w:val="0"/>
          <w:sz w:val="23"/>
          <w:szCs w:val="23"/>
          <w14:ligatures w14:val="none"/>
        </w:rPr>
        <w:br/>
        <w:t>Austin, C. P. (2021). Opportunities and challenges in translational science. Clinical and Translational Science, 14(5), 1629–1647.</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 xml:space="preserve">Luz, P. L. da, &amp; Laurindo, F. R. M. (2022). Translational Medicine and Implementation Science: How to Transform What We Know </w:t>
      </w:r>
      <w:proofErr w:type="gramStart"/>
      <w:r w:rsidRPr="003609D4">
        <w:rPr>
          <w:rFonts w:ascii="Roboto" w:eastAsia="Times New Roman" w:hAnsi="Roboto" w:cs="Times New Roman"/>
          <w:color w:val="1D2125"/>
          <w:kern w:val="0"/>
          <w:sz w:val="23"/>
          <w:szCs w:val="23"/>
          <w14:ligatures w14:val="none"/>
        </w:rPr>
        <w:t>Into</w:t>
      </w:r>
      <w:proofErr w:type="gramEnd"/>
      <w:r w:rsidRPr="003609D4">
        <w:rPr>
          <w:rFonts w:ascii="Roboto" w:eastAsia="Times New Roman" w:hAnsi="Roboto" w:cs="Times New Roman"/>
          <w:color w:val="1D2125"/>
          <w:kern w:val="0"/>
          <w:sz w:val="23"/>
          <w:szCs w:val="23"/>
          <w14:ligatures w14:val="none"/>
        </w:rPr>
        <w:t xml:space="preserve"> What We Do. </w:t>
      </w:r>
      <w:proofErr w:type="spellStart"/>
      <w:r w:rsidRPr="003609D4">
        <w:rPr>
          <w:rFonts w:ascii="Roboto" w:eastAsia="Times New Roman" w:hAnsi="Roboto" w:cs="Times New Roman"/>
          <w:color w:val="1D2125"/>
          <w:kern w:val="0"/>
          <w:sz w:val="23"/>
          <w:szCs w:val="23"/>
          <w14:ligatures w14:val="none"/>
        </w:rPr>
        <w:t>Arquivos</w:t>
      </w:r>
      <w:proofErr w:type="spellEnd"/>
      <w:r w:rsidRPr="003609D4">
        <w:rPr>
          <w:rFonts w:ascii="Roboto" w:eastAsia="Times New Roman" w:hAnsi="Roboto" w:cs="Times New Roman"/>
          <w:color w:val="1D2125"/>
          <w:kern w:val="0"/>
          <w:sz w:val="23"/>
          <w:szCs w:val="23"/>
          <w14:ligatures w14:val="none"/>
        </w:rPr>
        <w:t xml:space="preserve"> </w:t>
      </w:r>
      <w:proofErr w:type="spellStart"/>
      <w:r w:rsidRPr="003609D4">
        <w:rPr>
          <w:rFonts w:ascii="Roboto" w:eastAsia="Times New Roman" w:hAnsi="Roboto" w:cs="Times New Roman"/>
          <w:color w:val="1D2125"/>
          <w:kern w:val="0"/>
          <w:sz w:val="23"/>
          <w:szCs w:val="23"/>
          <w14:ligatures w14:val="none"/>
        </w:rPr>
        <w:t>Brasileiros</w:t>
      </w:r>
      <w:proofErr w:type="spellEnd"/>
      <w:r w:rsidRPr="003609D4">
        <w:rPr>
          <w:rFonts w:ascii="Roboto" w:eastAsia="Times New Roman" w:hAnsi="Roboto" w:cs="Times New Roman"/>
          <w:color w:val="1D2125"/>
          <w:kern w:val="0"/>
          <w:sz w:val="23"/>
          <w:szCs w:val="23"/>
          <w14:ligatures w14:val="none"/>
        </w:rPr>
        <w:t xml:space="preserve"> de </w:t>
      </w:r>
      <w:proofErr w:type="spellStart"/>
      <w:r w:rsidRPr="003609D4">
        <w:rPr>
          <w:rFonts w:ascii="Roboto" w:eastAsia="Times New Roman" w:hAnsi="Roboto" w:cs="Times New Roman"/>
          <w:color w:val="1D2125"/>
          <w:kern w:val="0"/>
          <w:sz w:val="23"/>
          <w:szCs w:val="23"/>
          <w14:ligatures w14:val="none"/>
        </w:rPr>
        <w:t>Cardiologia</w:t>
      </w:r>
      <w:proofErr w:type="spellEnd"/>
      <w:r w:rsidRPr="003609D4">
        <w:rPr>
          <w:rFonts w:ascii="Roboto" w:eastAsia="Times New Roman" w:hAnsi="Roboto" w:cs="Times New Roman"/>
          <w:color w:val="1D2125"/>
          <w:kern w:val="0"/>
          <w:sz w:val="23"/>
          <w:szCs w:val="23"/>
          <w14:ligatures w14:val="none"/>
        </w:rPr>
        <w:t>, 119(2), 342–345.</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Neta, G., Martin, L., &amp; Collman, G. (2022). Advancing environmental health sciences through implementation science. Environmental Health: A Global Access Science Source, 21(1), 136.</w:t>
      </w:r>
    </w:p>
    <w:p w14:paraId="5855A2BE" w14:textId="77777777" w:rsidR="003609D4" w:rsidRDefault="003609D4"/>
    <w:p w14:paraId="1D1757A4" w14:textId="77777777" w:rsidR="003609D4" w:rsidRDefault="003609D4"/>
    <w:p w14:paraId="7D4FF222" w14:textId="77777777" w:rsidR="003609D4" w:rsidRDefault="003609D4"/>
    <w:p w14:paraId="43623DD8" w14:textId="77777777" w:rsidR="003609D4" w:rsidRDefault="003609D4"/>
    <w:p w14:paraId="247AE467" w14:textId="77777777" w:rsidR="003609D4" w:rsidRDefault="003609D4"/>
    <w:p w14:paraId="21BF41C1" w14:textId="77777777" w:rsidR="003609D4" w:rsidRDefault="003609D4"/>
    <w:p w14:paraId="14F0B326" w14:textId="77777777" w:rsidR="003609D4" w:rsidRDefault="003609D4"/>
    <w:p w14:paraId="01ADB9FE" w14:textId="77777777" w:rsidR="003609D4" w:rsidRPr="003609D4" w:rsidRDefault="003609D4" w:rsidP="003609D4">
      <w:pPr>
        <w:spacing w:after="0" w:line="240" w:lineRule="auto"/>
        <w:outlineLvl w:val="2"/>
        <w:rPr>
          <w:rFonts w:ascii="var(--font-family-display)" w:eastAsia="Times New Roman" w:hAnsi="var(--font-family-display)" w:cs="Times New Roman"/>
          <w:b/>
          <w:bCs/>
          <w:kern w:val="0"/>
          <w:sz w:val="27"/>
          <w:szCs w:val="27"/>
          <w14:ligatures w14:val="none"/>
        </w:rPr>
      </w:pPr>
      <w:r w:rsidRPr="003609D4">
        <w:rPr>
          <w:rFonts w:ascii="var(--font-family-display)" w:eastAsia="Times New Roman" w:hAnsi="var(--font-family-display)" w:cs="Times New Roman"/>
          <w:b/>
          <w:bCs/>
          <w:kern w:val="0"/>
          <w:sz w:val="27"/>
          <w:szCs w:val="27"/>
          <w14:ligatures w14:val="none"/>
        </w:rPr>
        <w:t>Re: Week 14 Discussion: Translational, Implementation, Evaluation Science and Social Determinants of Health</w:t>
      </w:r>
    </w:p>
    <w:p w14:paraId="00C4FB9A" w14:textId="77777777" w:rsidR="003609D4" w:rsidRPr="003609D4" w:rsidRDefault="003609D4" w:rsidP="003609D4">
      <w:pPr>
        <w:spacing w:after="0" w:line="240" w:lineRule="auto"/>
        <w:rPr>
          <w:rFonts w:ascii="Times New Roman" w:eastAsia="Times New Roman" w:hAnsi="Times New Roman" w:cs="Times New Roman"/>
          <w:kern w:val="0"/>
          <w14:ligatures w14:val="none"/>
        </w:rPr>
      </w:pPr>
      <w:r w:rsidRPr="003609D4">
        <w:rPr>
          <w:rFonts w:ascii="Times New Roman" w:eastAsia="Times New Roman" w:hAnsi="Times New Roman" w:cs="Times New Roman"/>
          <w:kern w:val="0"/>
          <w14:ligatures w14:val="none"/>
        </w:rPr>
        <w:t>by </w:t>
      </w:r>
      <w:hyperlink r:id="rId5" w:history="1">
        <w:r w:rsidRPr="003609D4">
          <w:rPr>
            <w:rFonts w:ascii="Times New Roman" w:eastAsia="Times New Roman" w:hAnsi="Times New Roman" w:cs="Times New Roman"/>
            <w:color w:val="0000FF"/>
            <w:kern w:val="0"/>
            <w:u w:val="single"/>
            <w14:ligatures w14:val="none"/>
          </w:rPr>
          <w:t>Denice Morgan</w:t>
        </w:r>
      </w:hyperlink>
      <w:r w:rsidRPr="003609D4">
        <w:rPr>
          <w:rFonts w:ascii="Times New Roman" w:eastAsia="Times New Roman" w:hAnsi="Times New Roman" w:cs="Times New Roman"/>
          <w:kern w:val="0"/>
          <w14:ligatures w14:val="none"/>
        </w:rPr>
        <w:t> - Wednesday, 3 April 2024, 11:54 AM</w:t>
      </w:r>
    </w:p>
    <w:p w14:paraId="1FF4EA83" w14:textId="77777777" w:rsidR="003609D4" w:rsidRPr="003609D4" w:rsidRDefault="003609D4" w:rsidP="003609D4">
      <w:pPr>
        <w:shd w:val="clear" w:color="auto" w:fill="FFFFFF"/>
        <w:spacing w:after="0" w:line="240" w:lineRule="auto"/>
        <w:rPr>
          <w:rFonts w:ascii="Roboto" w:eastAsia="Times New Roman" w:hAnsi="Roboto" w:cs="Times New Roman"/>
          <w:color w:val="1D2125"/>
          <w:kern w:val="0"/>
          <w:sz w:val="23"/>
          <w:szCs w:val="23"/>
          <w14:ligatures w14:val="none"/>
        </w:rPr>
      </w:pPr>
      <w:r w:rsidRPr="003609D4">
        <w:rPr>
          <w:rFonts w:ascii="Roboto" w:eastAsia="Times New Roman" w:hAnsi="Roboto" w:cs="Times New Roman"/>
          <w:color w:val="1D2125"/>
          <w:kern w:val="0"/>
          <w:sz w:val="23"/>
          <w:szCs w:val="23"/>
          <w14:ligatures w14:val="none"/>
        </w:rPr>
        <w:t>Week 14 DB: Implementation, Translational, and Evaluation Science</w:t>
      </w:r>
      <w:r w:rsidRPr="003609D4">
        <w:rPr>
          <w:rFonts w:ascii="Roboto" w:eastAsia="Times New Roman" w:hAnsi="Roboto" w:cs="Times New Roman"/>
          <w:color w:val="1D2125"/>
          <w:kern w:val="0"/>
          <w:sz w:val="23"/>
          <w:szCs w:val="23"/>
          <w14:ligatures w14:val="none"/>
        </w:rPr>
        <w:br/>
        <w:t>According to Neta et al. (2022), implementation science is a method used to enhance the adoption and sustainability of evidence-based practice in a project. Another description by Moran et al. (2020) is being able to identify and implement best practices in multiple healthcare settings with the goal of process improvement.</w:t>
      </w:r>
      <w:r w:rsidRPr="003609D4">
        <w:rPr>
          <w:rFonts w:ascii="Roboto" w:eastAsia="Times New Roman" w:hAnsi="Roboto" w:cs="Times New Roman"/>
          <w:color w:val="1D2125"/>
          <w:kern w:val="0"/>
          <w:sz w:val="23"/>
          <w:szCs w:val="23"/>
          <w14:ligatures w14:val="none"/>
        </w:rPr>
        <w:br/>
        <w:t>Evaluation science is the process of evaluating the outcomes and the process used to make changes in healthcare settings (Bradshaw &amp; Vitale, 2021). Doing things such as researching literature, finding an instrument to use in the DNP project, obtaining a team for the project, survey development and question composition, and evaluating feedback are all part of evaluation science (Bradshaw &amp; Vitale, 2021).</w:t>
      </w:r>
      <w:r w:rsidRPr="003609D4">
        <w:rPr>
          <w:rFonts w:ascii="Roboto" w:eastAsia="Times New Roman" w:hAnsi="Roboto" w:cs="Times New Roman"/>
          <w:color w:val="1D2125"/>
          <w:kern w:val="0"/>
          <w:sz w:val="23"/>
          <w:szCs w:val="23"/>
          <w14:ligatures w14:val="none"/>
        </w:rPr>
        <w:br/>
        <w:t>Translational science encompasses 3 aspects that speed up the process of implementing evidence-based practice: the acceleration of basic science into clinical practice, analysis of clinical observations, and the implementation of basic knowledge and concepts into the general population (Luz &amp; Laurindo, 2022). Basically, translational science is the process of accelerating the implementation of practices that will enhance healthcare delivery; there is a huge gap in research and implementation; according to Austin (2021), it takes about 20 years from start to finish. By this time, things are already changing, and there may be more evidence to show better ways of doing things. There is also a high cost of research, which raises the cost of healthcare delivery.</w:t>
      </w:r>
      <w:r w:rsidRPr="003609D4">
        <w:rPr>
          <w:rFonts w:ascii="Roboto" w:eastAsia="Times New Roman" w:hAnsi="Roboto" w:cs="Times New Roman"/>
          <w:color w:val="1D2125"/>
          <w:kern w:val="0"/>
          <w:sz w:val="23"/>
          <w:szCs w:val="23"/>
          <w14:ligatures w14:val="none"/>
        </w:rPr>
        <w:br/>
        <w:t>Social determinants of health (</w:t>
      </w:r>
      <w:proofErr w:type="spellStart"/>
      <w:r w:rsidRPr="003609D4">
        <w:rPr>
          <w:rFonts w:ascii="Roboto" w:eastAsia="Times New Roman" w:hAnsi="Roboto" w:cs="Times New Roman"/>
          <w:color w:val="1D2125"/>
          <w:kern w:val="0"/>
          <w:sz w:val="23"/>
          <w:szCs w:val="23"/>
          <w14:ligatures w14:val="none"/>
        </w:rPr>
        <w:t>SDoH</w:t>
      </w:r>
      <w:proofErr w:type="spellEnd"/>
      <w:r w:rsidRPr="003609D4">
        <w:rPr>
          <w:rFonts w:ascii="Roboto" w:eastAsia="Times New Roman" w:hAnsi="Roboto" w:cs="Times New Roman"/>
          <w:color w:val="1D2125"/>
          <w:kern w:val="0"/>
          <w:sz w:val="23"/>
          <w:szCs w:val="23"/>
          <w14:ligatures w14:val="none"/>
        </w:rPr>
        <w:t xml:space="preserve">) play a huge role in how individuals seek and receive healthcare. Where people are born, and grow up, education quality and access, healthcare access, social and economic status, and economic stability are all </w:t>
      </w:r>
      <w:proofErr w:type="spellStart"/>
      <w:r w:rsidRPr="003609D4">
        <w:rPr>
          <w:rFonts w:ascii="Roboto" w:eastAsia="Times New Roman" w:hAnsi="Roboto" w:cs="Times New Roman"/>
          <w:color w:val="1D2125"/>
          <w:kern w:val="0"/>
          <w:sz w:val="23"/>
          <w:szCs w:val="23"/>
          <w14:ligatures w14:val="none"/>
        </w:rPr>
        <w:t>SDoH</w:t>
      </w:r>
      <w:proofErr w:type="spellEnd"/>
      <w:r w:rsidRPr="003609D4">
        <w:rPr>
          <w:rFonts w:ascii="Roboto" w:eastAsia="Times New Roman" w:hAnsi="Roboto" w:cs="Times New Roman"/>
          <w:color w:val="1D2125"/>
          <w:kern w:val="0"/>
          <w:sz w:val="23"/>
          <w:szCs w:val="23"/>
          <w14:ligatures w14:val="none"/>
        </w:rPr>
        <w:t xml:space="preserve"> (Reising et al. 2022). Education access plays a huge role in </w:t>
      </w:r>
      <w:proofErr w:type="spellStart"/>
      <w:r w:rsidRPr="003609D4">
        <w:rPr>
          <w:rFonts w:ascii="Roboto" w:eastAsia="Times New Roman" w:hAnsi="Roboto" w:cs="Times New Roman"/>
          <w:color w:val="1D2125"/>
          <w:kern w:val="0"/>
          <w:sz w:val="23"/>
          <w:szCs w:val="23"/>
          <w14:ligatures w14:val="none"/>
        </w:rPr>
        <w:t>SDoH</w:t>
      </w:r>
      <w:proofErr w:type="spellEnd"/>
      <w:r w:rsidRPr="003609D4">
        <w:rPr>
          <w:rFonts w:ascii="Roboto" w:eastAsia="Times New Roman" w:hAnsi="Roboto" w:cs="Times New Roman"/>
          <w:color w:val="1D2125"/>
          <w:kern w:val="0"/>
          <w:sz w:val="23"/>
          <w:szCs w:val="23"/>
          <w14:ligatures w14:val="none"/>
        </w:rPr>
        <w:t>; the better children do in school, the better their chances of making changes in their lives to enhance their living status. Having access to affordable education is a big issue for individuals who live in poverty or where they do not have easy access to educational institutions.</w:t>
      </w:r>
      <w:r w:rsidRPr="003609D4">
        <w:rPr>
          <w:rFonts w:ascii="Roboto" w:eastAsia="Times New Roman" w:hAnsi="Roboto" w:cs="Times New Roman"/>
          <w:color w:val="1D2125"/>
          <w:kern w:val="0"/>
          <w:sz w:val="23"/>
          <w:szCs w:val="23"/>
          <w14:ligatures w14:val="none"/>
        </w:rPr>
        <w:br/>
        <w:t>My SPP project works with nursing students and their educational progress. Enhancing clinical debriefing will create a sense of self-confidence and increased clinical judgment, which they will take with them into their professional nursing practice. Using translational science to accelerate the implementation process and evaluate the outcomes will help improve the project by making necessary changes for continued use by the college. By improving the self-confidence and clinical judgment of our nursing students going into practice, we will provide high-quality graduates. Providing high-quality nurse graduates will enhance our school's reputation and give those with lower income the knowledge and opportunity to access a college degree at a lower cost, especially for those who cannot afford an expensive degree.</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References</w:t>
      </w:r>
      <w:r w:rsidRPr="003609D4">
        <w:rPr>
          <w:rFonts w:ascii="Roboto" w:eastAsia="Times New Roman" w:hAnsi="Roboto" w:cs="Times New Roman"/>
          <w:color w:val="1D2125"/>
          <w:kern w:val="0"/>
          <w:sz w:val="23"/>
          <w:szCs w:val="23"/>
          <w14:ligatures w14:val="none"/>
        </w:rPr>
        <w:br/>
        <w:t>Austin, C. P. (2021). Opportunities and challenges in translational science. Clinical and</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lastRenderedPageBreak/>
        <w:t>Translational Science 14(5) 1629-1647.</w:t>
      </w:r>
      <w:r w:rsidRPr="003609D4">
        <w:rPr>
          <w:rFonts w:ascii="Roboto" w:eastAsia="Times New Roman" w:hAnsi="Roboto" w:cs="Times New Roman"/>
          <w:color w:val="1D2125"/>
          <w:kern w:val="0"/>
          <w:sz w:val="23"/>
          <w:szCs w:val="23"/>
          <w14:ligatures w14:val="none"/>
        </w:rPr>
        <w:br/>
        <w:t>https://eds-p-ebscohost-com.regiscollege.idm.oclc.org/eds/detail/detail?vid=0&amp;sid=0e01df59-5bec-4d8a-923a-7bb774e6e967%40redis&amp;bdata=JnNpdGU9ZWRzl</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Bradshaw, M. J. &amp; Vitale, T. R. (2021). The DNP Project Workbook: A Step-by-Step Process for</w:t>
      </w:r>
      <w:r w:rsidRPr="003609D4">
        <w:rPr>
          <w:rFonts w:ascii="Roboto" w:eastAsia="Times New Roman" w:hAnsi="Roboto" w:cs="Times New Roman"/>
          <w:color w:val="1D2125"/>
          <w:kern w:val="0"/>
          <w:sz w:val="23"/>
          <w:szCs w:val="23"/>
          <w14:ligatures w14:val="none"/>
        </w:rPr>
        <w:br/>
        <w:t>Success. Springer Publishing Company.</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 xml:space="preserve">Luz, P. L. da, &amp; Laurindo, F. R. M. (2022). Translational Medicine and Implementation Science: How to Transform What We Know </w:t>
      </w:r>
      <w:proofErr w:type="gramStart"/>
      <w:r w:rsidRPr="003609D4">
        <w:rPr>
          <w:rFonts w:ascii="Roboto" w:eastAsia="Times New Roman" w:hAnsi="Roboto" w:cs="Times New Roman"/>
          <w:color w:val="1D2125"/>
          <w:kern w:val="0"/>
          <w:sz w:val="23"/>
          <w:szCs w:val="23"/>
          <w14:ligatures w14:val="none"/>
        </w:rPr>
        <w:t>Into</w:t>
      </w:r>
      <w:proofErr w:type="gramEnd"/>
      <w:r w:rsidRPr="003609D4">
        <w:rPr>
          <w:rFonts w:ascii="Roboto" w:eastAsia="Times New Roman" w:hAnsi="Roboto" w:cs="Times New Roman"/>
          <w:color w:val="1D2125"/>
          <w:kern w:val="0"/>
          <w:sz w:val="23"/>
          <w:szCs w:val="23"/>
          <w14:ligatures w14:val="none"/>
        </w:rPr>
        <w:t xml:space="preserve"> What We Do. </w:t>
      </w:r>
      <w:proofErr w:type="spellStart"/>
      <w:r w:rsidRPr="003609D4">
        <w:rPr>
          <w:rFonts w:ascii="Roboto" w:eastAsia="Times New Roman" w:hAnsi="Roboto" w:cs="Times New Roman"/>
          <w:color w:val="1D2125"/>
          <w:kern w:val="0"/>
          <w:sz w:val="23"/>
          <w:szCs w:val="23"/>
          <w14:ligatures w14:val="none"/>
        </w:rPr>
        <w:t>Arquivos</w:t>
      </w:r>
      <w:proofErr w:type="spellEnd"/>
      <w:r w:rsidRPr="003609D4">
        <w:rPr>
          <w:rFonts w:ascii="Roboto" w:eastAsia="Times New Roman" w:hAnsi="Roboto" w:cs="Times New Roman"/>
          <w:color w:val="1D2125"/>
          <w:kern w:val="0"/>
          <w:sz w:val="23"/>
          <w:szCs w:val="23"/>
          <w14:ligatures w14:val="none"/>
        </w:rPr>
        <w:t xml:space="preserve"> </w:t>
      </w:r>
      <w:proofErr w:type="spellStart"/>
      <w:r w:rsidRPr="003609D4">
        <w:rPr>
          <w:rFonts w:ascii="Roboto" w:eastAsia="Times New Roman" w:hAnsi="Roboto" w:cs="Times New Roman"/>
          <w:color w:val="1D2125"/>
          <w:kern w:val="0"/>
          <w:sz w:val="23"/>
          <w:szCs w:val="23"/>
          <w14:ligatures w14:val="none"/>
        </w:rPr>
        <w:t>Brasileiros</w:t>
      </w:r>
      <w:proofErr w:type="spellEnd"/>
      <w:r w:rsidRPr="003609D4">
        <w:rPr>
          <w:rFonts w:ascii="Roboto" w:eastAsia="Times New Roman" w:hAnsi="Roboto" w:cs="Times New Roman"/>
          <w:color w:val="1D2125"/>
          <w:kern w:val="0"/>
          <w:sz w:val="23"/>
          <w:szCs w:val="23"/>
          <w14:ligatures w14:val="none"/>
        </w:rPr>
        <w:t xml:space="preserve"> de </w:t>
      </w:r>
      <w:proofErr w:type="spellStart"/>
      <w:r w:rsidRPr="003609D4">
        <w:rPr>
          <w:rFonts w:ascii="Roboto" w:eastAsia="Times New Roman" w:hAnsi="Roboto" w:cs="Times New Roman"/>
          <w:color w:val="1D2125"/>
          <w:kern w:val="0"/>
          <w:sz w:val="23"/>
          <w:szCs w:val="23"/>
          <w14:ligatures w14:val="none"/>
        </w:rPr>
        <w:t>Cardiologia</w:t>
      </w:r>
      <w:proofErr w:type="spellEnd"/>
      <w:r w:rsidRPr="003609D4">
        <w:rPr>
          <w:rFonts w:ascii="Roboto" w:eastAsia="Times New Roman" w:hAnsi="Roboto" w:cs="Times New Roman"/>
          <w:color w:val="1D2125"/>
          <w:kern w:val="0"/>
          <w:sz w:val="23"/>
          <w:szCs w:val="23"/>
          <w14:ligatures w14:val="none"/>
        </w:rPr>
        <w:t>, 119(2), 342–345.</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Moran, K, Burson, R., &amp; Conrad, D. (2020). The Doctor of Nursing Practice Project: A</w:t>
      </w:r>
      <w:r w:rsidRPr="003609D4">
        <w:rPr>
          <w:rFonts w:ascii="Roboto" w:eastAsia="Times New Roman" w:hAnsi="Roboto" w:cs="Times New Roman"/>
          <w:color w:val="1D2125"/>
          <w:kern w:val="0"/>
          <w:sz w:val="23"/>
          <w:szCs w:val="23"/>
          <w14:ligatures w14:val="none"/>
        </w:rPr>
        <w:br/>
        <w:t>Framework for Success. Jones &amp; Bartlett Learning.</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Neta, G., Martin, L., &amp; Collman, G. (2022). Advancing environmental health sciences through</w:t>
      </w:r>
      <w:r w:rsidRPr="003609D4">
        <w:rPr>
          <w:rFonts w:ascii="Roboto" w:eastAsia="Times New Roman" w:hAnsi="Roboto" w:cs="Times New Roman"/>
          <w:color w:val="1D2125"/>
          <w:kern w:val="0"/>
          <w:sz w:val="23"/>
          <w:szCs w:val="23"/>
          <w14:ligatures w14:val="none"/>
        </w:rPr>
        <w:br/>
        <w:t>implementation science. Environmental Health 21:136.</w:t>
      </w:r>
      <w:r w:rsidRPr="003609D4">
        <w:rPr>
          <w:rFonts w:ascii="Roboto" w:eastAsia="Times New Roman" w:hAnsi="Roboto" w:cs="Times New Roman"/>
          <w:color w:val="1D2125"/>
          <w:kern w:val="0"/>
          <w:sz w:val="23"/>
          <w:szCs w:val="23"/>
          <w14:ligatures w14:val="none"/>
        </w:rPr>
        <w:br/>
        <w:t>https://doi.org/10.1186/s12940-022-00933-0</w:t>
      </w:r>
      <w:r w:rsidRPr="003609D4">
        <w:rPr>
          <w:rFonts w:ascii="Roboto" w:eastAsia="Times New Roman" w:hAnsi="Roboto" w:cs="Times New Roman"/>
          <w:color w:val="1D2125"/>
          <w:kern w:val="0"/>
          <w:sz w:val="23"/>
          <w:szCs w:val="23"/>
          <w14:ligatures w14:val="none"/>
        </w:rPr>
        <w:br/>
      </w:r>
      <w:r w:rsidRPr="003609D4">
        <w:rPr>
          <w:rFonts w:ascii="Roboto" w:eastAsia="Times New Roman" w:hAnsi="Roboto" w:cs="Times New Roman"/>
          <w:color w:val="1D2125"/>
          <w:kern w:val="0"/>
          <w:sz w:val="23"/>
          <w:szCs w:val="23"/>
          <w14:ligatures w14:val="none"/>
        </w:rPr>
        <w:br/>
        <w:t>Reising, V., Diegel-Vacek, L., Dadabo, L., Martinez, M., Moore, K., &amp; Corbridge, S. (2022).</w:t>
      </w:r>
      <w:r w:rsidRPr="003609D4">
        <w:rPr>
          <w:rFonts w:ascii="Roboto" w:eastAsia="Times New Roman" w:hAnsi="Roboto" w:cs="Times New Roman"/>
          <w:color w:val="1D2125"/>
          <w:kern w:val="0"/>
          <w:sz w:val="23"/>
          <w:szCs w:val="23"/>
          <w14:ligatures w14:val="none"/>
        </w:rPr>
        <w:br/>
        <w:t>Closing the gap: Collaborative care addresses social determinants of health. The Nurse</w:t>
      </w:r>
      <w:r w:rsidRPr="003609D4">
        <w:rPr>
          <w:rFonts w:ascii="Roboto" w:eastAsia="Times New Roman" w:hAnsi="Roboto" w:cs="Times New Roman"/>
          <w:color w:val="1D2125"/>
          <w:kern w:val="0"/>
          <w:sz w:val="23"/>
          <w:szCs w:val="23"/>
          <w14:ligatures w14:val="none"/>
        </w:rPr>
        <w:br/>
        <w:t>Practitioner 47(4) 1-17. https://journals-lww-com.regiscollege.idm.oclc.org/tnpj/fulltext/2022/04000/closing_the_gap_collaborative_care_addresses.9.aspx</w:t>
      </w:r>
    </w:p>
    <w:p w14:paraId="61577041" w14:textId="77777777" w:rsidR="003609D4" w:rsidRDefault="003609D4"/>
    <w:sectPr w:rsidR="00360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D4"/>
    <w:rsid w:val="0036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0BA37"/>
  <w15:chartTrackingRefBased/>
  <w15:docId w15:val="{9FF8F807-3CED-4493-98AA-BE7F074E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D4"/>
    <w:rPr>
      <w:rFonts w:eastAsiaTheme="majorEastAsia" w:cstheme="majorBidi"/>
      <w:color w:val="272727" w:themeColor="text1" w:themeTint="D8"/>
    </w:rPr>
  </w:style>
  <w:style w:type="paragraph" w:styleId="Title">
    <w:name w:val="Title"/>
    <w:basedOn w:val="Normal"/>
    <w:next w:val="Normal"/>
    <w:link w:val="TitleChar"/>
    <w:uiPriority w:val="10"/>
    <w:qFormat/>
    <w:rsid w:val="00360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D4"/>
    <w:pPr>
      <w:spacing w:before="160"/>
      <w:jc w:val="center"/>
    </w:pPr>
    <w:rPr>
      <w:i/>
      <w:iCs/>
      <w:color w:val="404040" w:themeColor="text1" w:themeTint="BF"/>
    </w:rPr>
  </w:style>
  <w:style w:type="character" w:customStyle="1" w:styleId="QuoteChar">
    <w:name w:val="Quote Char"/>
    <w:basedOn w:val="DefaultParagraphFont"/>
    <w:link w:val="Quote"/>
    <w:uiPriority w:val="29"/>
    <w:rsid w:val="003609D4"/>
    <w:rPr>
      <w:i/>
      <w:iCs/>
      <w:color w:val="404040" w:themeColor="text1" w:themeTint="BF"/>
    </w:rPr>
  </w:style>
  <w:style w:type="paragraph" w:styleId="ListParagraph">
    <w:name w:val="List Paragraph"/>
    <w:basedOn w:val="Normal"/>
    <w:uiPriority w:val="34"/>
    <w:qFormat/>
    <w:rsid w:val="003609D4"/>
    <w:pPr>
      <w:ind w:left="720"/>
      <w:contextualSpacing/>
    </w:pPr>
  </w:style>
  <w:style w:type="character" w:styleId="IntenseEmphasis">
    <w:name w:val="Intense Emphasis"/>
    <w:basedOn w:val="DefaultParagraphFont"/>
    <w:uiPriority w:val="21"/>
    <w:qFormat/>
    <w:rsid w:val="003609D4"/>
    <w:rPr>
      <w:i/>
      <w:iCs/>
      <w:color w:val="0F4761" w:themeColor="accent1" w:themeShade="BF"/>
    </w:rPr>
  </w:style>
  <w:style w:type="paragraph" w:styleId="IntenseQuote">
    <w:name w:val="Intense Quote"/>
    <w:basedOn w:val="Normal"/>
    <w:next w:val="Normal"/>
    <w:link w:val="IntenseQuoteChar"/>
    <w:uiPriority w:val="30"/>
    <w:qFormat/>
    <w:rsid w:val="0036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D4"/>
    <w:rPr>
      <w:i/>
      <w:iCs/>
      <w:color w:val="0F4761" w:themeColor="accent1" w:themeShade="BF"/>
    </w:rPr>
  </w:style>
  <w:style w:type="character" w:styleId="IntenseReference">
    <w:name w:val="Intense Reference"/>
    <w:basedOn w:val="DefaultParagraphFont"/>
    <w:uiPriority w:val="32"/>
    <w:qFormat/>
    <w:rsid w:val="00360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2639">
      <w:bodyDiv w:val="1"/>
      <w:marLeft w:val="0"/>
      <w:marRight w:val="0"/>
      <w:marTop w:val="0"/>
      <w:marBottom w:val="0"/>
      <w:divBdr>
        <w:top w:val="none" w:sz="0" w:space="0" w:color="auto"/>
        <w:left w:val="none" w:sz="0" w:space="0" w:color="auto"/>
        <w:bottom w:val="none" w:sz="0" w:space="0" w:color="auto"/>
        <w:right w:val="none" w:sz="0" w:space="0" w:color="auto"/>
      </w:divBdr>
      <w:divsChild>
        <w:div w:id="1000810610">
          <w:marLeft w:val="0"/>
          <w:marRight w:val="0"/>
          <w:marTop w:val="0"/>
          <w:marBottom w:val="0"/>
          <w:divBdr>
            <w:top w:val="none" w:sz="0" w:space="0" w:color="auto"/>
            <w:left w:val="none" w:sz="0" w:space="0" w:color="auto"/>
            <w:bottom w:val="none" w:sz="0" w:space="0" w:color="auto"/>
            <w:right w:val="none" w:sz="0" w:space="0" w:color="auto"/>
          </w:divBdr>
          <w:divsChild>
            <w:div w:id="1789080808">
              <w:marLeft w:val="0"/>
              <w:marRight w:val="0"/>
              <w:marTop w:val="0"/>
              <w:marBottom w:val="0"/>
              <w:divBdr>
                <w:top w:val="none" w:sz="0" w:space="0" w:color="auto"/>
                <w:left w:val="none" w:sz="0" w:space="0" w:color="auto"/>
                <w:bottom w:val="none" w:sz="0" w:space="0" w:color="auto"/>
                <w:right w:val="none" w:sz="0" w:space="0" w:color="auto"/>
              </w:divBdr>
            </w:div>
          </w:divsChild>
        </w:div>
        <w:div w:id="474176145">
          <w:marLeft w:val="0"/>
          <w:marRight w:val="0"/>
          <w:marTop w:val="0"/>
          <w:marBottom w:val="0"/>
          <w:divBdr>
            <w:top w:val="none" w:sz="0" w:space="0" w:color="auto"/>
            <w:left w:val="none" w:sz="0" w:space="0" w:color="auto"/>
            <w:bottom w:val="none" w:sz="0" w:space="0" w:color="auto"/>
            <w:right w:val="none" w:sz="0" w:space="0" w:color="auto"/>
          </w:divBdr>
          <w:divsChild>
            <w:div w:id="679356640">
              <w:marLeft w:val="0"/>
              <w:marRight w:val="0"/>
              <w:marTop w:val="0"/>
              <w:marBottom w:val="0"/>
              <w:divBdr>
                <w:top w:val="none" w:sz="0" w:space="0" w:color="auto"/>
                <w:left w:val="none" w:sz="0" w:space="0" w:color="auto"/>
                <w:bottom w:val="none" w:sz="0" w:space="0" w:color="auto"/>
                <w:right w:val="none" w:sz="0" w:space="0" w:color="auto"/>
              </w:divBdr>
              <w:divsChild>
                <w:div w:id="6913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609">
      <w:bodyDiv w:val="1"/>
      <w:marLeft w:val="0"/>
      <w:marRight w:val="0"/>
      <w:marTop w:val="0"/>
      <w:marBottom w:val="0"/>
      <w:divBdr>
        <w:top w:val="none" w:sz="0" w:space="0" w:color="auto"/>
        <w:left w:val="none" w:sz="0" w:space="0" w:color="auto"/>
        <w:bottom w:val="none" w:sz="0" w:space="0" w:color="auto"/>
        <w:right w:val="none" w:sz="0" w:space="0" w:color="auto"/>
      </w:divBdr>
      <w:divsChild>
        <w:div w:id="2130971949">
          <w:marLeft w:val="0"/>
          <w:marRight w:val="0"/>
          <w:marTop w:val="0"/>
          <w:marBottom w:val="0"/>
          <w:divBdr>
            <w:top w:val="none" w:sz="0" w:space="0" w:color="auto"/>
            <w:left w:val="none" w:sz="0" w:space="0" w:color="auto"/>
            <w:bottom w:val="none" w:sz="0" w:space="0" w:color="auto"/>
            <w:right w:val="none" w:sz="0" w:space="0" w:color="auto"/>
          </w:divBdr>
          <w:divsChild>
            <w:div w:id="1762137923">
              <w:marLeft w:val="0"/>
              <w:marRight w:val="0"/>
              <w:marTop w:val="0"/>
              <w:marBottom w:val="0"/>
              <w:divBdr>
                <w:top w:val="none" w:sz="0" w:space="0" w:color="auto"/>
                <w:left w:val="none" w:sz="0" w:space="0" w:color="auto"/>
                <w:bottom w:val="none" w:sz="0" w:space="0" w:color="auto"/>
                <w:right w:val="none" w:sz="0" w:space="0" w:color="auto"/>
              </w:divBdr>
            </w:div>
          </w:divsChild>
        </w:div>
        <w:div w:id="189422094">
          <w:marLeft w:val="0"/>
          <w:marRight w:val="0"/>
          <w:marTop w:val="0"/>
          <w:marBottom w:val="0"/>
          <w:divBdr>
            <w:top w:val="none" w:sz="0" w:space="0" w:color="auto"/>
            <w:left w:val="none" w:sz="0" w:space="0" w:color="auto"/>
            <w:bottom w:val="none" w:sz="0" w:space="0" w:color="auto"/>
            <w:right w:val="none" w:sz="0" w:space="0" w:color="auto"/>
          </w:divBdr>
          <w:divsChild>
            <w:div w:id="1472794568">
              <w:marLeft w:val="0"/>
              <w:marRight w:val="0"/>
              <w:marTop w:val="0"/>
              <w:marBottom w:val="0"/>
              <w:divBdr>
                <w:top w:val="none" w:sz="0" w:space="0" w:color="auto"/>
                <w:left w:val="none" w:sz="0" w:space="0" w:color="auto"/>
                <w:bottom w:val="none" w:sz="0" w:space="0" w:color="auto"/>
                <w:right w:val="none" w:sz="0" w:space="0" w:color="auto"/>
              </w:divBdr>
              <w:divsChild>
                <w:div w:id="3077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397&amp;course=5458" TargetMode="External"/><Relationship Id="rId4" Type="http://schemas.openxmlformats.org/officeDocument/2006/relationships/hyperlink" Target="https://myonline.regiscollege.edu/user/view.php?id=8508&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5658</Characters>
  <Application>Microsoft Office Word</Application>
  <DocSecurity>0</DocSecurity>
  <Lines>112</Lines>
  <Paragraphs>6</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2024-04-04T10:31:00Z</dcterms:created>
  <dcterms:modified xsi:type="dcterms:W3CDTF">2024-04-04T10:32:00Z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0fca2910-0147-4fe3-8211-ebdf9ae42902</vt:lpwstr>
  </property>
</Properties>
</file>