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3BA0D" w14:textId="77777777" w:rsidR="005B5F38" w:rsidRPr="005B5F38" w:rsidRDefault="005B5F38" w:rsidP="005B5F38">
      <w:pPr>
        <w:spacing w:after="0" w:line="240" w:lineRule="auto"/>
        <w:outlineLvl w:val="2"/>
        <w:rPr>
          <w:rFonts w:ascii="var(--font-family-display)" w:eastAsia="Times New Roman" w:hAnsi="var(--font-family-display)" w:cs="Times New Roman"/>
          <w:b/>
          <w:bCs/>
          <w:kern w:val="0"/>
          <w:sz w:val="27"/>
          <w:szCs w:val="27"/>
          <w14:ligatures w14:val="none"/>
        </w:rPr>
      </w:pPr>
      <w:r w:rsidRPr="005B5F38">
        <w:rPr>
          <w:rFonts w:ascii="var(--font-family-display)" w:eastAsia="Times New Roman" w:hAnsi="var(--font-family-display)" w:cs="Times New Roman"/>
          <w:b/>
          <w:bCs/>
          <w:kern w:val="0"/>
          <w:sz w:val="27"/>
          <w:szCs w:val="27"/>
          <w14:ligatures w14:val="none"/>
        </w:rPr>
        <w:t>Re: Week 6 Discussion Board 1: Healthcare Reform Legislation Relative to Information Technology</w:t>
      </w:r>
    </w:p>
    <w:p w14:paraId="1B553EA5" w14:textId="77777777" w:rsidR="005B5F38" w:rsidRPr="005B5F38" w:rsidRDefault="005B5F38" w:rsidP="005B5F38">
      <w:pPr>
        <w:spacing w:after="0" w:line="240" w:lineRule="auto"/>
        <w:rPr>
          <w:rFonts w:ascii="Times New Roman" w:eastAsia="Times New Roman" w:hAnsi="Times New Roman" w:cs="Times New Roman"/>
          <w:kern w:val="0"/>
          <w14:ligatures w14:val="none"/>
        </w:rPr>
      </w:pPr>
      <w:r w:rsidRPr="005B5F38">
        <w:rPr>
          <w:rFonts w:ascii="Times New Roman" w:eastAsia="Times New Roman" w:hAnsi="Times New Roman" w:cs="Times New Roman"/>
          <w:kern w:val="0"/>
          <w14:ligatures w14:val="none"/>
        </w:rPr>
        <w:t>by </w:t>
      </w:r>
      <w:hyperlink r:id="rId4" w:history="1">
        <w:r w:rsidRPr="005B5F38">
          <w:rPr>
            <w:rFonts w:ascii="Times New Roman" w:eastAsia="Times New Roman" w:hAnsi="Times New Roman" w:cs="Times New Roman"/>
            <w:color w:val="0000FF"/>
            <w:kern w:val="0"/>
            <w:u w:val="single"/>
            <w14:ligatures w14:val="none"/>
          </w:rPr>
          <w:t xml:space="preserve">Dickens </w:t>
        </w:r>
        <w:proofErr w:type="spellStart"/>
        <w:r w:rsidRPr="005B5F38">
          <w:rPr>
            <w:rFonts w:ascii="Times New Roman" w:eastAsia="Times New Roman" w:hAnsi="Times New Roman" w:cs="Times New Roman"/>
            <w:color w:val="0000FF"/>
            <w:kern w:val="0"/>
            <w:u w:val="single"/>
            <w14:ligatures w14:val="none"/>
          </w:rPr>
          <w:t>Tamukedde</w:t>
        </w:r>
        <w:proofErr w:type="spellEnd"/>
      </w:hyperlink>
      <w:r w:rsidRPr="005B5F38">
        <w:rPr>
          <w:rFonts w:ascii="Times New Roman" w:eastAsia="Times New Roman" w:hAnsi="Times New Roman" w:cs="Times New Roman"/>
          <w:kern w:val="0"/>
          <w14:ligatures w14:val="none"/>
        </w:rPr>
        <w:t> - Tuesday, 30 July 2024, 6:21 PM</w:t>
      </w:r>
    </w:p>
    <w:p w14:paraId="30510314" w14:textId="77777777" w:rsidR="005B5F38" w:rsidRPr="005B5F38" w:rsidRDefault="005B5F38" w:rsidP="005B5F38">
      <w:pPr>
        <w:shd w:val="clear" w:color="auto" w:fill="FFFFFF"/>
        <w:spacing w:after="0" w:line="240" w:lineRule="auto"/>
        <w:rPr>
          <w:rFonts w:ascii="Roboto" w:eastAsia="Times New Roman" w:hAnsi="Roboto" w:cs="Times New Roman"/>
          <w:color w:val="1D2125"/>
          <w:kern w:val="0"/>
          <w:sz w:val="23"/>
          <w:szCs w:val="23"/>
          <w14:ligatures w14:val="none"/>
        </w:rPr>
      </w:pPr>
      <w:r w:rsidRPr="005B5F38">
        <w:rPr>
          <w:rFonts w:ascii="Roboto" w:eastAsia="Times New Roman" w:hAnsi="Roboto" w:cs="Times New Roman"/>
          <w:color w:val="1D2125"/>
          <w:kern w:val="0"/>
          <w:sz w:val="23"/>
          <w:szCs w:val="23"/>
          <w14:ligatures w14:val="none"/>
        </w:rPr>
        <w:br/>
      </w:r>
    </w:p>
    <w:p w14:paraId="2EEFF204" w14:textId="77777777" w:rsidR="005B5F38" w:rsidRPr="005B5F38" w:rsidRDefault="005B5F38" w:rsidP="005B5F38">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5B5F38">
        <w:rPr>
          <w:rFonts w:ascii="Roboto" w:eastAsia="Times New Roman" w:hAnsi="Roboto" w:cs="Times New Roman"/>
          <w:b/>
          <w:bCs/>
          <w:color w:val="1D2125"/>
          <w:kern w:val="0"/>
          <w:sz w:val="23"/>
          <w:szCs w:val="23"/>
          <w14:ligatures w14:val="none"/>
        </w:rPr>
        <w:t>The Health Information Technology for Economic and Clinical Health (HITECH) Act of 2009</w:t>
      </w:r>
    </w:p>
    <w:p w14:paraId="46245A2F" w14:textId="77777777" w:rsidR="005B5F38" w:rsidRPr="005B5F38" w:rsidRDefault="005B5F38" w:rsidP="005B5F3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B5F38">
        <w:rPr>
          <w:rFonts w:ascii="Roboto" w:eastAsia="Times New Roman" w:hAnsi="Roboto" w:cs="Times New Roman"/>
          <w:color w:val="1D2125"/>
          <w:kern w:val="0"/>
          <w:sz w:val="23"/>
          <w:szCs w:val="23"/>
          <w14:ligatures w14:val="none"/>
        </w:rPr>
        <w:t xml:space="preserve">The Health Information Technology for Economic and Clinical Health (HITECH) Act of 2009 has recently played a major role as a legal framework for healthcare in the USA. HITECH was established as part of the American Recovery and Reinvestment Act (ARRA) to encourage the meaningful use of health IT. It also created the Office of the National Coordinator (ONC) for Health Information Technology as a federal body to spearhead the journey towards better health IT. The Act also created the concept of "meaningful use," which provided </w:t>
      </w:r>
      <w:proofErr w:type="gramStart"/>
      <w:r w:rsidRPr="005B5F38">
        <w:rPr>
          <w:rFonts w:ascii="Roboto" w:eastAsia="Times New Roman" w:hAnsi="Roboto" w:cs="Times New Roman"/>
          <w:color w:val="1D2125"/>
          <w:kern w:val="0"/>
          <w:sz w:val="23"/>
          <w:szCs w:val="23"/>
          <w14:ligatures w14:val="none"/>
        </w:rPr>
        <w:t>fairly strict</w:t>
      </w:r>
      <w:proofErr w:type="gramEnd"/>
      <w:r w:rsidRPr="005B5F38">
        <w:rPr>
          <w:rFonts w:ascii="Roboto" w:eastAsia="Times New Roman" w:hAnsi="Roboto" w:cs="Times New Roman"/>
          <w:color w:val="1D2125"/>
          <w:kern w:val="0"/>
          <w:sz w:val="23"/>
          <w:szCs w:val="23"/>
          <w14:ligatures w14:val="none"/>
        </w:rPr>
        <w:t xml:space="preserve"> measures that medical professionals had to meet with regard to their use of EHRs. HITECH also provided unreasonable amounts of money for the adoption of health IT systems in the United States.</w:t>
      </w:r>
    </w:p>
    <w:p w14:paraId="7BA48D48" w14:textId="77777777" w:rsidR="005B5F38" w:rsidRPr="005B5F38" w:rsidRDefault="005B5F38" w:rsidP="005B5F3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B5F38">
        <w:rPr>
          <w:rFonts w:ascii="Roboto" w:eastAsia="Times New Roman" w:hAnsi="Roboto" w:cs="Times New Roman"/>
          <w:color w:val="1D2125"/>
          <w:kern w:val="0"/>
          <w:sz w:val="23"/>
          <w:szCs w:val="23"/>
          <w14:ligatures w14:val="none"/>
        </w:rPr>
        <w:t xml:space="preserve">From the patients’ perspective, HITECH has helped in the acquisition of their records and an integrated care system. The Act’s focus has influenced the use of EHR significantly to the extent that the patients have started accessing their records, corresponding with their service providers, and are generally more involved in decision-making regarding their treatment (ONC, 2019). The health records are now much more comprehensive and accurate due to the incentives the providers now </w:t>
      </w:r>
      <w:proofErr w:type="gramStart"/>
      <w:r w:rsidRPr="005B5F38">
        <w:rPr>
          <w:rFonts w:ascii="Roboto" w:eastAsia="Times New Roman" w:hAnsi="Roboto" w:cs="Times New Roman"/>
          <w:color w:val="1D2125"/>
          <w:kern w:val="0"/>
          <w:sz w:val="23"/>
          <w:szCs w:val="23"/>
          <w14:ligatures w14:val="none"/>
        </w:rPr>
        <w:t>have to</w:t>
      </w:r>
      <w:proofErr w:type="gramEnd"/>
      <w:r w:rsidRPr="005B5F38">
        <w:rPr>
          <w:rFonts w:ascii="Roboto" w:eastAsia="Times New Roman" w:hAnsi="Roboto" w:cs="Times New Roman"/>
          <w:color w:val="1D2125"/>
          <w:kern w:val="0"/>
          <w:sz w:val="23"/>
          <w:szCs w:val="23"/>
          <w14:ligatures w14:val="none"/>
        </w:rPr>
        <w:t xml:space="preserve"> update all the records digitally. Health IT has also promoted patient safety </w:t>
      </w:r>
      <w:proofErr w:type="gramStart"/>
      <w:r w:rsidRPr="005B5F38">
        <w:rPr>
          <w:rFonts w:ascii="Roboto" w:eastAsia="Times New Roman" w:hAnsi="Roboto" w:cs="Times New Roman"/>
          <w:color w:val="1D2125"/>
          <w:kern w:val="0"/>
          <w:sz w:val="23"/>
          <w:szCs w:val="23"/>
          <w14:ligatures w14:val="none"/>
        </w:rPr>
        <w:t>as a result of</w:t>
      </w:r>
      <w:proofErr w:type="gramEnd"/>
      <w:r w:rsidRPr="005B5F38">
        <w:rPr>
          <w:rFonts w:ascii="Roboto" w:eastAsia="Times New Roman" w:hAnsi="Roboto" w:cs="Times New Roman"/>
          <w:color w:val="1D2125"/>
          <w:kern w:val="0"/>
          <w:sz w:val="23"/>
          <w:szCs w:val="23"/>
          <w14:ligatures w14:val="none"/>
        </w:rPr>
        <w:t xml:space="preserve"> the decline in medication errors and the advancement in clinical decision support systems. Moreover, the privacy and security rules stipulated under HITECH have provided enhanced privacy safeguards for patients’ sensitive health information.</w:t>
      </w:r>
    </w:p>
    <w:p w14:paraId="72CD0155" w14:textId="77777777" w:rsidR="005B5F38" w:rsidRPr="005B5F38" w:rsidRDefault="005B5F38" w:rsidP="005B5F3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B5F38">
        <w:rPr>
          <w:rFonts w:ascii="Roboto" w:eastAsia="Times New Roman" w:hAnsi="Roboto" w:cs="Times New Roman"/>
          <w:color w:val="1D2125"/>
          <w:kern w:val="0"/>
          <w:sz w:val="23"/>
          <w:szCs w:val="23"/>
          <w14:ligatures w14:val="none"/>
        </w:rPr>
        <w:t>HITECH has encouraged significant changes in healthcare providers. The Act offered monetary rewards concerning the meaningful use of certified EHR technologies to the providers, and the result was wider implementation. They have also helped in facilitating focused care processes in the clinic and better coordination and communication among the health care providers. However, providers have had it tough when it comes to the adoption and sustenance of specific EHR systems due to some complications, which calls for tremendous investment in technology and the workforce. Several stakeholders have complained that the meaningful use criteria have enhanced administrative burdens for them because they need to fulfill certain reporting conditions to get incentives or face consequences.</w:t>
      </w:r>
    </w:p>
    <w:p w14:paraId="3DB91596" w14:textId="77777777" w:rsidR="005B5F38" w:rsidRPr="005B5F38" w:rsidRDefault="005B5F38" w:rsidP="005B5F3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B5F38">
        <w:rPr>
          <w:rFonts w:ascii="Roboto" w:eastAsia="Times New Roman" w:hAnsi="Roboto" w:cs="Times New Roman"/>
          <w:color w:val="1D2125"/>
          <w:kern w:val="0"/>
          <w:sz w:val="23"/>
          <w:szCs w:val="23"/>
          <w14:ligatures w14:val="none"/>
        </w:rPr>
        <w:t xml:space="preserve">The HITECH Act had several pros and cons. Its benefits included increased patient safety and care outcomes, expanded provider coordination, and improved administrative outcomes. Many of these benefits contributed to the enhancement of healthcare systems. Nevertheless, the act also has several disadvantages, like the high cost of initial implementation, the threat of data loss, and the intensive training required before using the software. The commitments needed to be higher for the acquisition of new technologies </w:t>
      </w:r>
      <w:r w:rsidRPr="005B5F38">
        <w:rPr>
          <w:rFonts w:ascii="Roboto" w:eastAsia="Times New Roman" w:hAnsi="Roboto" w:cs="Times New Roman"/>
          <w:color w:val="1D2125"/>
          <w:kern w:val="0"/>
          <w:sz w:val="23"/>
          <w:szCs w:val="23"/>
          <w14:ligatures w14:val="none"/>
        </w:rPr>
        <w:lastRenderedPageBreak/>
        <w:t>and the organizational change of healthcare providers and settings. However, the summarized information also shows that the long-term benefits of the HITECH Act outweigh the primary short-term disadvantages.</w:t>
      </w:r>
    </w:p>
    <w:p w14:paraId="007DF124" w14:textId="77777777" w:rsidR="005B5F38" w:rsidRPr="005B5F38" w:rsidRDefault="005B5F38" w:rsidP="005B5F3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B5F38">
        <w:rPr>
          <w:rFonts w:ascii="Roboto" w:eastAsia="Times New Roman" w:hAnsi="Roboto" w:cs="Times New Roman"/>
          <w:color w:val="1D2125"/>
          <w:kern w:val="0"/>
          <w:sz w:val="23"/>
          <w:szCs w:val="23"/>
          <w14:ligatures w14:val="none"/>
        </w:rPr>
        <w:t>The HITECH Act of 2009 was instrumental in promoting healthcare through a shift to health information technologies. The HITECH Act of 2009 positively affected stakeholders in the health sector, including emerging patients, personnel, and practices within healthcare facilities, resulting in increased care quality and effectiveness. Despite initial deployment difficulties, the long-term benefits of this solution have been evident. There are some long-term benefits evident in the act; for example, it increases cooperation between healthcare entities, optimizes information storage and processing, and fosters patient involvement. The HITECH Act created a framework that made the healthcare system in the United States more centralized, effective, and patient-oriented, which was considered a step toward the country's transformation.</w:t>
      </w:r>
    </w:p>
    <w:p w14:paraId="7A9896CA" w14:textId="77777777" w:rsidR="005B5F38" w:rsidRPr="005B5F38" w:rsidRDefault="005B5F38" w:rsidP="005B5F38">
      <w:pPr>
        <w:shd w:val="clear" w:color="auto" w:fill="FFFFFF"/>
        <w:spacing w:after="0" w:line="240" w:lineRule="auto"/>
        <w:rPr>
          <w:rFonts w:ascii="Roboto" w:eastAsia="Times New Roman" w:hAnsi="Roboto" w:cs="Times New Roman"/>
          <w:color w:val="1D2125"/>
          <w:kern w:val="0"/>
          <w:sz w:val="23"/>
          <w:szCs w:val="23"/>
          <w14:ligatures w14:val="none"/>
        </w:rPr>
      </w:pPr>
      <w:r w:rsidRPr="005B5F38">
        <w:rPr>
          <w:rFonts w:ascii="Roboto" w:eastAsia="Times New Roman" w:hAnsi="Roboto" w:cs="Times New Roman"/>
          <w:color w:val="1D2125"/>
          <w:kern w:val="0"/>
          <w:sz w:val="23"/>
          <w:szCs w:val="23"/>
          <w14:ligatures w14:val="none"/>
        </w:rPr>
        <w:br w:type="textWrapping" w:clear="all"/>
      </w:r>
    </w:p>
    <w:p w14:paraId="4ADDC3BC" w14:textId="77777777" w:rsidR="005B5F38" w:rsidRPr="005B5F38" w:rsidRDefault="005B5F38" w:rsidP="005B5F3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B5F38">
        <w:rPr>
          <w:rFonts w:ascii="Roboto" w:eastAsia="Times New Roman" w:hAnsi="Roboto" w:cs="Times New Roman"/>
          <w:color w:val="1D2125"/>
          <w:kern w:val="0"/>
          <w:sz w:val="23"/>
          <w:szCs w:val="23"/>
          <w14:ligatures w14:val="none"/>
        </w:rPr>
        <w:t> </w:t>
      </w:r>
    </w:p>
    <w:p w14:paraId="38AAEE85" w14:textId="77777777" w:rsidR="005B5F38" w:rsidRPr="005B5F38" w:rsidRDefault="005B5F38" w:rsidP="005B5F3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B5F38">
        <w:rPr>
          <w:rFonts w:ascii="Roboto" w:eastAsia="Times New Roman" w:hAnsi="Roboto" w:cs="Times New Roman"/>
          <w:color w:val="1D2125"/>
          <w:kern w:val="0"/>
          <w:sz w:val="23"/>
          <w:szCs w:val="23"/>
          <w14:ligatures w14:val="none"/>
        </w:rPr>
        <w:t> </w:t>
      </w:r>
    </w:p>
    <w:p w14:paraId="108D3B63" w14:textId="77777777" w:rsidR="005B5F38" w:rsidRPr="005B5F38" w:rsidRDefault="005B5F38" w:rsidP="005B5F38">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5B5F38">
        <w:rPr>
          <w:rFonts w:ascii="Roboto" w:eastAsia="Times New Roman" w:hAnsi="Roboto" w:cs="Times New Roman"/>
          <w:b/>
          <w:bCs/>
          <w:color w:val="1D2125"/>
          <w:kern w:val="0"/>
          <w:sz w:val="23"/>
          <w:szCs w:val="23"/>
          <w14:ligatures w14:val="none"/>
        </w:rPr>
        <w:t>Reference</w:t>
      </w:r>
    </w:p>
    <w:p w14:paraId="152BFAFE" w14:textId="77777777" w:rsidR="005B5F38" w:rsidRPr="005B5F38" w:rsidRDefault="005B5F38" w:rsidP="005B5F3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5B5F38">
        <w:rPr>
          <w:rFonts w:ascii="Roboto" w:eastAsia="Times New Roman" w:hAnsi="Roboto" w:cs="Times New Roman"/>
          <w:color w:val="1D2125"/>
          <w:kern w:val="0"/>
          <w:sz w:val="23"/>
          <w:szCs w:val="23"/>
          <w14:ligatures w14:val="none"/>
        </w:rPr>
        <w:t>ONC. (2019). </w:t>
      </w:r>
      <w:r w:rsidRPr="005B5F38">
        <w:rPr>
          <w:rFonts w:ascii="Roboto" w:eastAsia="Times New Roman" w:hAnsi="Roboto" w:cs="Times New Roman"/>
          <w:i/>
          <w:iCs/>
          <w:color w:val="1D2125"/>
          <w:kern w:val="0"/>
          <w:sz w:val="23"/>
          <w:szCs w:val="23"/>
          <w14:ligatures w14:val="none"/>
        </w:rPr>
        <w:t>Health IT Legislation</w:t>
      </w:r>
      <w:r w:rsidRPr="005B5F38">
        <w:rPr>
          <w:rFonts w:ascii="Roboto" w:eastAsia="Times New Roman" w:hAnsi="Roboto" w:cs="Times New Roman"/>
          <w:color w:val="1D2125"/>
          <w:kern w:val="0"/>
          <w:sz w:val="23"/>
          <w:szCs w:val="23"/>
          <w14:ligatures w14:val="none"/>
        </w:rPr>
        <w:t>. HealthIT.gov. </w:t>
      </w:r>
      <w:hyperlink r:id="rId5" w:history="1">
        <w:r w:rsidRPr="005B5F38">
          <w:rPr>
            <w:rFonts w:ascii="Roboto" w:eastAsia="Times New Roman" w:hAnsi="Roboto" w:cs="Times New Roman"/>
            <w:color w:val="0000FF"/>
            <w:kern w:val="0"/>
            <w:sz w:val="23"/>
            <w:szCs w:val="23"/>
            <w:u w:val="single"/>
            <w14:ligatures w14:val="none"/>
          </w:rPr>
          <w:t>https://www.healthit.gov/topic/laws-regulation-and-policy/health-it-legislation</w:t>
        </w:r>
      </w:hyperlink>
    </w:p>
    <w:p w14:paraId="21EEF037" w14:textId="77777777" w:rsidR="005B5F38" w:rsidRDefault="005B5F38"/>
    <w:p w14:paraId="5A2C347F" w14:textId="77777777" w:rsidR="005B5F38" w:rsidRDefault="005B5F38"/>
    <w:p w14:paraId="4D102247" w14:textId="77777777" w:rsidR="005B5F38" w:rsidRPr="005B5F38" w:rsidRDefault="005B5F38" w:rsidP="005B5F38">
      <w:pPr>
        <w:spacing w:after="0" w:line="240" w:lineRule="auto"/>
        <w:outlineLvl w:val="2"/>
        <w:rPr>
          <w:rFonts w:ascii="var(--font-family-display)" w:eastAsia="Times New Roman" w:hAnsi="var(--font-family-display)" w:cs="Times New Roman"/>
          <w:b/>
          <w:bCs/>
          <w:kern w:val="0"/>
          <w:sz w:val="27"/>
          <w:szCs w:val="27"/>
          <w14:ligatures w14:val="none"/>
        </w:rPr>
      </w:pPr>
      <w:r w:rsidRPr="005B5F38">
        <w:rPr>
          <w:rFonts w:ascii="var(--font-family-display)" w:eastAsia="Times New Roman" w:hAnsi="var(--font-family-display)" w:cs="Times New Roman"/>
          <w:b/>
          <w:bCs/>
          <w:kern w:val="0"/>
          <w:sz w:val="27"/>
          <w:szCs w:val="27"/>
          <w14:ligatures w14:val="none"/>
        </w:rPr>
        <w:t>Re: Week 6 Discussion Board 1: Healthcare Reform Legislation Relative to Information Technology</w:t>
      </w:r>
    </w:p>
    <w:p w14:paraId="7EFFEAF6" w14:textId="77777777" w:rsidR="005B5F38" w:rsidRPr="005B5F38" w:rsidRDefault="005B5F38" w:rsidP="005B5F38">
      <w:pPr>
        <w:spacing w:after="0" w:line="240" w:lineRule="auto"/>
        <w:rPr>
          <w:rFonts w:ascii="Times New Roman" w:eastAsia="Times New Roman" w:hAnsi="Times New Roman" w:cs="Times New Roman"/>
          <w:kern w:val="0"/>
          <w14:ligatures w14:val="none"/>
        </w:rPr>
      </w:pPr>
      <w:r w:rsidRPr="005B5F38">
        <w:rPr>
          <w:rFonts w:ascii="Times New Roman" w:eastAsia="Times New Roman" w:hAnsi="Times New Roman" w:cs="Times New Roman"/>
          <w:kern w:val="0"/>
          <w14:ligatures w14:val="none"/>
        </w:rPr>
        <w:t>by </w:t>
      </w:r>
      <w:hyperlink r:id="rId6" w:history="1">
        <w:r w:rsidRPr="005B5F38">
          <w:rPr>
            <w:rFonts w:ascii="Times New Roman" w:eastAsia="Times New Roman" w:hAnsi="Times New Roman" w:cs="Times New Roman"/>
            <w:color w:val="0000FF"/>
            <w:kern w:val="0"/>
            <w:u w:val="single"/>
            <w14:ligatures w14:val="none"/>
          </w:rPr>
          <w:t>Constance Dundon</w:t>
        </w:r>
      </w:hyperlink>
      <w:r w:rsidRPr="005B5F38">
        <w:rPr>
          <w:rFonts w:ascii="Times New Roman" w:eastAsia="Times New Roman" w:hAnsi="Times New Roman" w:cs="Times New Roman"/>
          <w:kern w:val="0"/>
          <w14:ligatures w14:val="none"/>
        </w:rPr>
        <w:t> - Wednesday, 31 July 2024, 4:38 PM</w:t>
      </w:r>
    </w:p>
    <w:p w14:paraId="3AE5D228" w14:textId="77777777" w:rsidR="005B5F38" w:rsidRPr="005B5F38" w:rsidRDefault="005B5F38" w:rsidP="005B5F38">
      <w:pPr>
        <w:shd w:val="clear" w:color="auto" w:fill="FFFFFF"/>
        <w:spacing w:after="0" w:line="240" w:lineRule="auto"/>
        <w:rPr>
          <w:rFonts w:ascii="Roboto" w:eastAsia="Times New Roman" w:hAnsi="Roboto" w:cs="Times New Roman"/>
          <w:color w:val="1D2125"/>
          <w:kern w:val="0"/>
          <w:sz w:val="23"/>
          <w:szCs w:val="23"/>
          <w14:ligatures w14:val="none"/>
        </w:rPr>
      </w:pPr>
      <w:r w:rsidRPr="005B5F38">
        <w:rPr>
          <w:rFonts w:ascii="Roboto" w:eastAsia="Times New Roman" w:hAnsi="Roboto" w:cs="Times New Roman"/>
          <w:color w:val="1D2125"/>
          <w:kern w:val="0"/>
          <w:sz w:val="23"/>
          <w:szCs w:val="23"/>
          <w14:ligatures w14:val="none"/>
        </w:rPr>
        <w:t xml:space="preserve">The 21st Century Cures Act of 2016, and specifically the ONC Cures Act Final Rule in 2019, establishes patients’ access to information within their electronic records more readily and in totality. These laws were enacted after the original HITECH Act from 2009. The Cures Act and its later rules were passed subsequently to address the long-standing interoperability problems caused by fragmented and closed IT vendor systems within healthcare. This is achieved by requiring IT developers to remove any information-blocking barriers and implement an “open API” (Savage et al., 2020). Information blocking, as defined by this act, is the practice of preventing or impeding access to and the use of EHR. The specifics of this rule are rather technical, but its downstream effects on patients and providers have had broad impacts. It implemented a mechanism to ensure greater compliance with its predecessor from 2015, the Medicare Quality Reporting and Promoting Interoperability program. Ultimately, the Cures Act is intended to enhance access to health information between health systems, and the ONC Cures Act Final Rule gives patients more immediate </w:t>
      </w:r>
      <w:r w:rsidRPr="005B5F38">
        <w:rPr>
          <w:rFonts w:ascii="Roboto" w:eastAsia="Times New Roman" w:hAnsi="Roboto" w:cs="Times New Roman"/>
          <w:color w:val="1D2125"/>
          <w:kern w:val="0"/>
          <w:sz w:val="23"/>
          <w:szCs w:val="23"/>
          <w14:ligatures w14:val="none"/>
        </w:rPr>
        <w:lastRenderedPageBreak/>
        <w:t>access to their medical records on any health application of their choosing. Similarly, terms and fees cannot be applied in exchange for patient data, and providers and hospitals must allow access to their protected health information (Jeffcoat, 2021). Historically, patients would have had to make a formal request to a facility for their records after discharge, but since this rule’s implementation, patients can now view notes and study results in real-time. This has obvious benefits for patients, given the added emphasis on transparency and efficacy (Jeffcoat, 2021).</w:t>
      </w:r>
      <w:r w:rsidRPr="005B5F38">
        <w:rPr>
          <w:rFonts w:ascii="Roboto" w:eastAsia="Times New Roman" w:hAnsi="Roboto" w:cs="Times New Roman"/>
          <w:color w:val="1D2125"/>
          <w:kern w:val="0"/>
          <w:sz w:val="23"/>
          <w:szCs w:val="23"/>
          <w14:ligatures w14:val="none"/>
        </w:rPr>
        <w:br/>
      </w:r>
      <w:r w:rsidRPr="005B5F38">
        <w:rPr>
          <w:rFonts w:ascii="Roboto" w:eastAsia="Times New Roman" w:hAnsi="Roboto" w:cs="Times New Roman"/>
          <w:color w:val="1D2125"/>
          <w:kern w:val="0"/>
          <w:sz w:val="23"/>
          <w:szCs w:val="23"/>
          <w14:ligatures w14:val="none"/>
        </w:rPr>
        <w:br/>
        <w:t xml:space="preserve">EPIC and similar vendors pushed for a postponement of the implementation of the rule, citing concerns about patient privacy if data was shared across different health app platforms. However, patient advocacy groups strongly opposed this stance, asserting the patients' right to access and share health information as they see fit (Savage et al., 2020). An </w:t>
      </w:r>
      <w:proofErr w:type="gramStart"/>
      <w:r w:rsidRPr="005B5F38">
        <w:rPr>
          <w:rFonts w:ascii="Roboto" w:eastAsia="Times New Roman" w:hAnsi="Roboto" w:cs="Times New Roman"/>
          <w:color w:val="1D2125"/>
          <w:kern w:val="0"/>
          <w:sz w:val="23"/>
          <w:szCs w:val="23"/>
          <w14:ligatures w14:val="none"/>
        </w:rPr>
        <w:t>often overlooked</w:t>
      </w:r>
      <w:proofErr w:type="gramEnd"/>
      <w:r w:rsidRPr="005B5F38">
        <w:rPr>
          <w:rFonts w:ascii="Roboto" w:eastAsia="Times New Roman" w:hAnsi="Roboto" w:cs="Times New Roman"/>
          <w:color w:val="1D2125"/>
          <w:kern w:val="0"/>
          <w:sz w:val="23"/>
          <w:szCs w:val="23"/>
          <w14:ligatures w14:val="none"/>
        </w:rPr>
        <w:t xml:space="preserve"> advantage of this approach is that it allows patients to accumulate data from various sources over time, ultimately creating a comprehensive medical record. Such regulations reflect a forward-looking policy that will facilitate the seamless integration of telehealth services and AI tools in the long run.</w:t>
      </w:r>
      <w:r w:rsidRPr="005B5F38">
        <w:rPr>
          <w:rFonts w:ascii="Roboto" w:eastAsia="Times New Roman" w:hAnsi="Roboto" w:cs="Times New Roman"/>
          <w:color w:val="1D2125"/>
          <w:kern w:val="0"/>
          <w:sz w:val="23"/>
          <w:szCs w:val="23"/>
          <w14:ligatures w14:val="none"/>
        </w:rPr>
        <w:br/>
      </w:r>
      <w:r w:rsidRPr="005B5F38">
        <w:rPr>
          <w:rFonts w:ascii="Roboto" w:eastAsia="Times New Roman" w:hAnsi="Roboto" w:cs="Times New Roman"/>
          <w:color w:val="1D2125"/>
          <w:kern w:val="0"/>
          <w:sz w:val="23"/>
          <w:szCs w:val="23"/>
          <w14:ligatures w14:val="none"/>
        </w:rPr>
        <w:br/>
        <w:t>From the clinical side, there was significant concern from nurses and providers about patients and families with timely access to progress notes and formal study results. From my own practice, my daily progress notes have changed significantly. Prior to this rule, our practice was to write out a specific initial assessment addressing each organ system, and later capture the events of the shifts ending with proposed plans. These notes were particularly helpful to our nursing practice because they outlined a clear picture of the patient’s clinical status, and anticipated goals for the next shifts. Since the implementation of the rule, we are no longer required to write shift notes, only in the case of an emergency event.</w:t>
      </w:r>
      <w:r w:rsidRPr="005B5F38">
        <w:rPr>
          <w:rFonts w:ascii="Roboto" w:eastAsia="Times New Roman" w:hAnsi="Roboto" w:cs="Times New Roman"/>
          <w:color w:val="1D2125"/>
          <w:kern w:val="0"/>
          <w:sz w:val="23"/>
          <w:szCs w:val="23"/>
          <w14:ligatures w14:val="none"/>
        </w:rPr>
        <w:br/>
        <w:t>It should be noted, that a more complete understanding of a patient’s status is generally a good thing for patients and families to have exposure to, but at times, like when complex critical illnesses arise, and this information is read without context and explanation. This also applies to radiologic findings that patients now have timely access to the report without providers providing context. This confusion and accompanying anxiety can become cumulative and can even lead to the degradation of the relative trust between nurses, their patients, and their loved ones.</w:t>
      </w:r>
      <w:r w:rsidRPr="005B5F38">
        <w:rPr>
          <w:rFonts w:ascii="Roboto" w:eastAsia="Times New Roman" w:hAnsi="Roboto" w:cs="Times New Roman"/>
          <w:color w:val="1D2125"/>
          <w:kern w:val="0"/>
          <w:sz w:val="23"/>
          <w:szCs w:val="23"/>
          <w14:ligatures w14:val="none"/>
        </w:rPr>
        <w:br/>
      </w:r>
      <w:r w:rsidRPr="005B5F38">
        <w:rPr>
          <w:rFonts w:ascii="Roboto" w:eastAsia="Times New Roman" w:hAnsi="Roboto" w:cs="Times New Roman"/>
          <w:color w:val="1D2125"/>
          <w:kern w:val="0"/>
          <w:sz w:val="23"/>
          <w:szCs w:val="23"/>
          <w14:ligatures w14:val="none"/>
        </w:rPr>
        <w:br/>
        <w:t>References</w:t>
      </w:r>
      <w:r w:rsidRPr="005B5F38">
        <w:rPr>
          <w:rFonts w:ascii="Roboto" w:eastAsia="Times New Roman" w:hAnsi="Roboto" w:cs="Times New Roman"/>
          <w:color w:val="1D2125"/>
          <w:kern w:val="0"/>
          <w:sz w:val="23"/>
          <w:szCs w:val="23"/>
          <w14:ligatures w14:val="none"/>
        </w:rPr>
        <w:br/>
      </w:r>
      <w:proofErr w:type="gramStart"/>
      <w:r w:rsidRPr="005B5F38">
        <w:rPr>
          <w:rFonts w:ascii="Roboto" w:eastAsia="Times New Roman" w:hAnsi="Roboto" w:cs="Times New Roman"/>
          <w:color w:val="1D2125"/>
          <w:kern w:val="0"/>
          <w:sz w:val="23"/>
          <w:szCs w:val="23"/>
          <w14:ligatures w14:val="none"/>
        </w:rPr>
        <w:t>Jeffcoat ,</w:t>
      </w:r>
      <w:proofErr w:type="gramEnd"/>
      <w:r w:rsidRPr="005B5F38">
        <w:rPr>
          <w:rFonts w:ascii="Roboto" w:eastAsia="Times New Roman" w:hAnsi="Roboto" w:cs="Times New Roman"/>
          <w:color w:val="1D2125"/>
          <w:kern w:val="0"/>
          <w:sz w:val="23"/>
          <w:szCs w:val="23"/>
          <w14:ligatures w14:val="none"/>
        </w:rPr>
        <w:t xml:space="preserve"> H. (2021, September 2). The 21st Century Cures Act Final Rule. The 21st Century Cures Act Final </w:t>
      </w:r>
      <w:proofErr w:type="gramStart"/>
      <w:r w:rsidRPr="005B5F38">
        <w:rPr>
          <w:rFonts w:ascii="Roboto" w:eastAsia="Times New Roman" w:hAnsi="Roboto" w:cs="Times New Roman"/>
          <w:color w:val="1D2125"/>
          <w:kern w:val="0"/>
          <w:sz w:val="23"/>
          <w:szCs w:val="23"/>
          <w14:ligatures w14:val="none"/>
        </w:rPr>
        <w:t>Rule .</w:t>
      </w:r>
      <w:proofErr w:type="gramEnd"/>
      <w:r w:rsidRPr="005B5F38">
        <w:rPr>
          <w:rFonts w:ascii="Roboto" w:eastAsia="Times New Roman" w:hAnsi="Roboto" w:cs="Times New Roman"/>
          <w:color w:val="1D2125"/>
          <w:kern w:val="0"/>
          <w:sz w:val="23"/>
          <w:szCs w:val="23"/>
          <w14:ligatures w14:val="none"/>
        </w:rPr>
        <w:t xml:space="preserve"> https://www.facs.org/for-medical-professionals/news-publications/news-and-articles/bulletin/2021/09/the-21st-century-cures-act-final-rule/</w:t>
      </w:r>
      <w:r w:rsidRPr="005B5F38">
        <w:rPr>
          <w:rFonts w:ascii="Roboto" w:eastAsia="Times New Roman" w:hAnsi="Roboto" w:cs="Times New Roman"/>
          <w:color w:val="1D2125"/>
          <w:kern w:val="0"/>
          <w:sz w:val="23"/>
          <w:szCs w:val="23"/>
          <w14:ligatures w14:val="none"/>
        </w:rPr>
        <w:br/>
      </w:r>
      <w:r w:rsidRPr="005B5F38">
        <w:rPr>
          <w:rFonts w:ascii="Roboto" w:eastAsia="Times New Roman" w:hAnsi="Roboto" w:cs="Times New Roman"/>
          <w:color w:val="1D2125"/>
          <w:kern w:val="0"/>
          <w:sz w:val="23"/>
          <w:szCs w:val="23"/>
          <w14:ligatures w14:val="none"/>
        </w:rPr>
        <w:br/>
        <w:t xml:space="preserve">Savage, L. C., </w:t>
      </w:r>
      <w:proofErr w:type="spellStart"/>
      <w:r w:rsidRPr="005B5F38">
        <w:rPr>
          <w:rFonts w:ascii="Roboto" w:eastAsia="Times New Roman" w:hAnsi="Roboto" w:cs="Times New Roman"/>
          <w:color w:val="1D2125"/>
          <w:kern w:val="0"/>
          <w:sz w:val="23"/>
          <w:szCs w:val="23"/>
          <w14:ligatures w14:val="none"/>
        </w:rPr>
        <w:t>Neinstein</w:t>
      </w:r>
      <w:proofErr w:type="spellEnd"/>
      <w:r w:rsidRPr="005B5F38">
        <w:rPr>
          <w:rFonts w:ascii="Roboto" w:eastAsia="Times New Roman" w:hAnsi="Roboto" w:cs="Times New Roman"/>
          <w:color w:val="1D2125"/>
          <w:kern w:val="0"/>
          <w:sz w:val="23"/>
          <w:szCs w:val="23"/>
          <w14:ligatures w14:val="none"/>
        </w:rPr>
        <w:t>, A. B., Savage, M., &amp; Adler-Milstein, J. (2020). ONC should not delay the release of its rule. Health Affairs Forefront.</w:t>
      </w:r>
    </w:p>
    <w:p w14:paraId="6E70A088" w14:textId="77777777" w:rsidR="005B5F38" w:rsidRDefault="005B5F38"/>
    <w:p w14:paraId="214421EF" w14:textId="77777777" w:rsidR="005B5F38" w:rsidRDefault="005B5F38"/>
    <w:p w14:paraId="3A534B53" w14:textId="77777777" w:rsidR="005B5F38" w:rsidRDefault="005B5F38"/>
    <w:p w14:paraId="1769E048" w14:textId="77777777" w:rsidR="005B5F38" w:rsidRPr="005B5F38" w:rsidRDefault="005B5F38" w:rsidP="005B5F38">
      <w:pPr>
        <w:spacing w:after="0" w:line="240" w:lineRule="auto"/>
        <w:outlineLvl w:val="2"/>
        <w:rPr>
          <w:rFonts w:ascii="var(--font-family-display)" w:eastAsia="Times New Roman" w:hAnsi="var(--font-family-display)" w:cs="Times New Roman"/>
          <w:b/>
          <w:bCs/>
          <w:kern w:val="0"/>
          <w:sz w:val="27"/>
          <w:szCs w:val="27"/>
          <w14:ligatures w14:val="none"/>
        </w:rPr>
      </w:pPr>
      <w:r w:rsidRPr="005B5F38">
        <w:rPr>
          <w:rFonts w:ascii="var(--font-family-display)" w:eastAsia="Times New Roman" w:hAnsi="var(--font-family-display)" w:cs="Times New Roman"/>
          <w:b/>
          <w:bCs/>
          <w:kern w:val="0"/>
          <w:sz w:val="27"/>
          <w:szCs w:val="27"/>
          <w14:ligatures w14:val="none"/>
        </w:rPr>
        <w:lastRenderedPageBreak/>
        <w:t>Re: Week 6 Discussion Board 2: Legal Issues, Federal Regulations, and Accreditation</w:t>
      </w:r>
    </w:p>
    <w:p w14:paraId="53CDD9E2" w14:textId="77777777" w:rsidR="005B5F38" w:rsidRPr="005B5F38" w:rsidRDefault="005B5F38" w:rsidP="005B5F38">
      <w:pPr>
        <w:spacing w:after="0" w:line="240" w:lineRule="auto"/>
        <w:rPr>
          <w:rFonts w:ascii="Times New Roman" w:eastAsia="Times New Roman" w:hAnsi="Times New Roman" w:cs="Times New Roman"/>
          <w:kern w:val="0"/>
          <w14:ligatures w14:val="none"/>
        </w:rPr>
      </w:pPr>
      <w:r w:rsidRPr="005B5F38">
        <w:rPr>
          <w:rFonts w:ascii="Times New Roman" w:eastAsia="Times New Roman" w:hAnsi="Times New Roman" w:cs="Times New Roman"/>
          <w:kern w:val="0"/>
          <w14:ligatures w14:val="none"/>
        </w:rPr>
        <w:t>by </w:t>
      </w:r>
      <w:hyperlink r:id="rId7" w:history="1">
        <w:r w:rsidRPr="005B5F38">
          <w:rPr>
            <w:rFonts w:ascii="Times New Roman" w:eastAsia="Times New Roman" w:hAnsi="Times New Roman" w:cs="Times New Roman"/>
            <w:color w:val="0000FF"/>
            <w:kern w:val="0"/>
            <w:u w:val="single"/>
            <w14:ligatures w14:val="none"/>
          </w:rPr>
          <w:t>James Royster</w:t>
        </w:r>
      </w:hyperlink>
      <w:r w:rsidRPr="005B5F38">
        <w:rPr>
          <w:rFonts w:ascii="Times New Roman" w:eastAsia="Times New Roman" w:hAnsi="Times New Roman" w:cs="Times New Roman"/>
          <w:kern w:val="0"/>
          <w14:ligatures w14:val="none"/>
        </w:rPr>
        <w:t> - Wednesday, 31 July 2024, 9:14 PM</w:t>
      </w:r>
    </w:p>
    <w:p w14:paraId="1B2CA7FE" w14:textId="77777777" w:rsidR="005B5F38" w:rsidRPr="005B5F38" w:rsidRDefault="005B5F38" w:rsidP="005B5F38">
      <w:pPr>
        <w:spacing w:after="100" w:afterAutospacing="1" w:line="240" w:lineRule="auto"/>
        <w:jc w:val="center"/>
        <w:rPr>
          <w:rFonts w:ascii="Times New Roman" w:eastAsia="Times New Roman" w:hAnsi="Times New Roman" w:cs="Times New Roman"/>
          <w:kern w:val="0"/>
          <w14:ligatures w14:val="none"/>
        </w:rPr>
      </w:pPr>
      <w:r w:rsidRPr="005B5F38">
        <w:rPr>
          <w:rFonts w:ascii="Times New Roman" w:eastAsia="Times New Roman" w:hAnsi="Times New Roman" w:cs="Times New Roman"/>
          <w:b/>
          <w:bCs/>
          <w:kern w:val="0"/>
          <w14:ligatures w14:val="none"/>
        </w:rPr>
        <w:t>Enhancing Patient Safety and Care Quality through The Joint Commission's Health Information Technology Recommendations</w:t>
      </w:r>
    </w:p>
    <w:p w14:paraId="1B357C8A" w14:textId="77777777" w:rsidR="005B5F38" w:rsidRPr="005B5F38" w:rsidRDefault="005B5F38" w:rsidP="005B5F38">
      <w:pPr>
        <w:spacing w:after="100" w:afterAutospacing="1" w:line="240" w:lineRule="auto"/>
        <w:jc w:val="center"/>
        <w:rPr>
          <w:rFonts w:ascii="Times New Roman" w:eastAsia="Times New Roman" w:hAnsi="Times New Roman" w:cs="Times New Roman"/>
          <w:kern w:val="0"/>
          <w14:ligatures w14:val="none"/>
        </w:rPr>
      </w:pPr>
      <w:r w:rsidRPr="005B5F38">
        <w:rPr>
          <w:rFonts w:ascii="Times New Roman" w:eastAsia="Times New Roman" w:hAnsi="Times New Roman" w:cs="Times New Roman"/>
          <w:kern w:val="0"/>
          <w14:ligatures w14:val="none"/>
        </w:rPr>
        <w:t> </w:t>
      </w:r>
    </w:p>
    <w:p w14:paraId="6DF775A0" w14:textId="77777777" w:rsidR="005B5F38" w:rsidRPr="005B5F38" w:rsidRDefault="005B5F38" w:rsidP="005B5F38">
      <w:pPr>
        <w:spacing w:after="100" w:afterAutospacing="1" w:line="240" w:lineRule="auto"/>
        <w:jc w:val="center"/>
        <w:rPr>
          <w:rFonts w:ascii="Times New Roman" w:eastAsia="Times New Roman" w:hAnsi="Times New Roman" w:cs="Times New Roman"/>
          <w:kern w:val="0"/>
          <w14:ligatures w14:val="none"/>
        </w:rPr>
      </w:pPr>
      <w:r w:rsidRPr="005B5F38">
        <w:rPr>
          <w:rFonts w:ascii="Times New Roman" w:eastAsia="Times New Roman" w:hAnsi="Times New Roman" w:cs="Times New Roman"/>
          <w:kern w:val="0"/>
          <w14:ligatures w14:val="none"/>
        </w:rPr>
        <w:t>Enhancing Patient Safety and Care Quality through The Joint Commission's Health Information Technology Recommendations</w:t>
      </w:r>
    </w:p>
    <w:p w14:paraId="49685D81" w14:textId="77777777" w:rsidR="005B5F38" w:rsidRPr="005B5F38" w:rsidRDefault="005B5F38" w:rsidP="005B5F38">
      <w:pPr>
        <w:spacing w:after="100" w:afterAutospacing="1" w:line="240" w:lineRule="auto"/>
        <w:rPr>
          <w:rFonts w:ascii="Times New Roman" w:eastAsia="Times New Roman" w:hAnsi="Times New Roman" w:cs="Times New Roman"/>
          <w:kern w:val="0"/>
          <w14:ligatures w14:val="none"/>
        </w:rPr>
      </w:pPr>
      <w:r w:rsidRPr="005B5F38">
        <w:rPr>
          <w:rFonts w:ascii="Times New Roman" w:eastAsia="Times New Roman" w:hAnsi="Times New Roman" w:cs="Times New Roman"/>
          <w:kern w:val="0"/>
          <w14:ligatures w14:val="none"/>
        </w:rPr>
        <w:t>The healthcare sector in the United States is highly regulated and directly impacts the practice of health informatics. The TJC is among the significant regulating bodies because it provides guidelines to enhance patient safety and monitor the quality of care (Hardy, 2023). Another area of focus that is crucial in TJC’s work is the identification and resolution of issues and suggestions by the organization associated with HIT. TJC specifies its findings and recommendations regarding information standards, and their presence will be discussed in relation to the practice of a DNP or NP. We will also discuss how compliance with these standards will improve patient safety and quality of care based on the article's findings by Ibrahim et al. (2022).</w:t>
      </w:r>
    </w:p>
    <w:p w14:paraId="43D80ABC" w14:textId="77777777" w:rsidR="005B5F38" w:rsidRPr="005B5F38" w:rsidRDefault="005B5F38" w:rsidP="005B5F38">
      <w:pPr>
        <w:spacing w:after="100" w:afterAutospacing="1" w:line="240" w:lineRule="auto"/>
        <w:jc w:val="center"/>
        <w:rPr>
          <w:rFonts w:ascii="Times New Roman" w:eastAsia="Times New Roman" w:hAnsi="Times New Roman" w:cs="Times New Roman"/>
          <w:kern w:val="0"/>
          <w14:ligatures w14:val="none"/>
        </w:rPr>
      </w:pPr>
      <w:r w:rsidRPr="005B5F38">
        <w:rPr>
          <w:rFonts w:ascii="Times New Roman" w:eastAsia="Times New Roman" w:hAnsi="Times New Roman" w:cs="Times New Roman"/>
          <w:b/>
          <w:bCs/>
          <w:kern w:val="0"/>
          <w14:ligatures w14:val="none"/>
        </w:rPr>
        <w:t>The Joint Commission Findings and Recommendations</w:t>
      </w:r>
    </w:p>
    <w:p w14:paraId="5220A537" w14:textId="77777777" w:rsidR="005B5F38" w:rsidRPr="005B5F38" w:rsidRDefault="005B5F38" w:rsidP="005B5F38">
      <w:pPr>
        <w:spacing w:after="100" w:afterAutospacing="1" w:line="240" w:lineRule="auto"/>
        <w:rPr>
          <w:rFonts w:ascii="Times New Roman" w:eastAsia="Times New Roman" w:hAnsi="Times New Roman" w:cs="Times New Roman"/>
          <w:kern w:val="0"/>
          <w14:ligatures w14:val="none"/>
        </w:rPr>
      </w:pPr>
      <w:r w:rsidRPr="005B5F38">
        <w:rPr>
          <w:rFonts w:ascii="Times New Roman" w:eastAsia="Times New Roman" w:hAnsi="Times New Roman" w:cs="Times New Roman"/>
          <w:kern w:val="0"/>
          <w14:ligatures w14:val="none"/>
        </w:rPr>
        <w:t>TJC identifies several necessary information standards for healthcare providers, including information management planning, using health information, and assessing data and health information. For instance, it marks sentinel events associated with HIT, emerging with profound gaps in the human-computer interface, operability/communication problems, and design flaws in clinical content and decision support (Hardy, 2023). TJC offers recommendations for actions by the organization using a culture of safety, patient process improvements, and system, structure and leadership.</w:t>
      </w:r>
    </w:p>
    <w:p w14:paraId="496EFD6E" w14:textId="77777777" w:rsidR="005B5F38" w:rsidRPr="005B5F38" w:rsidRDefault="005B5F38" w:rsidP="005B5F38">
      <w:pPr>
        <w:spacing w:after="100" w:afterAutospacing="1" w:line="240" w:lineRule="auto"/>
        <w:jc w:val="center"/>
        <w:rPr>
          <w:rFonts w:ascii="Times New Roman" w:eastAsia="Times New Roman" w:hAnsi="Times New Roman" w:cs="Times New Roman"/>
          <w:kern w:val="0"/>
          <w14:ligatures w14:val="none"/>
        </w:rPr>
      </w:pPr>
      <w:r w:rsidRPr="005B5F38">
        <w:rPr>
          <w:rFonts w:ascii="Times New Roman" w:eastAsia="Times New Roman" w:hAnsi="Times New Roman" w:cs="Times New Roman"/>
          <w:b/>
          <w:bCs/>
          <w:kern w:val="0"/>
          <w14:ligatures w14:val="none"/>
        </w:rPr>
        <w:t>Impact on Practice as a DNP/NP</w:t>
      </w:r>
    </w:p>
    <w:p w14:paraId="41FD459E" w14:textId="77777777" w:rsidR="005B5F38" w:rsidRPr="005B5F38" w:rsidRDefault="005B5F38" w:rsidP="005B5F38">
      <w:pPr>
        <w:spacing w:after="100" w:afterAutospacing="1" w:line="240" w:lineRule="auto"/>
        <w:rPr>
          <w:rFonts w:ascii="Times New Roman" w:eastAsia="Times New Roman" w:hAnsi="Times New Roman" w:cs="Times New Roman"/>
          <w:kern w:val="0"/>
          <w14:ligatures w14:val="none"/>
        </w:rPr>
      </w:pPr>
      <w:r w:rsidRPr="005B5F38">
        <w:rPr>
          <w:rFonts w:ascii="Times New Roman" w:eastAsia="Times New Roman" w:hAnsi="Times New Roman" w:cs="Times New Roman"/>
          <w:kern w:val="0"/>
          <w14:ligatures w14:val="none"/>
        </w:rPr>
        <w:t>For the DNP or NP, applying TJC’s conclusions and guidelines into practice is crucial to providing the best quality and safety of patient care. For example, the emphasis on process improvement enables enhancement of the working processes, thereby reducing the occurrence of mistakes. An example would be improving the look and feel of the EHR interface since its complication is known to cripple its usage. Skilled clinicians can enter information about patients more accurately and quickly, directly affecting patient safety and quality of care.</w:t>
      </w:r>
    </w:p>
    <w:p w14:paraId="2C64A461" w14:textId="77777777" w:rsidR="005B5F38" w:rsidRPr="005B5F38" w:rsidRDefault="005B5F38" w:rsidP="005B5F38">
      <w:pPr>
        <w:spacing w:after="100" w:afterAutospacing="1" w:line="240" w:lineRule="auto"/>
        <w:jc w:val="center"/>
        <w:rPr>
          <w:rFonts w:ascii="Times New Roman" w:eastAsia="Times New Roman" w:hAnsi="Times New Roman" w:cs="Times New Roman"/>
          <w:kern w:val="0"/>
          <w14:ligatures w14:val="none"/>
        </w:rPr>
      </w:pPr>
      <w:r w:rsidRPr="005B5F38">
        <w:rPr>
          <w:rFonts w:ascii="Times New Roman" w:eastAsia="Times New Roman" w:hAnsi="Times New Roman" w:cs="Times New Roman"/>
          <w:b/>
          <w:bCs/>
          <w:kern w:val="0"/>
          <w14:ligatures w14:val="none"/>
        </w:rPr>
        <w:t>Peer-Reviewed Article Insight</w:t>
      </w:r>
    </w:p>
    <w:p w14:paraId="2C02D8E2" w14:textId="77777777" w:rsidR="005B5F38" w:rsidRPr="005B5F38" w:rsidRDefault="005B5F38" w:rsidP="005B5F38">
      <w:pPr>
        <w:spacing w:after="100" w:afterAutospacing="1" w:line="240" w:lineRule="auto"/>
        <w:rPr>
          <w:rFonts w:ascii="Times New Roman" w:eastAsia="Times New Roman" w:hAnsi="Times New Roman" w:cs="Times New Roman"/>
          <w:kern w:val="0"/>
          <w14:ligatures w14:val="none"/>
        </w:rPr>
      </w:pPr>
      <w:r w:rsidRPr="005B5F38">
        <w:rPr>
          <w:rFonts w:ascii="Times New Roman" w:eastAsia="Times New Roman" w:hAnsi="Times New Roman" w:cs="Times New Roman"/>
          <w:kern w:val="0"/>
          <w14:ligatures w14:val="none"/>
        </w:rPr>
        <w:t xml:space="preserve">The article by Ibrahim et al. (2022) points out the aspects of evidence-based standards that TJC incorporates in its accreditation. It stresses that the application of these standards supported by solid evidence can dramatically improve health care. Thus, the article under analysis supports </w:t>
      </w:r>
      <w:r w:rsidRPr="005B5F38">
        <w:rPr>
          <w:rFonts w:ascii="Times New Roman" w:eastAsia="Times New Roman" w:hAnsi="Times New Roman" w:cs="Times New Roman"/>
          <w:kern w:val="0"/>
          <w14:ligatures w14:val="none"/>
        </w:rPr>
        <w:lastRenderedPageBreak/>
        <w:t>TJC’s recommendations by describing how accreditation standards affect hospital performance and patient safety.</w:t>
      </w:r>
    </w:p>
    <w:p w14:paraId="0447200F" w14:textId="77777777" w:rsidR="005B5F38" w:rsidRPr="005B5F38" w:rsidRDefault="005B5F38" w:rsidP="005B5F38">
      <w:pPr>
        <w:spacing w:after="100" w:afterAutospacing="1" w:line="240" w:lineRule="auto"/>
        <w:jc w:val="center"/>
        <w:rPr>
          <w:rFonts w:ascii="Times New Roman" w:eastAsia="Times New Roman" w:hAnsi="Times New Roman" w:cs="Times New Roman"/>
          <w:kern w:val="0"/>
          <w14:ligatures w14:val="none"/>
        </w:rPr>
      </w:pPr>
      <w:r w:rsidRPr="005B5F38">
        <w:rPr>
          <w:rFonts w:ascii="Times New Roman" w:eastAsia="Times New Roman" w:hAnsi="Times New Roman" w:cs="Times New Roman"/>
          <w:b/>
          <w:bCs/>
          <w:kern w:val="0"/>
          <w14:ligatures w14:val="none"/>
        </w:rPr>
        <w:t>Conclusion</w:t>
      </w:r>
    </w:p>
    <w:p w14:paraId="37A59DA4" w14:textId="77777777" w:rsidR="005B5F38" w:rsidRPr="005B5F38" w:rsidRDefault="005B5F38" w:rsidP="005B5F38">
      <w:pPr>
        <w:spacing w:after="100" w:afterAutospacing="1" w:line="240" w:lineRule="auto"/>
        <w:rPr>
          <w:rFonts w:ascii="Times New Roman" w:eastAsia="Times New Roman" w:hAnsi="Times New Roman" w:cs="Times New Roman"/>
          <w:kern w:val="0"/>
          <w14:ligatures w14:val="none"/>
        </w:rPr>
      </w:pPr>
      <w:r w:rsidRPr="005B5F38">
        <w:rPr>
          <w:rFonts w:ascii="Times New Roman" w:eastAsia="Times New Roman" w:hAnsi="Times New Roman" w:cs="Times New Roman"/>
          <w:kern w:val="0"/>
          <w14:ligatures w14:val="none"/>
        </w:rPr>
        <w:t>The Joint Commission's findings and recommendations are invaluable tools in health informatics. Acquaintance with these standards helps DNPs and NPs provide better patient treatment and eliminate dangerous conditions. HIT weaknesses can be countered through a culture of safety, process, and leadership, thus reducing risks inherent in health information technology. Ibrahim et al.'s (2022) study provided additional proof of the benefits of these standards in enhancing the quality of health care, emphasizing the importance of continuing to follow and enhance health informatics practices.</w:t>
      </w:r>
    </w:p>
    <w:p w14:paraId="679D6D46" w14:textId="77777777" w:rsidR="005B5F38" w:rsidRPr="005B5F38" w:rsidRDefault="005B5F38" w:rsidP="005B5F38">
      <w:pPr>
        <w:spacing w:after="0" w:line="240" w:lineRule="auto"/>
        <w:rPr>
          <w:rFonts w:ascii="Times New Roman" w:eastAsia="Times New Roman" w:hAnsi="Times New Roman" w:cs="Times New Roman"/>
          <w:kern w:val="0"/>
          <w14:ligatures w14:val="none"/>
        </w:rPr>
      </w:pPr>
      <w:r w:rsidRPr="005B5F38">
        <w:rPr>
          <w:rFonts w:ascii="Times New Roman" w:eastAsia="Times New Roman" w:hAnsi="Times New Roman" w:cs="Times New Roman"/>
          <w:kern w:val="0"/>
          <w14:ligatures w14:val="none"/>
        </w:rPr>
        <w:br w:type="textWrapping" w:clear="all"/>
      </w:r>
    </w:p>
    <w:p w14:paraId="1D760853" w14:textId="77777777" w:rsidR="005B5F38" w:rsidRPr="005B5F38" w:rsidRDefault="005B5F38" w:rsidP="005B5F38">
      <w:pPr>
        <w:spacing w:after="100" w:afterAutospacing="1" w:line="240" w:lineRule="auto"/>
        <w:rPr>
          <w:rFonts w:ascii="Times New Roman" w:eastAsia="Times New Roman" w:hAnsi="Times New Roman" w:cs="Times New Roman"/>
          <w:kern w:val="0"/>
          <w14:ligatures w14:val="none"/>
        </w:rPr>
      </w:pPr>
      <w:r w:rsidRPr="005B5F38">
        <w:rPr>
          <w:rFonts w:ascii="Times New Roman" w:eastAsia="Times New Roman" w:hAnsi="Times New Roman" w:cs="Times New Roman"/>
          <w:kern w:val="0"/>
          <w14:ligatures w14:val="none"/>
        </w:rPr>
        <w:t> </w:t>
      </w:r>
    </w:p>
    <w:p w14:paraId="542A0F39" w14:textId="77777777" w:rsidR="005B5F38" w:rsidRPr="005B5F38" w:rsidRDefault="005B5F38" w:rsidP="005B5F38">
      <w:pPr>
        <w:spacing w:after="100" w:afterAutospacing="1" w:line="240" w:lineRule="auto"/>
        <w:jc w:val="center"/>
        <w:rPr>
          <w:rFonts w:ascii="Times New Roman" w:eastAsia="Times New Roman" w:hAnsi="Times New Roman" w:cs="Times New Roman"/>
          <w:kern w:val="0"/>
          <w14:ligatures w14:val="none"/>
        </w:rPr>
      </w:pPr>
      <w:r w:rsidRPr="005B5F38">
        <w:rPr>
          <w:rFonts w:ascii="Times New Roman" w:eastAsia="Times New Roman" w:hAnsi="Times New Roman" w:cs="Times New Roman"/>
          <w:b/>
          <w:bCs/>
          <w:kern w:val="0"/>
          <w14:ligatures w14:val="none"/>
        </w:rPr>
        <w:t>References</w:t>
      </w:r>
    </w:p>
    <w:p w14:paraId="6C96EAF3" w14:textId="77777777" w:rsidR="005B5F38" w:rsidRPr="005B5F38" w:rsidRDefault="005B5F38" w:rsidP="005B5F38">
      <w:pPr>
        <w:spacing w:after="100" w:afterAutospacing="1" w:line="240" w:lineRule="auto"/>
        <w:rPr>
          <w:rFonts w:ascii="Times New Roman" w:eastAsia="Times New Roman" w:hAnsi="Times New Roman" w:cs="Times New Roman"/>
          <w:kern w:val="0"/>
          <w14:ligatures w14:val="none"/>
        </w:rPr>
      </w:pPr>
      <w:r w:rsidRPr="005B5F38">
        <w:rPr>
          <w:rFonts w:ascii="Times New Roman" w:eastAsia="Times New Roman" w:hAnsi="Times New Roman" w:cs="Times New Roman"/>
          <w:kern w:val="0"/>
          <w14:ligatures w14:val="none"/>
        </w:rPr>
        <w:t>Hardy, L. R. (2023). </w:t>
      </w:r>
      <w:r w:rsidRPr="005B5F38">
        <w:rPr>
          <w:rFonts w:ascii="Times New Roman" w:eastAsia="Times New Roman" w:hAnsi="Times New Roman" w:cs="Times New Roman"/>
          <w:i/>
          <w:iCs/>
          <w:kern w:val="0"/>
          <w14:ligatures w14:val="none"/>
        </w:rPr>
        <w:t>Health Informatics: An Interprofessional Approach 3rd Edition.</w:t>
      </w:r>
      <w:r w:rsidRPr="005B5F38">
        <w:rPr>
          <w:rFonts w:ascii="Times New Roman" w:eastAsia="Times New Roman" w:hAnsi="Times New Roman" w:cs="Times New Roman"/>
          <w:kern w:val="0"/>
          <w14:ligatures w14:val="none"/>
        </w:rPr>
        <w:t> Elsevier.</w:t>
      </w:r>
    </w:p>
    <w:p w14:paraId="74C06608" w14:textId="77777777" w:rsidR="005B5F38" w:rsidRPr="005B5F38" w:rsidRDefault="005B5F38" w:rsidP="005B5F38">
      <w:pPr>
        <w:spacing w:after="100" w:afterAutospacing="1" w:line="240" w:lineRule="auto"/>
        <w:rPr>
          <w:rFonts w:ascii="Times New Roman" w:eastAsia="Times New Roman" w:hAnsi="Times New Roman" w:cs="Times New Roman"/>
          <w:kern w:val="0"/>
          <w14:ligatures w14:val="none"/>
        </w:rPr>
      </w:pPr>
      <w:r w:rsidRPr="005B5F38">
        <w:rPr>
          <w:rFonts w:ascii="Times New Roman" w:eastAsia="Times New Roman" w:hAnsi="Times New Roman" w:cs="Times New Roman"/>
          <w:kern w:val="0"/>
          <w14:ligatures w14:val="none"/>
        </w:rPr>
        <w:t>Ibrahim, S. A., Reynolds, K. A., Poon, E., &amp; Alam, M. (2022). The evidence base for US joint commission hospital accreditation standards: cross sectional study. </w:t>
      </w:r>
      <w:r w:rsidRPr="005B5F38">
        <w:rPr>
          <w:rFonts w:ascii="Times New Roman" w:eastAsia="Times New Roman" w:hAnsi="Times New Roman" w:cs="Times New Roman"/>
          <w:i/>
          <w:iCs/>
          <w:kern w:val="0"/>
          <w14:ligatures w14:val="none"/>
        </w:rPr>
        <w:t>BMJ (Clinical research ed.), 377</w:t>
      </w:r>
      <w:r w:rsidRPr="005B5F38">
        <w:rPr>
          <w:rFonts w:ascii="Times New Roman" w:eastAsia="Times New Roman" w:hAnsi="Times New Roman" w:cs="Times New Roman"/>
          <w:kern w:val="0"/>
          <w14:ligatures w14:val="none"/>
        </w:rPr>
        <w:t>, e063064. https://doi.org/10.1136/bmj-2020-063064.</w:t>
      </w:r>
    </w:p>
    <w:p w14:paraId="1417478E" w14:textId="77777777" w:rsidR="005B5F38" w:rsidRPr="005B5F38" w:rsidRDefault="005B5F38" w:rsidP="005B5F38">
      <w:pPr>
        <w:spacing w:after="0" w:line="240" w:lineRule="auto"/>
        <w:rPr>
          <w:rFonts w:ascii="Times New Roman" w:eastAsia="Times New Roman" w:hAnsi="Times New Roman" w:cs="Times New Roman"/>
          <w:kern w:val="0"/>
          <w14:ligatures w14:val="none"/>
        </w:rPr>
      </w:pPr>
      <w:r w:rsidRPr="005B5F38">
        <w:rPr>
          <w:rFonts w:ascii="Times New Roman" w:eastAsia="Times New Roman" w:hAnsi="Times New Roman" w:cs="Times New Roman"/>
          <w:kern w:val="0"/>
          <w14:ligatures w14:val="none"/>
        </w:rPr>
        <w:br/>
      </w:r>
    </w:p>
    <w:p w14:paraId="5C20D5CC" w14:textId="77777777" w:rsidR="005B5F38" w:rsidRPr="005B5F38" w:rsidRDefault="005B5F38" w:rsidP="005B5F38">
      <w:pPr>
        <w:spacing w:after="0" w:line="240" w:lineRule="auto"/>
        <w:rPr>
          <w:rFonts w:ascii="Times New Roman" w:eastAsia="Times New Roman" w:hAnsi="Times New Roman" w:cs="Times New Roman"/>
          <w:i/>
          <w:iCs/>
          <w:kern w:val="0"/>
          <w14:ligatures w14:val="none"/>
        </w:rPr>
      </w:pPr>
      <w:r w:rsidRPr="005B5F38">
        <w:rPr>
          <w:rFonts w:ascii="Times New Roman" w:eastAsia="Times New Roman" w:hAnsi="Times New Roman" w:cs="Times New Roman"/>
          <w:i/>
          <w:iCs/>
          <w:kern w:val="0"/>
          <w:sz w:val="18"/>
          <w:szCs w:val="18"/>
          <w14:ligatures w14:val="none"/>
        </w:rPr>
        <w:t>503 words</w:t>
      </w:r>
    </w:p>
    <w:p w14:paraId="72B6CA53" w14:textId="77777777" w:rsidR="005B5F38" w:rsidRPr="005B5F38" w:rsidRDefault="005B5F38" w:rsidP="005B5F38">
      <w:pPr>
        <w:spacing w:after="0" w:line="240" w:lineRule="auto"/>
        <w:rPr>
          <w:rFonts w:ascii="Times New Roman" w:eastAsia="Times New Roman" w:hAnsi="Times New Roman" w:cs="Times New Roman"/>
          <w:kern w:val="0"/>
          <w14:ligatures w14:val="none"/>
        </w:rPr>
      </w:pPr>
      <w:hyperlink r:id="rId8" w:anchor="p1917202" w:tooltip="Permanent link to this post" w:history="1">
        <w:proofErr w:type="spellStart"/>
        <w:r w:rsidRPr="005B5F38">
          <w:rPr>
            <w:rFonts w:ascii="Times New Roman" w:eastAsia="Times New Roman" w:hAnsi="Times New Roman" w:cs="Times New Roman"/>
            <w:color w:val="0000FF"/>
            <w:kern w:val="0"/>
            <w:u w:val="single"/>
            <w14:ligatures w14:val="none"/>
          </w:rPr>
          <w:t>Permalink</w:t>
        </w:r>
      </w:hyperlink>
      <w:hyperlink r:id="rId9" w:anchor="p1892117" w:tooltip="Permanent link to the parent of this post" w:history="1">
        <w:r w:rsidRPr="005B5F38">
          <w:rPr>
            <w:rFonts w:ascii="Times New Roman" w:eastAsia="Times New Roman" w:hAnsi="Times New Roman" w:cs="Times New Roman"/>
            <w:color w:val="0000FF"/>
            <w:kern w:val="0"/>
            <w:u w:val="single"/>
            <w14:ligatures w14:val="none"/>
          </w:rPr>
          <w:t>Show</w:t>
        </w:r>
        <w:proofErr w:type="spellEnd"/>
        <w:r w:rsidRPr="005B5F38">
          <w:rPr>
            <w:rFonts w:ascii="Times New Roman" w:eastAsia="Times New Roman" w:hAnsi="Times New Roman" w:cs="Times New Roman"/>
            <w:color w:val="0000FF"/>
            <w:kern w:val="0"/>
            <w:u w:val="single"/>
            <w14:ligatures w14:val="none"/>
          </w:rPr>
          <w:t xml:space="preserve"> </w:t>
        </w:r>
        <w:proofErr w:type="spellStart"/>
        <w:r w:rsidRPr="005B5F38">
          <w:rPr>
            <w:rFonts w:ascii="Times New Roman" w:eastAsia="Times New Roman" w:hAnsi="Times New Roman" w:cs="Times New Roman"/>
            <w:color w:val="0000FF"/>
            <w:kern w:val="0"/>
            <w:u w:val="single"/>
            <w14:ligatures w14:val="none"/>
          </w:rPr>
          <w:t>parent</w:t>
        </w:r>
      </w:hyperlink>
      <w:hyperlink r:id="rId10" w:anchor="mformforum" w:tooltip="Reply" w:history="1">
        <w:r w:rsidRPr="005B5F38">
          <w:rPr>
            <w:rFonts w:ascii="Times New Roman" w:eastAsia="Times New Roman" w:hAnsi="Times New Roman" w:cs="Times New Roman"/>
            <w:color w:val="0000FF"/>
            <w:kern w:val="0"/>
            <w:u w:val="single"/>
            <w14:ligatures w14:val="none"/>
          </w:rPr>
          <w:t>Reply</w:t>
        </w:r>
        <w:proofErr w:type="spellEnd"/>
      </w:hyperlink>
    </w:p>
    <w:p w14:paraId="697CBC79" w14:textId="77777777" w:rsidR="005B5F38" w:rsidRPr="005B5F38" w:rsidRDefault="005B5F38" w:rsidP="005B5F38">
      <w:pPr>
        <w:spacing w:after="0" w:line="240" w:lineRule="auto"/>
        <w:rPr>
          <w:rFonts w:ascii="Times New Roman" w:eastAsia="Times New Roman" w:hAnsi="Times New Roman" w:cs="Times New Roman"/>
          <w:kern w:val="0"/>
          <w14:ligatures w14:val="none"/>
        </w:rPr>
      </w:pPr>
      <w:r w:rsidRPr="005B5F38">
        <w:rPr>
          <w:rFonts w:ascii="Times New Roman" w:eastAsia="Times New Roman" w:hAnsi="Times New Roman" w:cs="Times New Roman"/>
          <w:noProof/>
          <w:kern w:val="0"/>
          <w14:ligatures w14:val="none"/>
        </w:rPr>
        <w:drawing>
          <wp:inline distT="0" distB="0" distL="0" distR="0" wp14:anchorId="6C9B1030" wp14:editId="13C8E1B9">
            <wp:extent cx="952500" cy="952500"/>
            <wp:effectExtent l="0" t="0" r="0" b="0"/>
            <wp:docPr id="2" name="Picture 1" descr="Picture of Constance Du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of Constance Dund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1576491" w14:textId="77777777" w:rsidR="005B5F38" w:rsidRPr="005B5F38" w:rsidRDefault="005B5F38" w:rsidP="005B5F38">
      <w:pPr>
        <w:spacing w:after="0" w:line="240" w:lineRule="auto"/>
        <w:outlineLvl w:val="2"/>
        <w:rPr>
          <w:rFonts w:ascii="var(--font-family-display)" w:eastAsia="Times New Roman" w:hAnsi="var(--font-family-display)" w:cs="Times New Roman"/>
          <w:b/>
          <w:bCs/>
          <w:kern w:val="0"/>
          <w:sz w:val="27"/>
          <w:szCs w:val="27"/>
          <w14:ligatures w14:val="none"/>
        </w:rPr>
      </w:pPr>
      <w:r w:rsidRPr="005B5F38">
        <w:rPr>
          <w:rFonts w:ascii="var(--font-family-display)" w:eastAsia="Times New Roman" w:hAnsi="var(--font-family-display)" w:cs="Times New Roman"/>
          <w:b/>
          <w:bCs/>
          <w:kern w:val="0"/>
          <w:sz w:val="27"/>
          <w:szCs w:val="27"/>
          <w14:ligatures w14:val="none"/>
        </w:rPr>
        <w:t>Re: Week 6 Discussion Board 2: Legal Issues, Federal Regulations, and Accreditation</w:t>
      </w:r>
    </w:p>
    <w:p w14:paraId="40B9FD1F" w14:textId="77777777" w:rsidR="005B5F38" w:rsidRPr="005B5F38" w:rsidRDefault="005B5F38" w:rsidP="005B5F38">
      <w:pPr>
        <w:spacing w:after="0" w:line="240" w:lineRule="auto"/>
        <w:rPr>
          <w:rFonts w:ascii="Times New Roman" w:eastAsia="Times New Roman" w:hAnsi="Times New Roman" w:cs="Times New Roman"/>
          <w:kern w:val="0"/>
          <w14:ligatures w14:val="none"/>
        </w:rPr>
      </w:pPr>
      <w:r w:rsidRPr="005B5F38">
        <w:rPr>
          <w:rFonts w:ascii="Times New Roman" w:eastAsia="Times New Roman" w:hAnsi="Times New Roman" w:cs="Times New Roman"/>
          <w:kern w:val="0"/>
          <w14:ligatures w14:val="none"/>
        </w:rPr>
        <w:t>by </w:t>
      </w:r>
      <w:hyperlink r:id="rId12" w:history="1">
        <w:r w:rsidRPr="005B5F38">
          <w:rPr>
            <w:rFonts w:ascii="Times New Roman" w:eastAsia="Times New Roman" w:hAnsi="Times New Roman" w:cs="Times New Roman"/>
            <w:color w:val="0000FF"/>
            <w:kern w:val="0"/>
            <w:u w:val="single"/>
            <w14:ligatures w14:val="none"/>
          </w:rPr>
          <w:t>Constance Dundon</w:t>
        </w:r>
      </w:hyperlink>
      <w:r w:rsidRPr="005B5F38">
        <w:rPr>
          <w:rFonts w:ascii="Times New Roman" w:eastAsia="Times New Roman" w:hAnsi="Times New Roman" w:cs="Times New Roman"/>
          <w:kern w:val="0"/>
          <w14:ligatures w14:val="none"/>
        </w:rPr>
        <w:t> - Wednesday, 31 July 2024, 11:15 PM</w:t>
      </w:r>
    </w:p>
    <w:p w14:paraId="3A305E36" w14:textId="77777777" w:rsidR="005B5F38" w:rsidRPr="005B5F38" w:rsidRDefault="005B5F38" w:rsidP="005B5F38">
      <w:pPr>
        <w:spacing w:after="0" w:line="240" w:lineRule="auto"/>
        <w:rPr>
          <w:rFonts w:ascii="Times New Roman" w:eastAsia="Times New Roman" w:hAnsi="Times New Roman" w:cs="Times New Roman"/>
          <w:kern w:val="0"/>
          <w14:ligatures w14:val="none"/>
        </w:rPr>
      </w:pPr>
      <w:r w:rsidRPr="005B5F38">
        <w:rPr>
          <w:rFonts w:ascii="Times New Roman" w:eastAsia="Times New Roman" w:hAnsi="Times New Roman" w:cs="Times New Roman"/>
          <w:kern w:val="0"/>
          <w14:ligatures w14:val="none"/>
        </w:rPr>
        <w:t>In 1989, Congressman Fortney Stark helped pass the Stark Law, whose original aim was to prevent physicians from self-referral when providers had a financial interest in promoting specific services for their patients (Shenoy et al., 2022). This law was built upon its predecessor, the Antikickback Statute prohibiting providers from receiving reward payments for generating business. The Stark Law, originally called the Ethics in Patient Referrals Act was developed in response to the dominance of the fee-for-service system along with rising Medicare costs which drew attention from policymakers concerned about Medicare fraud and abuse and the related degradation of public trust in medical providers due to this perceived conflict of interest (Miller et al., 2021).</w:t>
      </w:r>
      <w:r w:rsidRPr="005B5F38">
        <w:rPr>
          <w:rFonts w:ascii="Times New Roman" w:eastAsia="Times New Roman" w:hAnsi="Times New Roman" w:cs="Times New Roman"/>
          <w:kern w:val="0"/>
          <w14:ligatures w14:val="none"/>
        </w:rPr>
        <w:br/>
      </w:r>
      <w:r w:rsidRPr="005B5F38">
        <w:rPr>
          <w:rFonts w:ascii="Times New Roman" w:eastAsia="Times New Roman" w:hAnsi="Times New Roman" w:cs="Times New Roman"/>
          <w:kern w:val="0"/>
          <w14:ligatures w14:val="none"/>
        </w:rPr>
        <w:lastRenderedPageBreak/>
        <w:t>The Stark Law prohibits physicians from self-referring Medicare patients to services within organizations they may own, like radiology, physical therapy, or home care, but does not apply to other providers within a practice, in order to protect the patient’s best interest(Shenoy et al., 2022). While it was intended to disincentivize these practices, it did not address self-referral practices at the corporate level, nor did apply to physicians with indirect investments into services, essentially penalizing smaller practice providers (Miller et al., 2021). With every well-intended policy, comes drawbacks though. Some argued that prohibiting self-referral reduced access to care and services, especially for Medicare patients who now had to navigate the coordination of their care, likely leading to noncompliance, declining health outcomes, and costly hospital admissions (Miller et al., 2021) Not only that, reform advocates argued that costs were not contained and did not necessarily dampen concerns for service overutilization (Shenoy et al., 2022).</w:t>
      </w:r>
      <w:r w:rsidRPr="005B5F38">
        <w:rPr>
          <w:rFonts w:ascii="Times New Roman" w:eastAsia="Times New Roman" w:hAnsi="Times New Roman" w:cs="Times New Roman"/>
          <w:kern w:val="0"/>
          <w14:ligatures w14:val="none"/>
        </w:rPr>
        <w:br/>
      </w:r>
      <w:r w:rsidRPr="005B5F38">
        <w:rPr>
          <w:rFonts w:ascii="Times New Roman" w:eastAsia="Times New Roman" w:hAnsi="Times New Roman" w:cs="Times New Roman"/>
          <w:kern w:val="0"/>
          <w14:ligatures w14:val="none"/>
        </w:rPr>
        <w:br/>
        <w:t>The Stark law also presented significant barriers for private practice providers looking to transition away from a fee-for-service system to value-based payments through integrated care. Reforms to the Stark law and the Anti-Kickback statutes, attempted to rebalance these long-standing challenges and inequities within the healthcare delivery market, by refining these coordinated care practices as value-based enterprises as defined by CMS (Shenoy et al., 2022).</w:t>
      </w:r>
      <w:r w:rsidRPr="005B5F38">
        <w:rPr>
          <w:rFonts w:ascii="Times New Roman" w:eastAsia="Times New Roman" w:hAnsi="Times New Roman" w:cs="Times New Roman"/>
          <w:kern w:val="0"/>
          <w14:ligatures w14:val="none"/>
        </w:rPr>
        <w:br/>
      </w:r>
      <w:r w:rsidRPr="005B5F38">
        <w:rPr>
          <w:rFonts w:ascii="Times New Roman" w:eastAsia="Times New Roman" w:hAnsi="Times New Roman" w:cs="Times New Roman"/>
          <w:kern w:val="0"/>
          <w14:ligatures w14:val="none"/>
        </w:rPr>
        <w:br/>
        <w:t>Some of the most considerable changes to the Stark law were developed after the passage of the Affordable Care Act and later after the COVID-19 pandemic. That public health emergency prompted the swift implementation of regulatory waivers within healthcare, so care could be expedited without delays due to bureaucratic barriers, given the strained resources that the pandemic exacerbated(Coleman, 2020).</w:t>
      </w:r>
      <w:r w:rsidRPr="005B5F38">
        <w:rPr>
          <w:rFonts w:ascii="Times New Roman" w:eastAsia="Times New Roman" w:hAnsi="Times New Roman" w:cs="Times New Roman"/>
          <w:kern w:val="0"/>
          <w14:ligatures w14:val="none"/>
        </w:rPr>
        <w:br/>
      </w:r>
      <w:r w:rsidRPr="005B5F38">
        <w:rPr>
          <w:rFonts w:ascii="Times New Roman" w:eastAsia="Times New Roman" w:hAnsi="Times New Roman" w:cs="Times New Roman"/>
          <w:kern w:val="0"/>
          <w14:ligatures w14:val="none"/>
        </w:rPr>
        <w:br/>
        <w:t>According to Colman (2020), the safe harbor regulations under the Kickback statute and reform of the self-referral rules under Stark were aimed at rolling back barriers to innovation and the new utilization of technology within healthcare delivery that became normalized during the pandemic. Many policymakers maintained that the Stark law prohibiting financial relationships with physicians, even with some of the applied exceptions, impeded the large-scale use of EHRs within value-based care models.</w:t>
      </w:r>
      <w:r w:rsidRPr="005B5F38">
        <w:rPr>
          <w:rFonts w:ascii="Times New Roman" w:eastAsia="Times New Roman" w:hAnsi="Times New Roman" w:cs="Times New Roman"/>
          <w:kern w:val="0"/>
          <w14:ligatures w14:val="none"/>
        </w:rPr>
        <w:br/>
      </w:r>
      <w:r w:rsidRPr="005B5F38">
        <w:rPr>
          <w:rFonts w:ascii="Times New Roman" w:eastAsia="Times New Roman" w:hAnsi="Times New Roman" w:cs="Times New Roman"/>
          <w:kern w:val="0"/>
          <w14:ligatures w14:val="none"/>
        </w:rPr>
        <w:br/>
        <w:t xml:space="preserve">Within clinical practice, these kinds of well-intended yet cumbersome regulations which require lengthy compliance protocols, ultimately diminish providers’ ability to deliver care due to the time and administrative resources required to maintain compliance and avoid penalties. COVID highlighted the need to make compliance more streamlined especially for private practice providers while also lowering the threshold for what was deemed to be inappropriate financial arrangements. This change was applied </w:t>
      </w:r>
      <w:proofErr w:type="gramStart"/>
      <w:r w:rsidRPr="005B5F38">
        <w:rPr>
          <w:rFonts w:ascii="Times New Roman" w:eastAsia="Times New Roman" w:hAnsi="Times New Roman" w:cs="Times New Roman"/>
          <w:kern w:val="0"/>
          <w14:ligatures w14:val="none"/>
        </w:rPr>
        <w:t>in an effort to</w:t>
      </w:r>
      <w:proofErr w:type="gramEnd"/>
      <w:r w:rsidRPr="005B5F38">
        <w:rPr>
          <w:rFonts w:ascii="Times New Roman" w:eastAsia="Times New Roman" w:hAnsi="Times New Roman" w:cs="Times New Roman"/>
          <w:kern w:val="0"/>
          <w14:ligatures w14:val="none"/>
        </w:rPr>
        <w:t xml:space="preserve"> promote EHR use and cybersecurity protections within both fee-for-service and value-based systems. The acknowledgment of burdensome regulations like this that impede care and innovation and their subsequent reform demonstrates that regulations can be malleable and reactive to the changing dynamics of the healthcare landscape. One would hope that more timely reforms can continue as the use of AI and machine learning within healthcare delivery will likely stretch the bounds of outdated laws, or at the very least AI and machine learning can be utilized as an administrative aid for the remaining compliance requirements.</w:t>
      </w:r>
      <w:r w:rsidRPr="005B5F38">
        <w:rPr>
          <w:rFonts w:ascii="Times New Roman" w:eastAsia="Times New Roman" w:hAnsi="Times New Roman" w:cs="Times New Roman"/>
          <w:kern w:val="0"/>
          <w14:ligatures w14:val="none"/>
        </w:rPr>
        <w:br/>
      </w:r>
      <w:r w:rsidRPr="005B5F38">
        <w:rPr>
          <w:rFonts w:ascii="Times New Roman" w:eastAsia="Times New Roman" w:hAnsi="Times New Roman" w:cs="Times New Roman"/>
          <w:kern w:val="0"/>
          <w14:ligatures w14:val="none"/>
        </w:rPr>
        <w:br/>
      </w:r>
      <w:r w:rsidRPr="005B5F38">
        <w:rPr>
          <w:rFonts w:ascii="Times New Roman" w:eastAsia="Times New Roman" w:hAnsi="Times New Roman" w:cs="Times New Roman"/>
          <w:kern w:val="0"/>
          <w14:ligatures w14:val="none"/>
        </w:rPr>
        <w:lastRenderedPageBreak/>
        <w:t>References</w:t>
      </w:r>
      <w:r w:rsidRPr="005B5F38">
        <w:rPr>
          <w:rFonts w:ascii="Times New Roman" w:eastAsia="Times New Roman" w:hAnsi="Times New Roman" w:cs="Times New Roman"/>
          <w:kern w:val="0"/>
          <w14:ligatures w14:val="none"/>
        </w:rPr>
        <w:br/>
        <w:t xml:space="preserve">Coleman, J. (2020, December 2). HHS OIG And CMS Release Historic, Sweeping Reforms </w:t>
      </w:r>
      <w:proofErr w:type="gramStart"/>
      <w:r w:rsidRPr="005B5F38">
        <w:rPr>
          <w:rFonts w:ascii="Times New Roman" w:eastAsia="Times New Roman" w:hAnsi="Times New Roman" w:cs="Times New Roman"/>
          <w:kern w:val="0"/>
          <w14:ligatures w14:val="none"/>
        </w:rPr>
        <w:t>To</w:t>
      </w:r>
      <w:proofErr w:type="gramEnd"/>
      <w:r w:rsidRPr="005B5F38">
        <w:rPr>
          <w:rFonts w:ascii="Times New Roman" w:eastAsia="Times New Roman" w:hAnsi="Times New Roman" w:cs="Times New Roman"/>
          <w:kern w:val="0"/>
          <w14:ligatures w14:val="none"/>
        </w:rPr>
        <w:t xml:space="preserve"> Stark Law And Anti-Kickback Statute Regulations. </w:t>
      </w:r>
      <w:proofErr w:type="spellStart"/>
      <w:r w:rsidRPr="005B5F38">
        <w:rPr>
          <w:rFonts w:ascii="Times New Roman" w:eastAsia="Times New Roman" w:hAnsi="Times New Roman" w:cs="Times New Roman"/>
          <w:kern w:val="0"/>
          <w14:ligatures w14:val="none"/>
        </w:rPr>
        <w:t>Mondaq</w:t>
      </w:r>
      <w:proofErr w:type="spellEnd"/>
      <w:r w:rsidRPr="005B5F38">
        <w:rPr>
          <w:rFonts w:ascii="Times New Roman" w:eastAsia="Times New Roman" w:hAnsi="Times New Roman" w:cs="Times New Roman"/>
          <w:kern w:val="0"/>
          <w14:ligatures w14:val="none"/>
        </w:rPr>
        <w:t xml:space="preserve"> Business Briefing. https://link.gale.com/apps/doc/A643536024/HRCA?u=mlin_oweb&amp;sid=googleScholar&amp;xid=b2bacbda</w:t>
      </w:r>
      <w:r w:rsidRPr="005B5F38">
        <w:rPr>
          <w:rFonts w:ascii="Times New Roman" w:eastAsia="Times New Roman" w:hAnsi="Times New Roman" w:cs="Times New Roman"/>
          <w:kern w:val="0"/>
          <w14:ligatures w14:val="none"/>
        </w:rPr>
        <w:br/>
      </w:r>
      <w:r w:rsidRPr="005B5F38">
        <w:rPr>
          <w:rFonts w:ascii="Times New Roman" w:eastAsia="Times New Roman" w:hAnsi="Times New Roman" w:cs="Times New Roman"/>
          <w:kern w:val="0"/>
          <w14:ligatures w14:val="none"/>
        </w:rPr>
        <w:br/>
        <w:t>Miller, B. J., Ehrenfeld, J. M., &amp; Wu, A. W. (2021). Competition or conflict of interest—Stark choices. JAMA Health Forum 2(2), e210150-e210150. https://doi:10.1001/jamahealthforum.2021.0150</w:t>
      </w:r>
      <w:r w:rsidRPr="005B5F38">
        <w:rPr>
          <w:rFonts w:ascii="Times New Roman" w:eastAsia="Times New Roman" w:hAnsi="Times New Roman" w:cs="Times New Roman"/>
          <w:kern w:val="0"/>
          <w14:ligatures w14:val="none"/>
        </w:rPr>
        <w:br/>
      </w:r>
      <w:r w:rsidRPr="005B5F38">
        <w:rPr>
          <w:rFonts w:ascii="Times New Roman" w:eastAsia="Times New Roman" w:hAnsi="Times New Roman" w:cs="Times New Roman"/>
          <w:kern w:val="0"/>
          <w14:ligatures w14:val="none"/>
        </w:rPr>
        <w:br/>
        <w:t>Shenoy, A., Shenoy, G. N., &amp; Shenoy, G. G. (2022). The Stark law, from inception to COVID-19 blanket waivers: a review. Patient Safety in Surgery, 16(1), 1–13. https://doi.org/10.1186/s13037-022-00326-9</w:t>
      </w:r>
    </w:p>
    <w:p w14:paraId="728D2EFC" w14:textId="77777777" w:rsidR="005B5F38" w:rsidRDefault="005B5F38"/>
    <w:p w14:paraId="046120CF" w14:textId="77777777" w:rsidR="005B5F38" w:rsidRDefault="005B5F38"/>
    <w:sectPr w:rsidR="005B5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38"/>
    <w:rsid w:val="005B5F38"/>
    <w:rsid w:val="009D0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AD472"/>
  <w15:chartTrackingRefBased/>
  <w15:docId w15:val="{4ECED446-E612-4233-91D2-001ADFA0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F38"/>
    <w:rPr>
      <w:rFonts w:eastAsiaTheme="majorEastAsia" w:cstheme="majorBidi"/>
      <w:color w:val="272727" w:themeColor="text1" w:themeTint="D8"/>
    </w:rPr>
  </w:style>
  <w:style w:type="paragraph" w:styleId="Title">
    <w:name w:val="Title"/>
    <w:basedOn w:val="Normal"/>
    <w:next w:val="Normal"/>
    <w:link w:val="TitleChar"/>
    <w:uiPriority w:val="10"/>
    <w:qFormat/>
    <w:rsid w:val="005B5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F38"/>
    <w:pPr>
      <w:spacing w:before="160"/>
      <w:jc w:val="center"/>
    </w:pPr>
    <w:rPr>
      <w:i/>
      <w:iCs/>
      <w:color w:val="404040" w:themeColor="text1" w:themeTint="BF"/>
    </w:rPr>
  </w:style>
  <w:style w:type="character" w:customStyle="1" w:styleId="QuoteChar">
    <w:name w:val="Quote Char"/>
    <w:basedOn w:val="DefaultParagraphFont"/>
    <w:link w:val="Quote"/>
    <w:uiPriority w:val="29"/>
    <w:rsid w:val="005B5F38"/>
    <w:rPr>
      <w:i/>
      <w:iCs/>
      <w:color w:val="404040" w:themeColor="text1" w:themeTint="BF"/>
    </w:rPr>
  </w:style>
  <w:style w:type="paragraph" w:styleId="ListParagraph">
    <w:name w:val="List Paragraph"/>
    <w:basedOn w:val="Normal"/>
    <w:uiPriority w:val="34"/>
    <w:qFormat/>
    <w:rsid w:val="005B5F38"/>
    <w:pPr>
      <w:ind w:left="720"/>
      <w:contextualSpacing/>
    </w:pPr>
  </w:style>
  <w:style w:type="character" w:styleId="IntenseEmphasis">
    <w:name w:val="Intense Emphasis"/>
    <w:basedOn w:val="DefaultParagraphFont"/>
    <w:uiPriority w:val="21"/>
    <w:qFormat/>
    <w:rsid w:val="005B5F38"/>
    <w:rPr>
      <w:i/>
      <w:iCs/>
      <w:color w:val="0F4761" w:themeColor="accent1" w:themeShade="BF"/>
    </w:rPr>
  </w:style>
  <w:style w:type="paragraph" w:styleId="IntenseQuote">
    <w:name w:val="Intense Quote"/>
    <w:basedOn w:val="Normal"/>
    <w:next w:val="Normal"/>
    <w:link w:val="IntenseQuoteChar"/>
    <w:uiPriority w:val="30"/>
    <w:qFormat/>
    <w:rsid w:val="005B5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F38"/>
    <w:rPr>
      <w:i/>
      <w:iCs/>
      <w:color w:val="0F4761" w:themeColor="accent1" w:themeShade="BF"/>
    </w:rPr>
  </w:style>
  <w:style w:type="character" w:styleId="IntenseReference">
    <w:name w:val="Intense Reference"/>
    <w:basedOn w:val="DefaultParagraphFont"/>
    <w:uiPriority w:val="32"/>
    <w:qFormat/>
    <w:rsid w:val="005B5F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57795">
      <w:bodyDiv w:val="1"/>
      <w:marLeft w:val="0"/>
      <w:marRight w:val="0"/>
      <w:marTop w:val="0"/>
      <w:marBottom w:val="0"/>
      <w:divBdr>
        <w:top w:val="none" w:sz="0" w:space="0" w:color="auto"/>
        <w:left w:val="none" w:sz="0" w:space="0" w:color="auto"/>
        <w:bottom w:val="none" w:sz="0" w:space="0" w:color="auto"/>
        <w:right w:val="none" w:sz="0" w:space="0" w:color="auto"/>
      </w:divBdr>
      <w:divsChild>
        <w:div w:id="1017930575">
          <w:marLeft w:val="0"/>
          <w:marRight w:val="0"/>
          <w:marTop w:val="0"/>
          <w:marBottom w:val="0"/>
          <w:divBdr>
            <w:top w:val="none" w:sz="0" w:space="0" w:color="auto"/>
            <w:left w:val="none" w:sz="0" w:space="0" w:color="auto"/>
            <w:bottom w:val="none" w:sz="0" w:space="0" w:color="auto"/>
            <w:right w:val="none" w:sz="0" w:space="0" w:color="auto"/>
          </w:divBdr>
          <w:divsChild>
            <w:div w:id="1217357983">
              <w:marLeft w:val="0"/>
              <w:marRight w:val="0"/>
              <w:marTop w:val="0"/>
              <w:marBottom w:val="0"/>
              <w:divBdr>
                <w:top w:val="none" w:sz="0" w:space="0" w:color="auto"/>
                <w:left w:val="none" w:sz="0" w:space="0" w:color="auto"/>
                <w:bottom w:val="none" w:sz="0" w:space="0" w:color="auto"/>
                <w:right w:val="none" w:sz="0" w:space="0" w:color="auto"/>
              </w:divBdr>
            </w:div>
          </w:divsChild>
        </w:div>
        <w:div w:id="446854155">
          <w:marLeft w:val="0"/>
          <w:marRight w:val="0"/>
          <w:marTop w:val="0"/>
          <w:marBottom w:val="0"/>
          <w:divBdr>
            <w:top w:val="none" w:sz="0" w:space="0" w:color="auto"/>
            <w:left w:val="none" w:sz="0" w:space="0" w:color="auto"/>
            <w:bottom w:val="none" w:sz="0" w:space="0" w:color="auto"/>
            <w:right w:val="none" w:sz="0" w:space="0" w:color="auto"/>
          </w:divBdr>
          <w:divsChild>
            <w:div w:id="196688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9873">
      <w:bodyDiv w:val="1"/>
      <w:marLeft w:val="0"/>
      <w:marRight w:val="0"/>
      <w:marTop w:val="0"/>
      <w:marBottom w:val="0"/>
      <w:divBdr>
        <w:top w:val="none" w:sz="0" w:space="0" w:color="auto"/>
        <w:left w:val="none" w:sz="0" w:space="0" w:color="auto"/>
        <w:bottom w:val="none" w:sz="0" w:space="0" w:color="auto"/>
        <w:right w:val="none" w:sz="0" w:space="0" w:color="auto"/>
      </w:divBdr>
      <w:divsChild>
        <w:div w:id="1361198689">
          <w:marLeft w:val="0"/>
          <w:marRight w:val="0"/>
          <w:marTop w:val="0"/>
          <w:marBottom w:val="0"/>
          <w:divBdr>
            <w:top w:val="none" w:sz="0" w:space="0" w:color="auto"/>
            <w:left w:val="none" w:sz="0" w:space="0" w:color="auto"/>
            <w:bottom w:val="none" w:sz="0" w:space="0" w:color="auto"/>
            <w:right w:val="none" w:sz="0" w:space="0" w:color="auto"/>
          </w:divBdr>
          <w:divsChild>
            <w:div w:id="1087579504">
              <w:marLeft w:val="0"/>
              <w:marRight w:val="0"/>
              <w:marTop w:val="0"/>
              <w:marBottom w:val="0"/>
              <w:divBdr>
                <w:top w:val="none" w:sz="0" w:space="0" w:color="auto"/>
                <w:left w:val="none" w:sz="0" w:space="0" w:color="auto"/>
                <w:bottom w:val="none" w:sz="0" w:space="0" w:color="auto"/>
                <w:right w:val="none" w:sz="0" w:space="0" w:color="auto"/>
              </w:divBdr>
            </w:div>
          </w:divsChild>
        </w:div>
        <w:div w:id="158817090">
          <w:marLeft w:val="0"/>
          <w:marRight w:val="0"/>
          <w:marTop w:val="0"/>
          <w:marBottom w:val="0"/>
          <w:divBdr>
            <w:top w:val="none" w:sz="0" w:space="0" w:color="auto"/>
            <w:left w:val="none" w:sz="0" w:space="0" w:color="auto"/>
            <w:bottom w:val="none" w:sz="0" w:space="0" w:color="auto"/>
            <w:right w:val="none" w:sz="0" w:space="0" w:color="auto"/>
          </w:divBdr>
          <w:divsChild>
            <w:div w:id="960917579">
              <w:marLeft w:val="0"/>
              <w:marRight w:val="0"/>
              <w:marTop w:val="0"/>
              <w:marBottom w:val="0"/>
              <w:divBdr>
                <w:top w:val="none" w:sz="0" w:space="0" w:color="auto"/>
                <w:left w:val="none" w:sz="0" w:space="0" w:color="auto"/>
                <w:bottom w:val="none" w:sz="0" w:space="0" w:color="auto"/>
                <w:right w:val="none" w:sz="0" w:space="0" w:color="auto"/>
              </w:divBdr>
              <w:divsChild>
                <w:div w:id="85931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95851">
      <w:bodyDiv w:val="1"/>
      <w:marLeft w:val="0"/>
      <w:marRight w:val="0"/>
      <w:marTop w:val="0"/>
      <w:marBottom w:val="0"/>
      <w:divBdr>
        <w:top w:val="none" w:sz="0" w:space="0" w:color="auto"/>
        <w:left w:val="none" w:sz="0" w:space="0" w:color="auto"/>
        <w:bottom w:val="none" w:sz="0" w:space="0" w:color="auto"/>
        <w:right w:val="none" w:sz="0" w:space="0" w:color="auto"/>
      </w:divBdr>
      <w:divsChild>
        <w:div w:id="218060164">
          <w:marLeft w:val="0"/>
          <w:marRight w:val="0"/>
          <w:marTop w:val="0"/>
          <w:marBottom w:val="0"/>
          <w:divBdr>
            <w:top w:val="single" w:sz="6" w:space="5" w:color="DEE2E6"/>
            <w:left w:val="single" w:sz="6" w:space="5" w:color="DEE2E6"/>
            <w:bottom w:val="single" w:sz="6" w:space="5" w:color="DEE2E6"/>
            <w:right w:val="single" w:sz="6" w:space="5" w:color="DEE2E6"/>
          </w:divBdr>
          <w:divsChild>
            <w:div w:id="1387528970">
              <w:marLeft w:val="0"/>
              <w:marRight w:val="0"/>
              <w:marTop w:val="0"/>
              <w:marBottom w:val="0"/>
              <w:divBdr>
                <w:top w:val="none" w:sz="0" w:space="0" w:color="auto"/>
                <w:left w:val="none" w:sz="0" w:space="0" w:color="auto"/>
                <w:bottom w:val="none" w:sz="0" w:space="0" w:color="auto"/>
                <w:right w:val="none" w:sz="0" w:space="0" w:color="auto"/>
              </w:divBdr>
              <w:divsChild>
                <w:div w:id="1140152682">
                  <w:marLeft w:val="0"/>
                  <w:marRight w:val="0"/>
                  <w:marTop w:val="0"/>
                  <w:marBottom w:val="0"/>
                  <w:divBdr>
                    <w:top w:val="none" w:sz="0" w:space="0" w:color="auto"/>
                    <w:left w:val="none" w:sz="0" w:space="0" w:color="auto"/>
                    <w:bottom w:val="none" w:sz="0" w:space="0" w:color="auto"/>
                    <w:right w:val="none" w:sz="0" w:space="0" w:color="auto"/>
                  </w:divBdr>
                  <w:divsChild>
                    <w:div w:id="2020960775">
                      <w:marLeft w:val="0"/>
                      <w:marRight w:val="0"/>
                      <w:marTop w:val="0"/>
                      <w:marBottom w:val="0"/>
                      <w:divBdr>
                        <w:top w:val="none" w:sz="0" w:space="0" w:color="auto"/>
                        <w:left w:val="none" w:sz="0" w:space="0" w:color="auto"/>
                        <w:bottom w:val="none" w:sz="0" w:space="0" w:color="auto"/>
                        <w:right w:val="none" w:sz="0" w:space="0" w:color="auto"/>
                      </w:divBdr>
                    </w:div>
                  </w:divsChild>
                </w:div>
                <w:div w:id="1988585658">
                  <w:marLeft w:val="0"/>
                  <w:marRight w:val="0"/>
                  <w:marTop w:val="0"/>
                  <w:marBottom w:val="0"/>
                  <w:divBdr>
                    <w:top w:val="none" w:sz="0" w:space="0" w:color="auto"/>
                    <w:left w:val="none" w:sz="0" w:space="0" w:color="auto"/>
                    <w:bottom w:val="none" w:sz="0" w:space="0" w:color="auto"/>
                    <w:right w:val="none" w:sz="0" w:space="0" w:color="auto"/>
                  </w:divBdr>
                  <w:divsChild>
                    <w:div w:id="524371592">
                      <w:marLeft w:val="0"/>
                      <w:marRight w:val="0"/>
                      <w:marTop w:val="0"/>
                      <w:marBottom w:val="0"/>
                      <w:divBdr>
                        <w:top w:val="none" w:sz="0" w:space="0" w:color="auto"/>
                        <w:left w:val="none" w:sz="0" w:space="0" w:color="auto"/>
                        <w:bottom w:val="none" w:sz="0" w:space="0" w:color="auto"/>
                        <w:right w:val="none" w:sz="0" w:space="0" w:color="auto"/>
                      </w:divBdr>
                      <w:divsChild>
                        <w:div w:id="1510371285">
                          <w:marLeft w:val="0"/>
                          <w:marRight w:val="0"/>
                          <w:marTop w:val="0"/>
                          <w:marBottom w:val="0"/>
                          <w:divBdr>
                            <w:top w:val="none" w:sz="0" w:space="0" w:color="auto"/>
                            <w:left w:val="none" w:sz="0" w:space="0" w:color="auto"/>
                            <w:bottom w:val="none" w:sz="0" w:space="0" w:color="auto"/>
                            <w:right w:val="none" w:sz="0" w:space="0" w:color="auto"/>
                          </w:divBdr>
                        </w:div>
                        <w:div w:id="547037621">
                          <w:marLeft w:val="0"/>
                          <w:marRight w:val="0"/>
                          <w:marTop w:val="0"/>
                          <w:marBottom w:val="0"/>
                          <w:divBdr>
                            <w:top w:val="none" w:sz="0" w:space="0" w:color="auto"/>
                            <w:left w:val="none" w:sz="0" w:space="0" w:color="auto"/>
                            <w:bottom w:val="none" w:sz="0" w:space="0" w:color="auto"/>
                            <w:right w:val="none" w:sz="0" w:space="0" w:color="auto"/>
                          </w:divBdr>
                          <w:divsChild>
                            <w:div w:id="198896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827049">
          <w:marLeft w:val="0"/>
          <w:marRight w:val="0"/>
          <w:marTop w:val="0"/>
          <w:marBottom w:val="0"/>
          <w:divBdr>
            <w:top w:val="single" w:sz="6" w:space="5" w:color="DEE2E6"/>
            <w:left w:val="single" w:sz="6" w:space="5" w:color="DEE2E6"/>
            <w:bottom w:val="single" w:sz="6" w:space="5" w:color="DEE2E6"/>
            <w:right w:val="single" w:sz="6" w:space="5" w:color="DEE2E6"/>
          </w:divBdr>
          <w:divsChild>
            <w:div w:id="1332296653">
              <w:marLeft w:val="0"/>
              <w:marRight w:val="0"/>
              <w:marTop w:val="0"/>
              <w:marBottom w:val="0"/>
              <w:divBdr>
                <w:top w:val="none" w:sz="0" w:space="0" w:color="auto"/>
                <w:left w:val="none" w:sz="0" w:space="0" w:color="auto"/>
                <w:bottom w:val="none" w:sz="0" w:space="0" w:color="auto"/>
                <w:right w:val="none" w:sz="0" w:space="0" w:color="auto"/>
              </w:divBdr>
              <w:divsChild>
                <w:div w:id="1217467820">
                  <w:marLeft w:val="0"/>
                  <w:marRight w:val="0"/>
                  <w:marTop w:val="0"/>
                  <w:marBottom w:val="0"/>
                  <w:divBdr>
                    <w:top w:val="none" w:sz="0" w:space="0" w:color="auto"/>
                    <w:left w:val="none" w:sz="0" w:space="0" w:color="auto"/>
                    <w:bottom w:val="none" w:sz="0" w:space="0" w:color="auto"/>
                    <w:right w:val="none" w:sz="0" w:space="0" w:color="auto"/>
                  </w:divBdr>
                </w:div>
                <w:div w:id="791707502">
                  <w:marLeft w:val="0"/>
                  <w:marRight w:val="0"/>
                  <w:marTop w:val="0"/>
                  <w:marBottom w:val="0"/>
                  <w:divBdr>
                    <w:top w:val="none" w:sz="0" w:space="0" w:color="auto"/>
                    <w:left w:val="none" w:sz="0" w:space="0" w:color="auto"/>
                    <w:bottom w:val="none" w:sz="0" w:space="0" w:color="auto"/>
                    <w:right w:val="none" w:sz="0" w:space="0" w:color="auto"/>
                  </w:divBdr>
                  <w:divsChild>
                    <w:div w:id="1764299054">
                      <w:marLeft w:val="0"/>
                      <w:marRight w:val="0"/>
                      <w:marTop w:val="0"/>
                      <w:marBottom w:val="0"/>
                      <w:divBdr>
                        <w:top w:val="none" w:sz="0" w:space="0" w:color="auto"/>
                        <w:left w:val="none" w:sz="0" w:space="0" w:color="auto"/>
                        <w:bottom w:val="none" w:sz="0" w:space="0" w:color="auto"/>
                        <w:right w:val="none" w:sz="0" w:space="0" w:color="auto"/>
                      </w:divBdr>
                    </w:div>
                  </w:divsChild>
                </w:div>
                <w:div w:id="559245555">
                  <w:marLeft w:val="0"/>
                  <w:marRight w:val="0"/>
                  <w:marTop w:val="0"/>
                  <w:marBottom w:val="0"/>
                  <w:divBdr>
                    <w:top w:val="none" w:sz="0" w:space="0" w:color="auto"/>
                    <w:left w:val="none" w:sz="0" w:space="0" w:color="auto"/>
                    <w:bottom w:val="none" w:sz="0" w:space="0" w:color="auto"/>
                    <w:right w:val="none" w:sz="0" w:space="0" w:color="auto"/>
                  </w:divBdr>
                  <w:divsChild>
                    <w:div w:id="350181696">
                      <w:marLeft w:val="0"/>
                      <w:marRight w:val="0"/>
                      <w:marTop w:val="0"/>
                      <w:marBottom w:val="0"/>
                      <w:divBdr>
                        <w:top w:val="none" w:sz="0" w:space="0" w:color="auto"/>
                        <w:left w:val="none" w:sz="0" w:space="0" w:color="auto"/>
                        <w:bottom w:val="none" w:sz="0" w:space="0" w:color="auto"/>
                        <w:right w:val="none" w:sz="0" w:space="0" w:color="auto"/>
                      </w:divBdr>
                      <w:divsChild>
                        <w:div w:id="1968467749">
                          <w:marLeft w:val="0"/>
                          <w:marRight w:val="0"/>
                          <w:marTop w:val="0"/>
                          <w:marBottom w:val="0"/>
                          <w:divBdr>
                            <w:top w:val="none" w:sz="0" w:space="0" w:color="auto"/>
                            <w:left w:val="none" w:sz="0" w:space="0" w:color="auto"/>
                            <w:bottom w:val="none" w:sz="0" w:space="0" w:color="auto"/>
                            <w:right w:val="none" w:sz="0" w:space="0" w:color="auto"/>
                          </w:divBdr>
                          <w:divsChild>
                            <w:div w:id="126780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discuss.php?d=26935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yonline.regiscollege.edu/user/view.php?id=7656&amp;course=5887" TargetMode="External"/><Relationship Id="rId12" Type="http://schemas.openxmlformats.org/officeDocument/2006/relationships/hyperlink" Target="https://myonline.regiscollege.edu/user/view.php?id=8036&amp;course=58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user/view.php?id=8036&amp;course=5887" TargetMode="External"/><Relationship Id="rId11" Type="http://schemas.openxmlformats.org/officeDocument/2006/relationships/image" Target="media/image1.png"/><Relationship Id="rId5" Type="http://schemas.openxmlformats.org/officeDocument/2006/relationships/hyperlink" Target="https://www.healthit.gov/topic/laws-regulation-and-policy/health-it-legislation" TargetMode="External"/><Relationship Id="rId10" Type="http://schemas.openxmlformats.org/officeDocument/2006/relationships/hyperlink" Target="https://myonline.regiscollege.edu/mod/forum/post.php?reply=1917202" TargetMode="External"/><Relationship Id="rId4" Type="http://schemas.openxmlformats.org/officeDocument/2006/relationships/hyperlink" Target="https://myonline.regiscollege.edu/user/view.php?id=8371&amp;course=5887" TargetMode="External"/><Relationship Id="rId9" Type="http://schemas.openxmlformats.org/officeDocument/2006/relationships/hyperlink" Target="https://myonline.regiscollege.edu/mod/forum/discuss.php?d=26935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2637</Words>
  <Characters>15669</Characters>
  <Application>Microsoft Office Word</Application>
  <DocSecurity>0</DocSecurity>
  <Lines>270</Lines>
  <Paragraphs>41</Paragraphs>
  <ScaleCrop>false</ScaleCrop>
  <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2024-08-01T14:01:00Z</dcterms:created>
  <dcterms:modified xsi:type="dcterms:W3CDTF">2024-08-01T14:05:00Z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d0e50c8a-a00e-4430-9201-24870e3e4aaf</vt:lpwstr>
  </property>
</Properties>
</file>