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E997" w14:textId="45A86CF0" w:rsidR="0086013E" w:rsidRPr="0086013E" w:rsidRDefault="0086013E" w:rsidP="0086013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Policy and Practice Issues</w:t>
      </w:r>
    </w:p>
    <w:p w14:paraId="7DB05237" w14:textId="52598DF0" w:rsidR="002F175F" w:rsidRDefault="00130686" w:rsidP="0086013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Participation in advocacy through professional nursing bodies helps NPs to contribute positively to the improvement in the quality, safety, and access to care. The American Psychiatric Nurses Association (APNA) has been on the frontline of advocating for reforms relating to screening for adverse childhood experiences. </w:t>
      </w:r>
      <w:r w:rsidR="004051FE">
        <w:rPr>
          <w:rFonts w:ascii="Times New Roman" w:hAnsi="Times New Roman" w:cs="Times New Roman"/>
          <w:sz w:val="24"/>
          <w:szCs w:val="24"/>
        </w:rPr>
        <w:t xml:space="preserve">While </w:t>
      </w:r>
      <w:r w:rsidR="00520B37">
        <w:rPr>
          <w:rFonts w:ascii="Times New Roman" w:hAnsi="Times New Roman" w:cs="Times New Roman"/>
          <w:sz w:val="24"/>
          <w:szCs w:val="24"/>
        </w:rPr>
        <w:t>evidence</w:t>
      </w:r>
      <w:bookmarkStart w:id="0" w:name="_GoBack"/>
      <w:bookmarkEnd w:id="0"/>
      <w:r w:rsidR="004051FE">
        <w:rPr>
          <w:rFonts w:ascii="Times New Roman" w:hAnsi="Times New Roman" w:cs="Times New Roman"/>
          <w:sz w:val="24"/>
          <w:szCs w:val="24"/>
        </w:rPr>
        <w:t xml:space="preserve"> suggests that almost two-thirds of Americans had experienced an ACE in 2020, access to screening for ACEs and subsequent treatment has remained poor (</w:t>
      </w:r>
      <w:proofErr w:type="spellStart"/>
      <w:r w:rsidR="004051FE">
        <w:rPr>
          <w:rFonts w:ascii="Times New Roman" w:hAnsi="Times New Roman" w:cs="Times New Roman"/>
          <w:sz w:val="24"/>
          <w:szCs w:val="24"/>
        </w:rPr>
        <w:t>Swedo</w:t>
      </w:r>
      <w:proofErr w:type="spellEnd"/>
      <w:r w:rsidR="004051FE">
        <w:rPr>
          <w:rFonts w:ascii="Times New Roman" w:hAnsi="Times New Roman" w:cs="Times New Roman"/>
          <w:sz w:val="24"/>
          <w:szCs w:val="24"/>
        </w:rPr>
        <w:t xml:space="preserve"> et al., 2023). A significant relationship exists between ACEs and multiple conditions, including depression, asthma, diabetes, cancer, and heart disease. Indeed, the Centers for Disease Control and Prevention (CDC, 2022) noted that preventing ACEs would cut about 21 million cases of depression and 1.9 million cases of heart conditions. However, limited availability of resources at the local level </w:t>
      </w:r>
      <w:r w:rsidR="0086013E">
        <w:rPr>
          <w:rFonts w:ascii="Times New Roman" w:hAnsi="Times New Roman" w:cs="Times New Roman"/>
          <w:sz w:val="24"/>
          <w:szCs w:val="24"/>
        </w:rPr>
        <w:t xml:space="preserve">and stigma from the public </w:t>
      </w:r>
      <w:r w:rsidR="004051FE">
        <w:rPr>
          <w:rFonts w:ascii="Times New Roman" w:hAnsi="Times New Roman" w:cs="Times New Roman"/>
          <w:sz w:val="24"/>
          <w:szCs w:val="24"/>
        </w:rPr>
        <w:t>remain significant barrier to accessing screening services for ACEs</w:t>
      </w:r>
      <w:r w:rsidR="0086013E">
        <w:rPr>
          <w:rFonts w:ascii="Times New Roman" w:hAnsi="Times New Roman" w:cs="Times New Roman"/>
          <w:sz w:val="24"/>
          <w:szCs w:val="24"/>
        </w:rPr>
        <w:t xml:space="preserve"> (Hippolyte et al., 2021). In addressing the issue, APNA has supported policies addressing the issue, with the signing onto the bill supported by the Mental Health Liaison Group indicating the organization’s dedication to alleviating the problem. The bill will promote the identification of high-burden ACEs with a disproportionate effect on the mental health of members of specific subpopulations. NPs can enhance their policy awareness and patient advocacy by levering the support offered from the professional nursing organizations. According to Chiu et al. (2021), such organizations seek to enhance NP’s skills through exposure to professional networks, audiences, and different policy issues. In this regard, being a member of the APNA could serve as a stepping stone for enhancement of policy awareness and participation in patient advocacy activities. </w:t>
      </w:r>
    </w:p>
    <w:p w14:paraId="64360C3E" w14:textId="3E461EBB" w:rsidR="0086013E" w:rsidRDefault="0086013E" w:rsidP="0086013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67905C6" w14:textId="77777777" w:rsidR="0086013E" w:rsidRDefault="0086013E" w:rsidP="0086013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Centers for Disease Control and Prevention. (2022). </w:t>
      </w:r>
      <w:r>
        <w:rPr>
          <w:rFonts w:ascii="Times New Roman" w:eastAsia="Times New Roman" w:hAnsi="Times New Roman" w:cs="Times New Roman"/>
          <w:i/>
          <w:sz w:val="24"/>
          <w:szCs w:val="24"/>
        </w:rPr>
        <w:t xml:space="preserve">Fast facts: Preventing adverse childhood experiences. </w:t>
      </w:r>
      <w:r>
        <w:rPr>
          <w:rFonts w:ascii="Times New Roman" w:eastAsia="Times New Roman" w:hAnsi="Times New Roman" w:cs="Times New Roman"/>
          <w:sz w:val="24"/>
          <w:szCs w:val="24"/>
        </w:rPr>
        <w:t xml:space="preserve">CDC. </w:t>
      </w:r>
      <w:hyperlink r:id="rId4" w:history="1">
        <w:r w:rsidRPr="00C001F0">
          <w:rPr>
            <w:rStyle w:val="Hyperlink"/>
            <w:rFonts w:ascii="Times New Roman" w:eastAsia="Times New Roman" w:hAnsi="Times New Roman" w:cs="Times New Roman"/>
            <w:sz w:val="24"/>
            <w:szCs w:val="24"/>
          </w:rPr>
          <w:t>https://www.cdc.gov/violenceprevention/aces/fastfact.html</w:t>
        </w:r>
      </w:hyperlink>
    </w:p>
    <w:p w14:paraId="5BDF5C63" w14:textId="77777777" w:rsidR="0086013E" w:rsidRPr="0086013E" w:rsidRDefault="0086013E" w:rsidP="0086013E">
      <w:pPr>
        <w:spacing w:after="0" w:line="480" w:lineRule="auto"/>
        <w:ind w:left="720" w:hanging="720"/>
        <w:rPr>
          <w:rFonts w:ascii="Times New Roman" w:eastAsia="Times New Roman" w:hAnsi="Times New Roman" w:cs="Times New Roman"/>
          <w:sz w:val="24"/>
          <w:szCs w:val="24"/>
        </w:rPr>
      </w:pPr>
      <w:r w:rsidRPr="0086013E">
        <w:rPr>
          <w:rFonts w:ascii="Times New Roman" w:eastAsia="Times New Roman" w:hAnsi="Times New Roman" w:cs="Times New Roman"/>
          <w:sz w:val="24"/>
          <w:szCs w:val="24"/>
        </w:rPr>
        <w:t>Chiu, P., Cummings, G. G., Thorne, S., &amp; Schick-</w:t>
      </w:r>
      <w:proofErr w:type="spellStart"/>
      <w:r w:rsidRPr="0086013E">
        <w:rPr>
          <w:rFonts w:ascii="Times New Roman" w:eastAsia="Times New Roman" w:hAnsi="Times New Roman" w:cs="Times New Roman"/>
          <w:sz w:val="24"/>
          <w:szCs w:val="24"/>
        </w:rPr>
        <w:t>Makaroff</w:t>
      </w:r>
      <w:proofErr w:type="spellEnd"/>
      <w:r w:rsidRPr="0086013E">
        <w:rPr>
          <w:rFonts w:ascii="Times New Roman" w:eastAsia="Times New Roman" w:hAnsi="Times New Roman" w:cs="Times New Roman"/>
          <w:sz w:val="24"/>
          <w:szCs w:val="24"/>
        </w:rPr>
        <w:t xml:space="preserve">, K. (2021). Policy Advocacy and Nursing Organizations: A Scoping Review. </w:t>
      </w:r>
      <w:r w:rsidRPr="0086013E">
        <w:rPr>
          <w:rFonts w:ascii="Times New Roman" w:eastAsia="Times New Roman" w:hAnsi="Times New Roman" w:cs="Times New Roman"/>
          <w:i/>
          <w:iCs/>
          <w:sz w:val="24"/>
          <w:szCs w:val="24"/>
        </w:rPr>
        <w:t>Policy, Politics &amp; Nursing Practice</w:t>
      </w:r>
      <w:r w:rsidRPr="0086013E">
        <w:rPr>
          <w:rFonts w:ascii="Times New Roman" w:eastAsia="Times New Roman" w:hAnsi="Times New Roman" w:cs="Times New Roman"/>
          <w:sz w:val="24"/>
          <w:szCs w:val="24"/>
        </w:rPr>
        <w:t xml:space="preserve">, </w:t>
      </w:r>
      <w:r w:rsidRPr="0086013E">
        <w:rPr>
          <w:rFonts w:ascii="Times New Roman" w:eastAsia="Times New Roman" w:hAnsi="Times New Roman" w:cs="Times New Roman"/>
          <w:i/>
          <w:iCs/>
          <w:sz w:val="24"/>
          <w:szCs w:val="24"/>
        </w:rPr>
        <w:t>22</w:t>
      </w:r>
      <w:r w:rsidRPr="0086013E">
        <w:rPr>
          <w:rFonts w:ascii="Times New Roman" w:eastAsia="Times New Roman" w:hAnsi="Times New Roman" w:cs="Times New Roman"/>
          <w:sz w:val="24"/>
          <w:szCs w:val="24"/>
        </w:rPr>
        <w:t xml:space="preserve">(4), 271-291. </w:t>
      </w:r>
      <w:hyperlink r:id="rId5" w:history="1">
        <w:r w:rsidRPr="0086013E">
          <w:rPr>
            <w:rStyle w:val="Hyperlink"/>
            <w:rFonts w:ascii="Times New Roman" w:eastAsia="Times New Roman" w:hAnsi="Times New Roman" w:cs="Times New Roman"/>
            <w:sz w:val="24"/>
            <w:szCs w:val="24"/>
          </w:rPr>
          <w:t>https://doi.org/10.1177/15271544211050611</w:t>
        </w:r>
      </w:hyperlink>
      <w:r w:rsidRPr="0086013E">
        <w:rPr>
          <w:rFonts w:ascii="Times New Roman" w:eastAsia="Times New Roman" w:hAnsi="Times New Roman" w:cs="Times New Roman"/>
          <w:sz w:val="24"/>
          <w:szCs w:val="24"/>
        </w:rPr>
        <w:t xml:space="preserve"> </w:t>
      </w:r>
    </w:p>
    <w:p w14:paraId="4192F090" w14:textId="77777777" w:rsidR="0086013E" w:rsidRPr="0086013E" w:rsidRDefault="0086013E" w:rsidP="0086013E">
      <w:pPr>
        <w:spacing w:after="0" w:line="480" w:lineRule="auto"/>
        <w:ind w:left="720" w:hanging="720"/>
        <w:rPr>
          <w:rFonts w:ascii="Times New Roman" w:eastAsia="Times New Roman" w:hAnsi="Times New Roman" w:cs="Times New Roman"/>
          <w:sz w:val="24"/>
          <w:szCs w:val="24"/>
        </w:rPr>
      </w:pPr>
      <w:r w:rsidRPr="0086013E">
        <w:rPr>
          <w:rFonts w:ascii="Times New Roman" w:eastAsia="Times New Roman" w:hAnsi="Times New Roman" w:cs="Times New Roman"/>
          <w:sz w:val="24"/>
          <w:szCs w:val="24"/>
        </w:rPr>
        <w:t xml:space="preserve">Hippolyte, J. M., </w:t>
      </w:r>
      <w:proofErr w:type="spellStart"/>
      <w:r w:rsidRPr="0086013E">
        <w:rPr>
          <w:rFonts w:ascii="Times New Roman" w:eastAsia="Times New Roman" w:hAnsi="Times New Roman" w:cs="Times New Roman"/>
          <w:sz w:val="24"/>
          <w:szCs w:val="24"/>
        </w:rPr>
        <w:t>Solorzano</w:t>
      </w:r>
      <w:proofErr w:type="spellEnd"/>
      <w:r w:rsidRPr="0086013E">
        <w:rPr>
          <w:rFonts w:ascii="Times New Roman" w:eastAsia="Times New Roman" w:hAnsi="Times New Roman" w:cs="Times New Roman"/>
          <w:sz w:val="24"/>
          <w:szCs w:val="24"/>
        </w:rPr>
        <w:t xml:space="preserve">, S., Singh, S., Yang, L., &amp; Boogaard, C. (2021). Barriers to implementing adverse childhood experience (ACEs) screening in an urban primary care clinic. </w:t>
      </w:r>
      <w:r w:rsidRPr="0086013E">
        <w:rPr>
          <w:rFonts w:ascii="Times New Roman" w:eastAsia="Times New Roman" w:hAnsi="Times New Roman" w:cs="Times New Roman"/>
          <w:i/>
          <w:sz w:val="24"/>
          <w:szCs w:val="24"/>
        </w:rPr>
        <w:t>Pediatrics, 147</w:t>
      </w:r>
      <w:r w:rsidRPr="0086013E">
        <w:rPr>
          <w:rFonts w:ascii="Times New Roman" w:eastAsia="Times New Roman" w:hAnsi="Times New Roman" w:cs="Times New Roman"/>
          <w:sz w:val="24"/>
          <w:szCs w:val="24"/>
        </w:rPr>
        <w:t xml:space="preserve">(3), 34-35. </w:t>
      </w:r>
      <w:hyperlink r:id="rId6" w:history="1">
        <w:r w:rsidRPr="0086013E">
          <w:rPr>
            <w:rStyle w:val="Hyperlink"/>
            <w:rFonts w:ascii="Times New Roman" w:eastAsia="Times New Roman" w:hAnsi="Times New Roman" w:cs="Times New Roman"/>
            <w:sz w:val="24"/>
            <w:szCs w:val="24"/>
          </w:rPr>
          <w:t>https://doi.org/10.1542/peds.147.3MA1.34</w:t>
        </w:r>
      </w:hyperlink>
      <w:r w:rsidRPr="0086013E">
        <w:rPr>
          <w:rFonts w:ascii="Times New Roman" w:eastAsia="Times New Roman" w:hAnsi="Times New Roman" w:cs="Times New Roman"/>
          <w:sz w:val="24"/>
          <w:szCs w:val="24"/>
        </w:rPr>
        <w:t xml:space="preserve"> </w:t>
      </w:r>
    </w:p>
    <w:p w14:paraId="3D239DED" w14:textId="77777777" w:rsidR="0086013E" w:rsidRPr="0086013E" w:rsidRDefault="0086013E" w:rsidP="0086013E">
      <w:pPr>
        <w:spacing w:after="0" w:line="480" w:lineRule="auto"/>
        <w:ind w:left="720" w:hanging="720"/>
        <w:rPr>
          <w:rFonts w:ascii="Times New Roman" w:eastAsia="Times New Roman" w:hAnsi="Times New Roman" w:cs="Times New Roman"/>
          <w:sz w:val="24"/>
          <w:szCs w:val="24"/>
        </w:rPr>
      </w:pPr>
      <w:proofErr w:type="spellStart"/>
      <w:r w:rsidRPr="0086013E">
        <w:rPr>
          <w:rFonts w:ascii="Times New Roman" w:eastAsia="Times New Roman" w:hAnsi="Times New Roman" w:cs="Times New Roman"/>
          <w:sz w:val="24"/>
          <w:szCs w:val="24"/>
        </w:rPr>
        <w:t>Swedo</w:t>
      </w:r>
      <w:proofErr w:type="spellEnd"/>
      <w:r w:rsidRPr="0086013E">
        <w:rPr>
          <w:rFonts w:ascii="Times New Roman" w:eastAsia="Times New Roman" w:hAnsi="Times New Roman" w:cs="Times New Roman"/>
          <w:sz w:val="24"/>
          <w:szCs w:val="24"/>
        </w:rPr>
        <w:t xml:space="preserve">, E. A., Aslam, M., Dahlberg, L., </w:t>
      </w:r>
      <w:proofErr w:type="spellStart"/>
      <w:r w:rsidRPr="0086013E">
        <w:rPr>
          <w:rFonts w:ascii="Times New Roman" w:eastAsia="Times New Roman" w:hAnsi="Times New Roman" w:cs="Times New Roman"/>
          <w:sz w:val="24"/>
          <w:szCs w:val="24"/>
        </w:rPr>
        <w:t>Niolon</w:t>
      </w:r>
      <w:proofErr w:type="spellEnd"/>
      <w:r w:rsidRPr="0086013E">
        <w:rPr>
          <w:rFonts w:ascii="Times New Roman" w:eastAsia="Times New Roman" w:hAnsi="Times New Roman" w:cs="Times New Roman"/>
          <w:sz w:val="24"/>
          <w:szCs w:val="24"/>
        </w:rPr>
        <w:t xml:space="preserve">, P., Guinn, A., Simon, T., &amp; Mercy, J. (2023). Prevalence of adverse childhood experiences among US adults—Behavioral risk factor surveillance system, 2011–2020. </w:t>
      </w:r>
      <w:r w:rsidRPr="0086013E">
        <w:rPr>
          <w:rFonts w:ascii="Times New Roman" w:eastAsia="Times New Roman" w:hAnsi="Times New Roman" w:cs="Times New Roman"/>
          <w:i/>
          <w:iCs/>
          <w:sz w:val="24"/>
          <w:szCs w:val="24"/>
        </w:rPr>
        <w:t>MMWR. Morbidity and Mortality Weekly Report</w:t>
      </w:r>
      <w:r w:rsidRPr="0086013E">
        <w:rPr>
          <w:rFonts w:ascii="Times New Roman" w:eastAsia="Times New Roman" w:hAnsi="Times New Roman" w:cs="Times New Roman"/>
          <w:sz w:val="24"/>
          <w:szCs w:val="24"/>
        </w:rPr>
        <w:t xml:space="preserve">, </w:t>
      </w:r>
      <w:r w:rsidRPr="0086013E">
        <w:rPr>
          <w:rFonts w:ascii="Times New Roman" w:eastAsia="Times New Roman" w:hAnsi="Times New Roman" w:cs="Times New Roman"/>
          <w:i/>
          <w:iCs/>
          <w:sz w:val="24"/>
          <w:szCs w:val="24"/>
        </w:rPr>
        <w:t>72</w:t>
      </w:r>
      <w:r w:rsidRPr="0086013E">
        <w:rPr>
          <w:rFonts w:ascii="Times New Roman" w:eastAsia="Times New Roman" w:hAnsi="Times New Roman" w:cs="Times New Roman"/>
          <w:sz w:val="24"/>
          <w:szCs w:val="24"/>
        </w:rPr>
        <w:t xml:space="preserve">. </w:t>
      </w:r>
      <w:hyperlink r:id="rId7" w:history="1">
        <w:r w:rsidRPr="0086013E">
          <w:rPr>
            <w:rStyle w:val="Hyperlink"/>
            <w:rFonts w:ascii="Times New Roman" w:eastAsia="Times New Roman" w:hAnsi="Times New Roman" w:cs="Times New Roman"/>
            <w:sz w:val="24"/>
            <w:szCs w:val="24"/>
          </w:rPr>
          <w:t>http://dx.doi.org/10.15585/mmwr.mm7226a2</w:t>
        </w:r>
      </w:hyperlink>
      <w:r w:rsidRPr="0086013E">
        <w:rPr>
          <w:rFonts w:ascii="Times New Roman" w:eastAsia="Times New Roman" w:hAnsi="Times New Roman" w:cs="Times New Roman"/>
          <w:sz w:val="24"/>
          <w:szCs w:val="24"/>
        </w:rPr>
        <w:t xml:space="preserve"> </w:t>
      </w:r>
    </w:p>
    <w:p w14:paraId="2315CBC5" w14:textId="77777777" w:rsidR="0086013E" w:rsidRPr="0086013E" w:rsidRDefault="0086013E" w:rsidP="0086013E">
      <w:pPr>
        <w:spacing w:after="0" w:line="480" w:lineRule="auto"/>
        <w:rPr>
          <w:rFonts w:ascii="Times New Roman" w:hAnsi="Times New Roman" w:cs="Times New Roman"/>
          <w:b/>
          <w:sz w:val="24"/>
          <w:szCs w:val="24"/>
        </w:rPr>
      </w:pPr>
    </w:p>
    <w:sectPr w:rsidR="0086013E" w:rsidRPr="0086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86"/>
    <w:rsid w:val="00130686"/>
    <w:rsid w:val="002F175F"/>
    <w:rsid w:val="004051FE"/>
    <w:rsid w:val="00520B37"/>
    <w:rsid w:val="0086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CCF8"/>
  <w15:chartTrackingRefBased/>
  <w15:docId w15:val="{276BA838-9BF1-4B71-A3D9-72EC31E9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5585/mmwr.mm7226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42/peds.147.3MA1.34" TargetMode="External"/><Relationship Id="rId5" Type="http://schemas.openxmlformats.org/officeDocument/2006/relationships/hyperlink" Target="https://doi.org/10.1177/15271544211050611" TargetMode="External"/><Relationship Id="rId4" Type="http://schemas.openxmlformats.org/officeDocument/2006/relationships/hyperlink" Target="https://www.cdc.gov/violenceprevention/aces/fastfact.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2024-08-07T00:21:00Z</dcterms:created>
  <dcterms:modified xsi:type="dcterms:W3CDTF">2024-08-07T00:52:00Z</dcterms:modified>
</cp:coreProperties>
</file>