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7E29" w14:textId="77777777" w:rsidR="000E39E4" w:rsidRPr="000E39E4" w:rsidRDefault="000E39E4" w:rsidP="000E39E4">
      <w:pPr>
        <w:spacing w:after="0" w:line="240" w:lineRule="auto"/>
        <w:outlineLvl w:val="2"/>
        <w:rPr>
          <w:rFonts w:ascii="var(--font-family-display)" w:eastAsia="Times New Roman" w:hAnsi="var(--font-family-display)" w:cs="Times New Roman"/>
          <w:b/>
          <w:bCs/>
          <w:kern w:val="0"/>
          <w:sz w:val="27"/>
          <w:szCs w:val="27"/>
          <w14:ligatures w14:val="none"/>
        </w:rPr>
      </w:pPr>
      <w:r w:rsidRPr="000E39E4">
        <w:rPr>
          <w:rFonts w:ascii="var(--font-family-display)" w:eastAsia="Times New Roman" w:hAnsi="var(--font-family-display)" w:cs="Times New Roman"/>
          <w:b/>
          <w:bCs/>
          <w:kern w:val="0"/>
          <w:sz w:val="27"/>
          <w:szCs w:val="27"/>
          <w14:ligatures w14:val="none"/>
        </w:rPr>
        <w:t>Re: Week 3 Discussion 2: Navigating Differences</w:t>
      </w:r>
    </w:p>
    <w:p w14:paraId="07CBB899" w14:textId="77777777" w:rsidR="000E39E4" w:rsidRPr="000E39E4" w:rsidRDefault="000E39E4" w:rsidP="000E39E4">
      <w:pPr>
        <w:spacing w:after="0" w:line="240" w:lineRule="auto"/>
        <w:rPr>
          <w:rFonts w:ascii="Times New Roman" w:eastAsia="Times New Roman" w:hAnsi="Times New Roman" w:cs="Times New Roman"/>
          <w:kern w:val="0"/>
          <w:sz w:val="24"/>
          <w:szCs w:val="24"/>
          <w14:ligatures w14:val="none"/>
        </w:rPr>
      </w:pPr>
      <w:r w:rsidRPr="000E39E4">
        <w:rPr>
          <w:rFonts w:ascii="Times New Roman" w:eastAsia="Times New Roman" w:hAnsi="Times New Roman" w:cs="Times New Roman"/>
          <w:kern w:val="0"/>
          <w:sz w:val="24"/>
          <w:szCs w:val="24"/>
          <w14:ligatures w14:val="none"/>
        </w:rPr>
        <w:t>by </w:t>
      </w:r>
      <w:hyperlink r:id="rId4" w:history="1">
        <w:r w:rsidRPr="000E39E4">
          <w:rPr>
            <w:rFonts w:ascii="Times New Roman" w:eastAsia="Times New Roman" w:hAnsi="Times New Roman" w:cs="Times New Roman"/>
            <w:color w:val="0000FF"/>
            <w:kern w:val="0"/>
            <w:sz w:val="24"/>
            <w:szCs w:val="24"/>
            <w:u w:val="single"/>
            <w14:ligatures w14:val="none"/>
          </w:rPr>
          <w:t>Chinonye Okeke</w:t>
        </w:r>
      </w:hyperlink>
      <w:r w:rsidRPr="000E39E4">
        <w:rPr>
          <w:rFonts w:ascii="Times New Roman" w:eastAsia="Times New Roman" w:hAnsi="Times New Roman" w:cs="Times New Roman"/>
          <w:kern w:val="0"/>
          <w:sz w:val="24"/>
          <w:szCs w:val="24"/>
          <w14:ligatures w14:val="none"/>
        </w:rPr>
        <w:t> - Wednesday, 17 January 2024, 8:21 PM</w:t>
      </w:r>
    </w:p>
    <w:p w14:paraId="2D7586EC" w14:textId="25699F75" w:rsidR="000E39E4" w:rsidRPr="000E39E4" w:rsidRDefault="000E39E4" w:rsidP="000E39E4">
      <w:pPr>
        <w:shd w:val="clear" w:color="auto" w:fill="FFFFFF"/>
        <w:spacing w:after="0" w:line="240" w:lineRule="auto"/>
        <w:rPr>
          <w:rFonts w:ascii="Roboto" w:eastAsia="Times New Roman" w:hAnsi="Roboto" w:cs="Times New Roman"/>
          <w:color w:val="1D2125"/>
          <w:kern w:val="0"/>
          <w:sz w:val="23"/>
          <w:szCs w:val="23"/>
          <w14:ligatures w14:val="none"/>
        </w:rPr>
      </w:pPr>
      <w:r w:rsidRPr="000E39E4">
        <w:rPr>
          <w:rFonts w:ascii="Roboto" w:eastAsia="Times New Roman" w:hAnsi="Roboto" w:cs="Times New Roman"/>
          <w:color w:val="1D2125"/>
          <w:kern w:val="0"/>
          <w:sz w:val="23"/>
          <w:szCs w:val="23"/>
          <w14:ligatures w14:val="none"/>
        </w:rPr>
        <w:t>Navigating difference involves recognizing unconscious bias at an individual level, understanding, and appreciating the need for unlearning as well as new learning that may be unique to the situation and recognizing the dynamics and impact of varied identities on group functioning (Srivastava, 2023). Understanding how to navigate differences plays a role in culturally competent care. It is important for providers to identify their unconscious or conscious biases and unlearn them to ensure proper care is being provided.</w:t>
      </w:r>
      <w:r w:rsidRPr="000E39E4">
        <w:rPr>
          <w:rFonts w:ascii="Roboto" w:eastAsia="Times New Roman" w:hAnsi="Roboto" w:cs="Times New Roman"/>
          <w:color w:val="1D2125"/>
          <w:kern w:val="0"/>
          <w:sz w:val="23"/>
          <w:szCs w:val="23"/>
          <w14:ligatures w14:val="none"/>
        </w:rPr>
        <w:br/>
      </w:r>
      <w:r w:rsidRPr="000E39E4">
        <w:rPr>
          <w:rFonts w:ascii="Roboto" w:eastAsia="Times New Roman" w:hAnsi="Roboto" w:cs="Times New Roman"/>
          <w:color w:val="1D2125"/>
          <w:kern w:val="0"/>
          <w:sz w:val="23"/>
          <w:szCs w:val="23"/>
          <w14:ligatures w14:val="none"/>
        </w:rPr>
        <w:br/>
        <w:t>Navigating differences applies to R.C and their partner case because they are away on a honeymoon most likely in a place different from their hometown. The paramedics immediately assumed they were Spanish speaking and began to speak in Spanish rather than asking or clarifying their language preferences. In this case, the paramedics racially profiled this couple and assumed they were Spanish speaking. Because the paramedics spoke in Spanish there was a level of miscommunication between the patient, their partner, and staff.</w:t>
      </w:r>
      <w:r w:rsidRPr="000E39E4">
        <w:rPr>
          <w:rFonts w:ascii="Roboto" w:eastAsia="Times New Roman" w:hAnsi="Roboto" w:cs="Times New Roman"/>
          <w:color w:val="1D2125"/>
          <w:kern w:val="0"/>
          <w:sz w:val="23"/>
          <w:szCs w:val="23"/>
          <w14:ligatures w14:val="none"/>
        </w:rPr>
        <w:br/>
      </w:r>
      <w:r w:rsidRPr="000E39E4">
        <w:rPr>
          <w:rFonts w:ascii="Roboto" w:eastAsia="Times New Roman" w:hAnsi="Roboto" w:cs="Times New Roman"/>
          <w:color w:val="1D2125"/>
          <w:kern w:val="0"/>
          <w:sz w:val="23"/>
          <w:szCs w:val="23"/>
          <w14:ligatures w14:val="none"/>
        </w:rPr>
        <w:br/>
        <w:t>It is noted that R.C felt their partner was hooked to too many machines and became frantic and called for staff immediately upon their arrival to the hospital. R.C is most likely confused because there was a lack of proper communication from the beginning, and they were unable to accompany their partner in the ambulance. If R.C was initially spoken to in English, there may not have been a disconnect or confusion when R.C saw their partner hooked up to all the machines and intravenous. According to Taylan &amp; Weber (2023) appreciation and respect for cultural difference and diversity, tolerance and respect for cultural difference and diversity and tolerance and respect for others, empathy, and ability to adapt and critically self-reflect are skills that are very important for people to possess who deal with other cultures, especially those in the health care industry.</w:t>
      </w:r>
      <w:r w:rsidRPr="000E39E4">
        <w:rPr>
          <w:rFonts w:ascii="Roboto" w:eastAsia="Times New Roman" w:hAnsi="Roboto" w:cs="Times New Roman"/>
          <w:color w:val="1D2125"/>
          <w:kern w:val="0"/>
          <w:sz w:val="23"/>
          <w:szCs w:val="23"/>
          <w14:ligatures w14:val="none"/>
        </w:rPr>
        <w:br/>
      </w:r>
      <w:r w:rsidRPr="000E39E4">
        <w:rPr>
          <w:rFonts w:ascii="Roboto" w:eastAsia="Times New Roman" w:hAnsi="Roboto" w:cs="Times New Roman"/>
          <w:color w:val="1D2125"/>
          <w:kern w:val="0"/>
          <w:sz w:val="23"/>
          <w:szCs w:val="23"/>
          <w14:ligatures w14:val="none"/>
        </w:rPr>
        <w:br/>
        <w:t xml:space="preserve">The key principles to navigating difference are </w:t>
      </w:r>
      <w:r>
        <w:rPr>
          <w:rFonts w:ascii="Roboto" w:eastAsia="Times New Roman" w:hAnsi="Roboto" w:cs="Times New Roman"/>
          <w:color w:val="1D2125"/>
          <w:kern w:val="0"/>
          <w:sz w:val="23"/>
          <w:szCs w:val="23"/>
          <w14:ligatures w14:val="none"/>
        </w:rPr>
        <w:t>balancing</w:t>
      </w:r>
      <w:r w:rsidRPr="000E39E4">
        <w:rPr>
          <w:rFonts w:ascii="Roboto" w:eastAsia="Times New Roman" w:hAnsi="Roboto" w:cs="Times New Roman"/>
          <w:color w:val="1D2125"/>
          <w:kern w:val="0"/>
          <w:sz w:val="23"/>
          <w:szCs w:val="23"/>
          <w14:ligatures w14:val="none"/>
        </w:rPr>
        <w:t xml:space="preserve"> inquiry with critical reflection and self-interrogation, </w:t>
      </w:r>
      <w:r>
        <w:rPr>
          <w:rFonts w:ascii="Roboto" w:eastAsia="Times New Roman" w:hAnsi="Roboto" w:cs="Times New Roman"/>
          <w:color w:val="1D2125"/>
          <w:kern w:val="0"/>
          <w:sz w:val="23"/>
          <w:szCs w:val="23"/>
          <w14:ligatures w14:val="none"/>
        </w:rPr>
        <w:t>acknowledgment</w:t>
      </w:r>
      <w:r w:rsidRPr="000E39E4">
        <w:rPr>
          <w:rFonts w:ascii="Roboto" w:eastAsia="Times New Roman" w:hAnsi="Roboto" w:cs="Times New Roman"/>
          <w:color w:val="1D2125"/>
          <w:kern w:val="0"/>
          <w:sz w:val="23"/>
          <w:szCs w:val="23"/>
          <w14:ligatures w14:val="none"/>
        </w:rPr>
        <w:t xml:space="preserve"> of unequal risks in the creation of safer spaces for individuals and groups, understanding that there is no checklist; the approach must be contextual and relational, developing and utilizing resources within self, patients, profession, and community, understanding that obstacles can also be building blocks, committing to continuing learning and unlearning, approaching differences with humility and intentionality to learn what matters most, appreciating the need for unlearning as well as new learning that may be unique to the situation, realizing the reality of uneven knowledge, understanding, and privilege across individuals, within groups, and in organizations. If these key principles of navigating difference are understood patients will feel safer, more understood and in turn receive quality care (Srivastava, 2023).</w:t>
      </w:r>
      <w:r w:rsidRPr="000E39E4">
        <w:rPr>
          <w:rFonts w:ascii="Roboto" w:eastAsia="Times New Roman" w:hAnsi="Roboto" w:cs="Times New Roman"/>
          <w:color w:val="1D2125"/>
          <w:kern w:val="0"/>
          <w:sz w:val="23"/>
          <w:szCs w:val="23"/>
          <w14:ligatures w14:val="none"/>
        </w:rPr>
        <w:br/>
      </w:r>
      <w:r w:rsidRPr="000E39E4">
        <w:rPr>
          <w:rFonts w:ascii="Roboto" w:eastAsia="Times New Roman" w:hAnsi="Roboto" w:cs="Times New Roman"/>
          <w:color w:val="1D2125"/>
          <w:kern w:val="0"/>
          <w:sz w:val="23"/>
          <w:szCs w:val="23"/>
          <w14:ligatures w14:val="none"/>
        </w:rPr>
        <w:br/>
        <w:t>References</w:t>
      </w:r>
      <w:r w:rsidRPr="000E39E4">
        <w:rPr>
          <w:rFonts w:ascii="Roboto" w:eastAsia="Times New Roman" w:hAnsi="Roboto" w:cs="Times New Roman"/>
          <w:color w:val="1D2125"/>
          <w:kern w:val="0"/>
          <w:sz w:val="23"/>
          <w:szCs w:val="23"/>
          <w14:ligatures w14:val="none"/>
        </w:rPr>
        <w:br/>
        <w:t>Taylan, C., &amp; Weber, L. T. (2023). "Don't let me be misunderstood": communication with patients from a different cultural background. Pediatric nephrology (Berlin, Germany), 38(3), 643–649. https://doi.org/10.1007/s00467-022-05573-7</w:t>
      </w:r>
      <w:r w:rsidRPr="000E39E4">
        <w:rPr>
          <w:rFonts w:ascii="Roboto" w:eastAsia="Times New Roman" w:hAnsi="Roboto" w:cs="Times New Roman"/>
          <w:color w:val="1D2125"/>
          <w:kern w:val="0"/>
          <w:sz w:val="23"/>
          <w:szCs w:val="23"/>
          <w14:ligatures w14:val="none"/>
        </w:rPr>
        <w:br/>
      </w:r>
      <w:r w:rsidRPr="000E39E4">
        <w:rPr>
          <w:rFonts w:ascii="Roboto" w:eastAsia="Times New Roman" w:hAnsi="Roboto" w:cs="Times New Roman"/>
          <w:color w:val="1D2125"/>
          <w:kern w:val="0"/>
          <w:sz w:val="23"/>
          <w:szCs w:val="23"/>
          <w14:ligatures w14:val="none"/>
        </w:rPr>
        <w:br/>
      </w:r>
      <w:r w:rsidRPr="000E39E4">
        <w:rPr>
          <w:rFonts w:ascii="Roboto" w:eastAsia="Times New Roman" w:hAnsi="Roboto" w:cs="Times New Roman"/>
          <w:color w:val="1D2125"/>
          <w:kern w:val="0"/>
          <w:sz w:val="23"/>
          <w:szCs w:val="23"/>
          <w14:ligatures w14:val="none"/>
        </w:rPr>
        <w:lastRenderedPageBreak/>
        <w:t>Srivastava, R. H. (2023). The health care professional's guide to cultural competence (2nd ed.). Elsevier. Chapter 4: Navigating Differences</w:t>
      </w:r>
    </w:p>
    <w:p w14:paraId="279A9A28" w14:textId="77777777" w:rsidR="000E39E4" w:rsidRDefault="000E39E4"/>
    <w:p w14:paraId="13A2E7C0" w14:textId="77777777" w:rsidR="000E39E4" w:rsidRDefault="000E39E4"/>
    <w:p w14:paraId="71BE9820" w14:textId="77777777" w:rsidR="000E39E4" w:rsidRDefault="000E39E4"/>
    <w:p w14:paraId="00639C0C" w14:textId="77777777" w:rsidR="000E39E4" w:rsidRDefault="000E39E4"/>
    <w:p w14:paraId="34CB926E" w14:textId="77777777" w:rsidR="000E39E4" w:rsidRPr="000E39E4" w:rsidRDefault="000E39E4" w:rsidP="000E39E4">
      <w:pPr>
        <w:spacing w:after="0" w:line="240" w:lineRule="auto"/>
        <w:outlineLvl w:val="2"/>
        <w:rPr>
          <w:rFonts w:ascii="var(--font-family-display)" w:eastAsia="Times New Roman" w:hAnsi="var(--font-family-display)" w:cs="Times New Roman"/>
          <w:b/>
          <w:bCs/>
          <w:kern w:val="0"/>
          <w:sz w:val="27"/>
          <w:szCs w:val="27"/>
          <w14:ligatures w14:val="none"/>
        </w:rPr>
      </w:pPr>
      <w:r w:rsidRPr="000E39E4">
        <w:rPr>
          <w:rFonts w:ascii="var(--font-family-display)" w:eastAsia="Times New Roman" w:hAnsi="var(--font-family-display)" w:cs="Times New Roman"/>
          <w:b/>
          <w:bCs/>
          <w:kern w:val="0"/>
          <w:sz w:val="27"/>
          <w:szCs w:val="27"/>
          <w14:ligatures w14:val="none"/>
        </w:rPr>
        <w:t>Re: Week 3 Discussion 2: Navigating Differences</w:t>
      </w:r>
    </w:p>
    <w:p w14:paraId="00BD564A" w14:textId="77777777" w:rsidR="000E39E4" w:rsidRPr="000E39E4" w:rsidRDefault="000E39E4" w:rsidP="000E39E4">
      <w:pPr>
        <w:spacing w:after="0" w:line="240" w:lineRule="auto"/>
        <w:rPr>
          <w:rFonts w:ascii="Times New Roman" w:eastAsia="Times New Roman" w:hAnsi="Times New Roman" w:cs="Times New Roman"/>
          <w:kern w:val="0"/>
          <w:sz w:val="24"/>
          <w:szCs w:val="24"/>
          <w14:ligatures w14:val="none"/>
        </w:rPr>
      </w:pPr>
      <w:r w:rsidRPr="000E39E4">
        <w:rPr>
          <w:rFonts w:ascii="Times New Roman" w:eastAsia="Times New Roman" w:hAnsi="Times New Roman" w:cs="Times New Roman"/>
          <w:kern w:val="0"/>
          <w:sz w:val="24"/>
          <w:szCs w:val="24"/>
          <w14:ligatures w14:val="none"/>
        </w:rPr>
        <w:t>by </w:t>
      </w:r>
      <w:hyperlink r:id="rId5" w:history="1">
        <w:r w:rsidRPr="000E39E4">
          <w:rPr>
            <w:rFonts w:ascii="Times New Roman" w:eastAsia="Times New Roman" w:hAnsi="Times New Roman" w:cs="Times New Roman"/>
            <w:color w:val="0000FF"/>
            <w:kern w:val="0"/>
            <w:sz w:val="24"/>
            <w:szCs w:val="24"/>
            <w:u w:val="single"/>
            <w14:ligatures w14:val="none"/>
          </w:rPr>
          <w:t xml:space="preserve">Victoria </w:t>
        </w:r>
        <w:proofErr w:type="spellStart"/>
        <w:r w:rsidRPr="000E39E4">
          <w:rPr>
            <w:rFonts w:ascii="Times New Roman" w:eastAsia="Times New Roman" w:hAnsi="Times New Roman" w:cs="Times New Roman"/>
            <w:color w:val="0000FF"/>
            <w:kern w:val="0"/>
            <w:sz w:val="24"/>
            <w:szCs w:val="24"/>
            <w:u w:val="single"/>
            <w14:ligatures w14:val="none"/>
          </w:rPr>
          <w:t>Gorveatt</w:t>
        </w:r>
        <w:proofErr w:type="spellEnd"/>
      </w:hyperlink>
      <w:r w:rsidRPr="000E39E4">
        <w:rPr>
          <w:rFonts w:ascii="Times New Roman" w:eastAsia="Times New Roman" w:hAnsi="Times New Roman" w:cs="Times New Roman"/>
          <w:kern w:val="0"/>
          <w:sz w:val="24"/>
          <w:szCs w:val="24"/>
          <w14:ligatures w14:val="none"/>
        </w:rPr>
        <w:t> - Wednesday, 17 January 2024, 7:05 PM</w:t>
      </w:r>
    </w:p>
    <w:p w14:paraId="7AA40911" w14:textId="77777777" w:rsidR="000E39E4" w:rsidRPr="000E39E4" w:rsidRDefault="000E39E4" w:rsidP="000E39E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E39E4">
        <w:rPr>
          <w:rFonts w:ascii="Roboto" w:eastAsia="Times New Roman" w:hAnsi="Roboto" w:cs="Times New Roman"/>
          <w:color w:val="1D2125"/>
          <w:kern w:val="0"/>
          <w:sz w:val="23"/>
          <w:szCs w:val="23"/>
          <w14:ligatures w14:val="none"/>
        </w:rPr>
        <w:t>Srivastava (2023) describes an ally as someone with a shared purpose as a particular group or individual and an allyship as an ongoing process where a person with underlying privilege or bias aligns themselves with a marginalized person or underserved group. When reviewing Case Study 2, it is apparent that J.G. sees herself as an ally of the new hire who is older and is thus in the process of forming an allyship with the new employee. J.G. is standing up to her boss and setting boundaries for what she deems unacceptable mindset and behavior. Could she have done this more effectively? When reviewing the behavior of the boss, there was clear bias but also micro-aggressive behavior that would most likely have to be addressed diplomatically. Sue et al., (2020) note some effective micro-intervention strategies, for instance, “(a) make the invisible visible, (b) disarm the microaggression, (c) educate the perpetrator, and (d) seek external reinforcement or support.” J.G. was off to a good start by standing up to the employer however more explanation would be necessary, to educate vs. put the person on the defensive. Once a person is put on the defensive, their openness to learning is often closed.  </w:t>
      </w:r>
    </w:p>
    <w:p w14:paraId="01FCD1DF" w14:textId="77777777" w:rsidR="000E39E4" w:rsidRPr="000E39E4" w:rsidRDefault="000E39E4" w:rsidP="000E39E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E39E4">
        <w:rPr>
          <w:rFonts w:ascii="Roboto" w:eastAsia="Times New Roman" w:hAnsi="Roboto" w:cs="Times New Roman"/>
          <w:color w:val="1D2125"/>
          <w:kern w:val="0"/>
          <w:sz w:val="23"/>
          <w:szCs w:val="23"/>
          <w14:ligatures w14:val="none"/>
        </w:rPr>
        <w:t xml:space="preserve">Devine et al. </w:t>
      </w:r>
      <w:proofErr w:type="gramStart"/>
      <w:r w:rsidRPr="000E39E4">
        <w:rPr>
          <w:rFonts w:ascii="Roboto" w:eastAsia="Times New Roman" w:hAnsi="Roboto" w:cs="Times New Roman"/>
          <w:color w:val="1D2125"/>
          <w:kern w:val="0"/>
          <w:sz w:val="23"/>
          <w:szCs w:val="23"/>
          <w14:ligatures w14:val="none"/>
        </w:rPr>
        <w:t>( 2023</w:t>
      </w:r>
      <w:proofErr w:type="gramEnd"/>
      <w:r w:rsidRPr="000E39E4">
        <w:rPr>
          <w:rFonts w:ascii="Roboto" w:eastAsia="Times New Roman" w:hAnsi="Roboto" w:cs="Times New Roman"/>
          <w:color w:val="1D2125"/>
          <w:kern w:val="0"/>
          <w:sz w:val="23"/>
          <w:szCs w:val="23"/>
          <w14:ligatures w14:val="none"/>
        </w:rPr>
        <w:t>) note that implicit biases perpetuate discriminatory outcomes, that traverse a wide range from poor communication to missed employment opportunities. Furthermore, implicit biases continue despite the person’s identification of having non-prejudicious attitudes and beliefs and the non-awareness of their beliefs contributes to the undesired behavior.  The employer may be completely unaware of their bias and hence their awareness. Educating them about unconscious prejudice and bringing them onto the same side as J.G and the new employer would be a way of including the employer in formulating a plan of success for the new employee that benefits all parties. </w:t>
      </w:r>
    </w:p>
    <w:p w14:paraId="5B0C02A5" w14:textId="77777777" w:rsidR="000E39E4" w:rsidRPr="000E39E4" w:rsidRDefault="000E39E4" w:rsidP="000E39E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E39E4">
        <w:rPr>
          <w:rFonts w:ascii="Roboto" w:eastAsia="Times New Roman" w:hAnsi="Roboto" w:cs="Times New Roman"/>
          <w:color w:val="1D2125"/>
          <w:kern w:val="0"/>
          <w:sz w:val="23"/>
          <w:szCs w:val="23"/>
          <w14:ligatures w14:val="none"/>
        </w:rPr>
        <w:t> </w:t>
      </w:r>
    </w:p>
    <w:p w14:paraId="76CE5B57" w14:textId="77777777" w:rsidR="000E39E4" w:rsidRPr="000E39E4" w:rsidRDefault="000E39E4" w:rsidP="000E39E4">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659322EC" w14:textId="77777777" w:rsidR="000E39E4" w:rsidRPr="000E39E4" w:rsidRDefault="000E39E4" w:rsidP="000E39E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E39E4">
        <w:rPr>
          <w:rFonts w:ascii="Roboto" w:eastAsia="Times New Roman" w:hAnsi="Roboto" w:cs="Times New Roman"/>
          <w:color w:val="1D2125"/>
          <w:kern w:val="0"/>
          <w:sz w:val="23"/>
          <w:szCs w:val="23"/>
          <w14:ligatures w14:val="none"/>
        </w:rPr>
        <w:t>References:</w:t>
      </w:r>
    </w:p>
    <w:p w14:paraId="58AF9D90" w14:textId="77777777" w:rsidR="000E39E4" w:rsidRPr="000E39E4" w:rsidRDefault="000E39E4" w:rsidP="000E39E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E39E4">
        <w:rPr>
          <w:rFonts w:ascii="Roboto" w:eastAsia="Times New Roman" w:hAnsi="Roboto" w:cs="Times New Roman"/>
          <w:color w:val="1D2125"/>
          <w:kern w:val="0"/>
          <w:sz w:val="23"/>
          <w:szCs w:val="23"/>
          <w14:ligatures w14:val="none"/>
        </w:rPr>
        <w:t xml:space="preserve">Devine, P., </w:t>
      </w:r>
      <w:proofErr w:type="spellStart"/>
      <w:r w:rsidRPr="000E39E4">
        <w:rPr>
          <w:rFonts w:ascii="Roboto" w:eastAsia="Times New Roman" w:hAnsi="Roboto" w:cs="Times New Roman"/>
          <w:color w:val="1D2125"/>
          <w:kern w:val="0"/>
          <w:sz w:val="23"/>
          <w:szCs w:val="23"/>
          <w14:ligatures w14:val="none"/>
        </w:rPr>
        <w:t>Frscher</w:t>
      </w:r>
      <w:proofErr w:type="spellEnd"/>
      <w:r w:rsidRPr="000E39E4">
        <w:rPr>
          <w:rFonts w:ascii="Roboto" w:eastAsia="Times New Roman" w:hAnsi="Roboto" w:cs="Times New Roman"/>
          <w:color w:val="1D2125"/>
          <w:kern w:val="0"/>
          <w:sz w:val="23"/>
          <w:szCs w:val="23"/>
          <w14:ligatures w14:val="none"/>
        </w:rPr>
        <w:t xml:space="preserve">, P., Austin, A.&amp; Cox, W. (2023) Long-term reduction in implicit race </w:t>
      </w:r>
      <w:proofErr w:type="spellStart"/>
      <w:r w:rsidRPr="000E39E4">
        <w:rPr>
          <w:rFonts w:ascii="Roboto" w:eastAsia="Times New Roman" w:hAnsi="Roboto" w:cs="Times New Roman"/>
          <w:color w:val="1D2125"/>
          <w:kern w:val="0"/>
          <w:sz w:val="23"/>
          <w:szCs w:val="23"/>
          <w14:ligatures w14:val="none"/>
        </w:rPr>
        <w:t>biase</w:t>
      </w:r>
      <w:proofErr w:type="spellEnd"/>
      <w:r w:rsidRPr="000E39E4">
        <w:rPr>
          <w:rFonts w:ascii="Roboto" w:eastAsia="Times New Roman" w:hAnsi="Roboto" w:cs="Times New Roman"/>
          <w:color w:val="1D2125"/>
          <w:kern w:val="0"/>
          <w:sz w:val="23"/>
          <w:szCs w:val="23"/>
          <w14:ligatures w14:val="none"/>
        </w:rPr>
        <w:t>: A prejudice habit-breaking intervention. Journal of Experimental Social Psychology. Vl. 48. I.6. DOI: </w:t>
      </w:r>
      <w:hyperlink r:id="rId6" w:history="1">
        <w:r w:rsidRPr="000E39E4">
          <w:rPr>
            <w:rFonts w:ascii="Roboto" w:eastAsia="Times New Roman" w:hAnsi="Roboto" w:cs="Times New Roman"/>
            <w:color w:val="0000FF"/>
            <w:kern w:val="0"/>
            <w:sz w:val="23"/>
            <w:szCs w:val="23"/>
            <w:u w:val="single"/>
            <w14:ligatures w14:val="none"/>
          </w:rPr>
          <w:t>https://doi.org/10.1016/j.jesp.2012.06.003</w:t>
        </w:r>
      </w:hyperlink>
    </w:p>
    <w:p w14:paraId="643C7161" w14:textId="77777777" w:rsidR="000E39E4" w:rsidRPr="000E39E4" w:rsidRDefault="000E39E4" w:rsidP="000E39E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E39E4">
        <w:rPr>
          <w:rFonts w:ascii="Roboto" w:eastAsia="Times New Roman" w:hAnsi="Roboto" w:cs="Times New Roman"/>
          <w:color w:val="1D2125"/>
          <w:kern w:val="0"/>
          <w:sz w:val="23"/>
          <w:szCs w:val="23"/>
          <w14:ligatures w14:val="none"/>
        </w:rPr>
        <w:t>Srivastava, R. H. (2023). The health care professional's guide to cultural competence (2nd ed.). Elsevier.</w:t>
      </w:r>
    </w:p>
    <w:p w14:paraId="7DD68ECB" w14:textId="77777777" w:rsidR="000E39E4" w:rsidRPr="000E39E4" w:rsidRDefault="000E39E4" w:rsidP="000E39E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E39E4">
        <w:rPr>
          <w:rFonts w:ascii="Roboto" w:eastAsia="Times New Roman" w:hAnsi="Roboto" w:cs="Times New Roman"/>
          <w:color w:val="1D2125"/>
          <w:kern w:val="0"/>
          <w:sz w:val="23"/>
          <w:szCs w:val="23"/>
          <w14:ligatures w14:val="none"/>
        </w:rPr>
        <w:lastRenderedPageBreak/>
        <w:t xml:space="preserve">Sue, D. W., Alsaidi, S., </w:t>
      </w:r>
      <w:proofErr w:type="spellStart"/>
      <w:r w:rsidRPr="000E39E4">
        <w:rPr>
          <w:rFonts w:ascii="Roboto" w:eastAsia="Times New Roman" w:hAnsi="Roboto" w:cs="Times New Roman"/>
          <w:color w:val="1D2125"/>
          <w:kern w:val="0"/>
          <w:sz w:val="23"/>
          <w:szCs w:val="23"/>
          <w14:ligatures w14:val="none"/>
        </w:rPr>
        <w:t>Awad</w:t>
      </w:r>
      <w:proofErr w:type="spellEnd"/>
      <w:r w:rsidRPr="000E39E4">
        <w:rPr>
          <w:rFonts w:ascii="Roboto" w:eastAsia="Times New Roman" w:hAnsi="Roboto" w:cs="Times New Roman"/>
          <w:color w:val="1D2125"/>
          <w:kern w:val="0"/>
          <w:sz w:val="23"/>
          <w:szCs w:val="23"/>
          <w14:ligatures w14:val="none"/>
        </w:rPr>
        <w:t xml:space="preserve">, M. N., Glaeser, E., Calle, C. Z., &amp; Mendez, N. (2019). Disarming racial microaggressions: </w:t>
      </w:r>
      <w:proofErr w:type="spellStart"/>
      <w:r w:rsidRPr="000E39E4">
        <w:rPr>
          <w:rFonts w:ascii="Roboto" w:eastAsia="Times New Roman" w:hAnsi="Roboto" w:cs="Times New Roman"/>
          <w:color w:val="1D2125"/>
          <w:kern w:val="0"/>
          <w:sz w:val="23"/>
          <w:szCs w:val="23"/>
          <w14:ligatures w14:val="none"/>
        </w:rPr>
        <w:t>Microintervention</w:t>
      </w:r>
      <w:proofErr w:type="spellEnd"/>
      <w:r w:rsidRPr="000E39E4">
        <w:rPr>
          <w:rFonts w:ascii="Roboto" w:eastAsia="Times New Roman" w:hAnsi="Roboto" w:cs="Times New Roman"/>
          <w:color w:val="1D2125"/>
          <w:kern w:val="0"/>
          <w:sz w:val="23"/>
          <w:szCs w:val="23"/>
          <w14:ligatures w14:val="none"/>
        </w:rPr>
        <w:t xml:space="preserve"> strategies for targets, White allies, and bystanders. American Psychologist, 74(1), 128–142. https://doi.org/10.1037/amp0000296</w:t>
      </w:r>
    </w:p>
    <w:p w14:paraId="522B283C" w14:textId="77777777" w:rsidR="000E39E4" w:rsidRDefault="000E39E4"/>
    <w:p w14:paraId="0F84326D" w14:textId="77777777" w:rsidR="000E39E4" w:rsidRDefault="000E39E4"/>
    <w:p w14:paraId="5C8CD035" w14:textId="77777777" w:rsidR="000E39E4" w:rsidRDefault="000E39E4"/>
    <w:sectPr w:rsidR="000E3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E4"/>
    <w:rsid w:val="00026A43"/>
    <w:rsid w:val="000E39E4"/>
    <w:rsid w:val="001D36C0"/>
    <w:rsid w:val="004D2F4D"/>
    <w:rsid w:val="005533EE"/>
    <w:rsid w:val="00642667"/>
    <w:rsid w:val="0078466B"/>
    <w:rsid w:val="00951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495D1"/>
  <w15:chartTrackingRefBased/>
  <w15:docId w15:val="{4669CDF1-7626-49CD-B6FB-89A21CA9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520297">
      <w:bodyDiv w:val="1"/>
      <w:marLeft w:val="0"/>
      <w:marRight w:val="0"/>
      <w:marTop w:val="0"/>
      <w:marBottom w:val="0"/>
      <w:divBdr>
        <w:top w:val="none" w:sz="0" w:space="0" w:color="auto"/>
        <w:left w:val="none" w:sz="0" w:space="0" w:color="auto"/>
        <w:bottom w:val="none" w:sz="0" w:space="0" w:color="auto"/>
        <w:right w:val="none" w:sz="0" w:space="0" w:color="auto"/>
      </w:divBdr>
      <w:divsChild>
        <w:div w:id="143857692">
          <w:marLeft w:val="0"/>
          <w:marRight w:val="0"/>
          <w:marTop w:val="0"/>
          <w:marBottom w:val="0"/>
          <w:divBdr>
            <w:top w:val="none" w:sz="0" w:space="0" w:color="auto"/>
            <w:left w:val="none" w:sz="0" w:space="0" w:color="auto"/>
            <w:bottom w:val="none" w:sz="0" w:space="0" w:color="auto"/>
            <w:right w:val="none" w:sz="0" w:space="0" w:color="auto"/>
          </w:divBdr>
          <w:divsChild>
            <w:div w:id="1063288234">
              <w:marLeft w:val="0"/>
              <w:marRight w:val="0"/>
              <w:marTop w:val="0"/>
              <w:marBottom w:val="0"/>
              <w:divBdr>
                <w:top w:val="none" w:sz="0" w:space="0" w:color="auto"/>
                <w:left w:val="none" w:sz="0" w:space="0" w:color="auto"/>
                <w:bottom w:val="none" w:sz="0" w:space="0" w:color="auto"/>
                <w:right w:val="none" w:sz="0" w:space="0" w:color="auto"/>
              </w:divBdr>
            </w:div>
          </w:divsChild>
        </w:div>
        <w:div w:id="464784740">
          <w:marLeft w:val="0"/>
          <w:marRight w:val="0"/>
          <w:marTop w:val="0"/>
          <w:marBottom w:val="0"/>
          <w:divBdr>
            <w:top w:val="none" w:sz="0" w:space="0" w:color="auto"/>
            <w:left w:val="none" w:sz="0" w:space="0" w:color="auto"/>
            <w:bottom w:val="none" w:sz="0" w:space="0" w:color="auto"/>
            <w:right w:val="none" w:sz="0" w:space="0" w:color="auto"/>
          </w:divBdr>
          <w:divsChild>
            <w:div w:id="20134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0237">
      <w:bodyDiv w:val="1"/>
      <w:marLeft w:val="0"/>
      <w:marRight w:val="0"/>
      <w:marTop w:val="0"/>
      <w:marBottom w:val="0"/>
      <w:divBdr>
        <w:top w:val="none" w:sz="0" w:space="0" w:color="auto"/>
        <w:left w:val="none" w:sz="0" w:space="0" w:color="auto"/>
        <w:bottom w:val="none" w:sz="0" w:space="0" w:color="auto"/>
        <w:right w:val="none" w:sz="0" w:space="0" w:color="auto"/>
      </w:divBdr>
      <w:divsChild>
        <w:div w:id="651253786">
          <w:marLeft w:val="0"/>
          <w:marRight w:val="0"/>
          <w:marTop w:val="0"/>
          <w:marBottom w:val="0"/>
          <w:divBdr>
            <w:top w:val="none" w:sz="0" w:space="0" w:color="auto"/>
            <w:left w:val="none" w:sz="0" w:space="0" w:color="auto"/>
            <w:bottom w:val="none" w:sz="0" w:space="0" w:color="auto"/>
            <w:right w:val="none" w:sz="0" w:space="0" w:color="auto"/>
          </w:divBdr>
          <w:divsChild>
            <w:div w:id="1721510926">
              <w:marLeft w:val="0"/>
              <w:marRight w:val="0"/>
              <w:marTop w:val="0"/>
              <w:marBottom w:val="0"/>
              <w:divBdr>
                <w:top w:val="none" w:sz="0" w:space="0" w:color="auto"/>
                <w:left w:val="none" w:sz="0" w:space="0" w:color="auto"/>
                <w:bottom w:val="none" w:sz="0" w:space="0" w:color="auto"/>
                <w:right w:val="none" w:sz="0" w:space="0" w:color="auto"/>
              </w:divBdr>
            </w:div>
          </w:divsChild>
        </w:div>
        <w:div w:id="1338197233">
          <w:marLeft w:val="0"/>
          <w:marRight w:val="0"/>
          <w:marTop w:val="0"/>
          <w:marBottom w:val="0"/>
          <w:divBdr>
            <w:top w:val="none" w:sz="0" w:space="0" w:color="auto"/>
            <w:left w:val="none" w:sz="0" w:space="0" w:color="auto"/>
            <w:bottom w:val="none" w:sz="0" w:space="0" w:color="auto"/>
            <w:right w:val="none" w:sz="0" w:space="0" w:color="auto"/>
          </w:divBdr>
          <w:divsChild>
            <w:div w:id="1705785366">
              <w:marLeft w:val="0"/>
              <w:marRight w:val="0"/>
              <w:marTop w:val="0"/>
              <w:marBottom w:val="0"/>
              <w:divBdr>
                <w:top w:val="none" w:sz="0" w:space="0" w:color="auto"/>
                <w:left w:val="none" w:sz="0" w:space="0" w:color="auto"/>
                <w:bottom w:val="none" w:sz="0" w:space="0" w:color="auto"/>
                <w:right w:val="none" w:sz="0" w:space="0" w:color="auto"/>
              </w:divBdr>
              <w:divsChild>
                <w:div w:id="2938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esp.2012.06.003" TargetMode="External"/><Relationship Id="rId5" Type="http://schemas.openxmlformats.org/officeDocument/2006/relationships/hyperlink" Target="https://myonline.regiscollege.edu/user/view.php?id=5900&amp;course=5381" TargetMode="External"/><Relationship Id="rId4" Type="http://schemas.openxmlformats.org/officeDocument/2006/relationships/hyperlink" Target="https://myonline.regiscollege.edu/user/view.php?id=3741&amp;course=5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5115</Characters>
  <Application>Microsoft Office Word</Application>
  <DocSecurity>0</DocSecurity>
  <Lines>88</Lines>
  <Paragraphs>11</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5</cp:revision>
  <dcterms:created xsi:type="dcterms:W3CDTF">2024-01-18T04:40:00Z</dcterms:created>
  <dcterms:modified xsi:type="dcterms:W3CDTF">2024-01-18T04:50:00Z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0674464d-6806-4a17-a680-57b85d9e177e</vt:lpwstr>
  </property>
</Properties>
</file>