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E3FD5" w14:textId="77777777" w:rsidR="00A47497" w:rsidRPr="00A47497" w:rsidRDefault="00A47497" w:rsidP="00A47497">
      <w:pPr>
        <w:spacing w:after="0" w:line="240" w:lineRule="auto"/>
        <w:outlineLvl w:val="2"/>
        <w:rPr>
          <w:rFonts w:ascii="var(--font-family-display)" w:eastAsia="Times New Roman" w:hAnsi="var(--font-family-display)"/>
          <w:b/>
          <w:bCs/>
          <w:kern w:val="0"/>
          <w:sz w:val="27"/>
          <w:szCs w:val="27"/>
          <w14:ligatures w14:val="none"/>
        </w:rPr>
      </w:pPr>
      <w:r w:rsidRPr="00A47497">
        <w:rPr>
          <w:rFonts w:ascii="var(--font-family-display)" w:eastAsia="Times New Roman" w:hAnsi="var(--font-family-display)"/>
          <w:b/>
          <w:bCs/>
          <w:kern w:val="0"/>
          <w:sz w:val="27"/>
          <w:szCs w:val="27"/>
          <w14:ligatures w14:val="none"/>
        </w:rPr>
        <w:t>Re: Week 4 Discussion 1: Limited English Proficiency (LEP)</w:t>
      </w:r>
    </w:p>
    <w:p w14:paraId="2FC3D95F" w14:textId="77777777" w:rsidR="00A47497" w:rsidRPr="00A47497" w:rsidRDefault="00A47497" w:rsidP="00A47497">
      <w:pPr>
        <w:spacing w:after="0"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t>by </w:t>
      </w:r>
      <w:hyperlink r:id="rId4" w:history="1">
        <w:r w:rsidRPr="00A47497">
          <w:rPr>
            <w:rFonts w:ascii="Times New Roman" w:eastAsia="Times New Roman" w:hAnsi="Times New Roman"/>
            <w:color w:val="0000FF"/>
            <w:kern w:val="0"/>
            <w:sz w:val="24"/>
            <w:szCs w:val="24"/>
            <w:u w:val="single"/>
            <w14:ligatures w14:val="none"/>
          </w:rPr>
          <w:t>Kimberly Wilkinson</w:t>
        </w:r>
      </w:hyperlink>
      <w:r w:rsidRPr="00A47497">
        <w:rPr>
          <w:rFonts w:ascii="Times New Roman" w:eastAsia="Times New Roman" w:hAnsi="Times New Roman"/>
          <w:kern w:val="0"/>
          <w:sz w:val="24"/>
          <w:szCs w:val="24"/>
          <w14:ligatures w14:val="none"/>
        </w:rPr>
        <w:t> - Saturday, 20 January 2024, 3:54 PM</w:t>
      </w:r>
    </w:p>
    <w:p w14:paraId="0776E942" w14:textId="77777777" w:rsidR="00A47497" w:rsidRPr="00A47497" w:rsidRDefault="00A47497" w:rsidP="00A47497">
      <w:pPr>
        <w:spacing w:after="0" w:line="240" w:lineRule="auto"/>
        <w:rPr>
          <w:rFonts w:ascii="Times New Roman" w:eastAsia="Times New Roman" w:hAnsi="Times New Roman"/>
          <w:kern w:val="0"/>
          <w:sz w:val="24"/>
          <w:szCs w:val="24"/>
          <w14:ligatures w14:val="none"/>
        </w:rPr>
      </w:pPr>
      <w:r w:rsidRPr="00A47497">
        <w:rPr>
          <w:rFonts w:ascii="Times New Roman" w:eastAsia="Times New Roman" w:hAnsi="Times New Roman"/>
          <w:b/>
          <w:bCs/>
          <w:kern w:val="0"/>
          <w:sz w:val="24"/>
          <w:szCs w:val="24"/>
          <w14:ligatures w14:val="none"/>
        </w:rPr>
        <w:t>Describe a situation in which you encountered a patient, without patient identifiers used, with Limited English Proficiency that you saw in clinic. Explain how this made you feel and delineate the strategies you use to assure that the patient is prepared before leaving with a solid plan of care that the family agrees with. </w:t>
      </w:r>
    </w:p>
    <w:p w14:paraId="77DF30FC"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t xml:space="preserve">Working in and around the Boston area, I have encountered so many examples of families with Limited English Proficiency. This is typically of varying degrees and is not just one culture. I can think of examples of LEP within the Hispanic culture, Chinese </w:t>
      </w:r>
      <w:proofErr w:type="gramStart"/>
      <w:r w:rsidRPr="00A47497">
        <w:rPr>
          <w:rFonts w:ascii="Times New Roman" w:eastAsia="Times New Roman" w:hAnsi="Times New Roman"/>
          <w:kern w:val="0"/>
          <w:sz w:val="24"/>
          <w:szCs w:val="24"/>
          <w14:ligatures w14:val="none"/>
        </w:rPr>
        <w:t>culture</w:t>
      </w:r>
      <w:proofErr w:type="gramEnd"/>
      <w:r w:rsidRPr="00A47497">
        <w:rPr>
          <w:rFonts w:ascii="Times New Roman" w:eastAsia="Times New Roman" w:hAnsi="Times New Roman"/>
          <w:kern w:val="0"/>
          <w:sz w:val="24"/>
          <w:szCs w:val="24"/>
          <w14:ligatures w14:val="none"/>
        </w:rPr>
        <w:t xml:space="preserve"> and Middle Eastern cultures. One example that is probably among the most interesting is that of a young Chinese couple who move to Boston to open a Chinese restaurant and live a “better” life. They were young, probably early – mid 20’s, very lovely, married couple with minimal family support here in the United States. Both husband and wife had involved family, but they lived in China. Shortly after moving here, they became pregnant with their first child, a girl. She was born prematurely and although she was doing well overall, she struggled with eating. It was an uphill battle to get this little girl to eat and took a lot of education on the part of healthcare workers to help Mom and Dad. They did not understand the English language, or the language of “medicine.” Since this situation occurred early on in my career this is probably one of the first encounters of understanding the differences in the cultural “language” of medicine (Karmali et al., 2023). Not knowing medical jargon is a huge concern for those that speak English, this makes the complex language of healthcare that much more difficult to follow when having what may be considered a relatively simple conversation (Karmali et al., 2023).  </w:t>
      </w:r>
    </w:p>
    <w:p w14:paraId="48673399"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t xml:space="preserve">To be honest, it was frustrating sometimes because there were </w:t>
      </w:r>
      <w:proofErr w:type="gramStart"/>
      <w:r w:rsidRPr="00A47497">
        <w:rPr>
          <w:rFonts w:ascii="Times New Roman" w:eastAsia="Times New Roman" w:hAnsi="Times New Roman"/>
          <w:kern w:val="0"/>
          <w:sz w:val="24"/>
          <w:szCs w:val="24"/>
          <w14:ligatures w14:val="none"/>
        </w:rPr>
        <w:t>interventions</w:t>
      </w:r>
      <w:proofErr w:type="gramEnd"/>
      <w:r w:rsidRPr="00A47497">
        <w:rPr>
          <w:rFonts w:ascii="Times New Roman" w:eastAsia="Times New Roman" w:hAnsi="Times New Roman"/>
          <w:kern w:val="0"/>
          <w:sz w:val="24"/>
          <w:szCs w:val="24"/>
          <w14:ligatures w14:val="none"/>
        </w:rPr>
        <w:t xml:space="preserve"> we knew we could use to help the baby, but the family would not accept them. As a result, education had to be completed frequently, with interpretation, and done in a comprehensive manner with show back to ensure understanding. When working with families that may have limited English proficiency it is important to ensure understanding and asking the family to teach back or repeat back what they have heard clarifies that the information was interpreted correctly (Karmali et al., 2023).  </w:t>
      </w:r>
    </w:p>
    <w:p w14:paraId="3A335EC2"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t xml:space="preserve">To ensure a safe discharge home we held several teaching “sessions” with both </w:t>
      </w:r>
      <w:proofErr w:type="gramStart"/>
      <w:r w:rsidRPr="00A47497">
        <w:rPr>
          <w:rFonts w:ascii="Times New Roman" w:eastAsia="Times New Roman" w:hAnsi="Times New Roman"/>
          <w:kern w:val="0"/>
          <w:sz w:val="24"/>
          <w:szCs w:val="24"/>
          <w14:ligatures w14:val="none"/>
        </w:rPr>
        <w:t>Mom</w:t>
      </w:r>
      <w:proofErr w:type="gramEnd"/>
      <w:r w:rsidRPr="00A47497">
        <w:rPr>
          <w:rFonts w:ascii="Times New Roman" w:eastAsia="Times New Roman" w:hAnsi="Times New Roman"/>
          <w:kern w:val="0"/>
          <w:sz w:val="24"/>
          <w:szCs w:val="24"/>
          <w14:ligatures w14:val="none"/>
        </w:rPr>
        <w:t xml:space="preserve"> and Dad present, in Mandarin. We reviewed bottles, bottle cleaning/sterilizing, </w:t>
      </w:r>
      <w:proofErr w:type="gramStart"/>
      <w:r w:rsidRPr="00A47497">
        <w:rPr>
          <w:rFonts w:ascii="Times New Roman" w:eastAsia="Times New Roman" w:hAnsi="Times New Roman"/>
          <w:kern w:val="0"/>
          <w:sz w:val="24"/>
          <w:szCs w:val="24"/>
          <w14:ligatures w14:val="none"/>
        </w:rPr>
        <w:t>tips</w:t>
      </w:r>
      <w:proofErr w:type="gramEnd"/>
      <w:r w:rsidRPr="00A47497">
        <w:rPr>
          <w:rFonts w:ascii="Times New Roman" w:eastAsia="Times New Roman" w:hAnsi="Times New Roman"/>
          <w:kern w:val="0"/>
          <w:sz w:val="24"/>
          <w:szCs w:val="24"/>
          <w14:ligatures w14:val="none"/>
        </w:rPr>
        <w:t xml:space="preserve"> and techniques to ensure baby got a full feeding/calories and methods to keep the baby awake while eating. In addition, we hooked the family up with an outpatient speech and language clinic through Tufts Medical Center that has a high mandarin population for feeding support and gave the family written literature in Mandarin. As represented in Table 5.7 (Breen, 1999; McPhee, 2002 &amp; Putsch, 1985) the healthcare team worked hard to have several teaching sessions to repeat information and offer time for questions and clarification, the team worked hard to organize the information and avoid medical jargon as well as common social terms to avoid confusion, summarization was used as well as rephrasing for clarity when asked (Breen, 1999; McPhee, 2002; Putsch, 1985 as cited by Karmali et al., 2023).   </w:t>
      </w:r>
    </w:p>
    <w:p w14:paraId="5FC6FAB6" w14:textId="77777777" w:rsidR="00A47497" w:rsidRPr="00A47497" w:rsidRDefault="00A47497" w:rsidP="00A47497">
      <w:pPr>
        <w:spacing w:after="0" w:line="240" w:lineRule="auto"/>
        <w:rPr>
          <w:rFonts w:ascii="Times New Roman" w:eastAsia="Times New Roman" w:hAnsi="Times New Roman"/>
          <w:kern w:val="0"/>
          <w:sz w:val="24"/>
          <w:szCs w:val="24"/>
          <w14:ligatures w14:val="none"/>
        </w:rPr>
      </w:pPr>
      <w:r w:rsidRPr="00A47497">
        <w:rPr>
          <w:rFonts w:ascii="Times New Roman" w:eastAsia="Times New Roman" w:hAnsi="Times New Roman"/>
          <w:b/>
          <w:bCs/>
          <w:kern w:val="0"/>
          <w:sz w:val="24"/>
          <w:szCs w:val="24"/>
          <w14:ligatures w14:val="none"/>
        </w:rPr>
        <w:t>What changes would you consider incorporating into your daily practice as a DNP upon graduation focusing on Cross-Cultural Communication? </w:t>
      </w:r>
    </w:p>
    <w:p w14:paraId="6F8D07D5" w14:textId="77777777" w:rsidR="00A47497" w:rsidRPr="00A47497" w:rsidRDefault="00A47497" w:rsidP="00A47497">
      <w:pPr>
        <w:spacing w:after="0" w:line="240" w:lineRule="auto"/>
        <w:rPr>
          <w:rFonts w:ascii="Times New Roman" w:eastAsia="Times New Roman" w:hAnsi="Times New Roman"/>
          <w:kern w:val="0"/>
          <w:sz w:val="24"/>
          <w:szCs w:val="24"/>
          <w14:ligatures w14:val="none"/>
        </w:rPr>
      </w:pPr>
      <w:r w:rsidRPr="00A47497">
        <w:rPr>
          <w:rFonts w:ascii="Times New Roman" w:eastAsia="Times New Roman" w:hAnsi="Times New Roman"/>
          <w:b/>
          <w:bCs/>
          <w:kern w:val="0"/>
          <w:sz w:val="24"/>
          <w:szCs w:val="24"/>
          <w14:ligatures w14:val="none"/>
        </w:rPr>
        <w:br/>
      </w:r>
    </w:p>
    <w:p w14:paraId="10726FEA"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lastRenderedPageBreak/>
        <w:t xml:space="preserve">Learning about culture is not one stop shopping, nor is it something that happens in a single course or review module, however when combined with simulation and on-going training can support increased competence in cultural understanding for nurses (Červený et al., 2022). I think incorporating cross-cultural communication competence into daily practice is going to start with ongoing educational opportunities overtime that allow for reflection, </w:t>
      </w:r>
      <w:proofErr w:type="gramStart"/>
      <w:r w:rsidRPr="00A47497">
        <w:rPr>
          <w:rFonts w:ascii="Times New Roman" w:eastAsia="Times New Roman" w:hAnsi="Times New Roman"/>
          <w:kern w:val="0"/>
          <w:sz w:val="24"/>
          <w:szCs w:val="24"/>
          <w14:ligatures w14:val="none"/>
        </w:rPr>
        <w:t>training</w:t>
      </w:r>
      <w:proofErr w:type="gramEnd"/>
      <w:r w:rsidRPr="00A47497">
        <w:rPr>
          <w:rFonts w:ascii="Times New Roman" w:eastAsia="Times New Roman" w:hAnsi="Times New Roman"/>
          <w:kern w:val="0"/>
          <w:sz w:val="24"/>
          <w:szCs w:val="24"/>
          <w14:ligatures w14:val="none"/>
        </w:rPr>
        <w:t xml:space="preserve"> and awareness (Červený et al., 2022). I am going to make it a goal to cover some of my continuing education with cultural education. I know that it improves patient satisfaction and improves provider sensitivity (Červený et al., 2022). By doing this, my daily practice will change because my yearly education has changed. </w:t>
      </w:r>
    </w:p>
    <w:p w14:paraId="113C2F77"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b/>
          <w:bCs/>
          <w:kern w:val="0"/>
          <w:sz w:val="24"/>
          <w:szCs w:val="24"/>
          <w14:ligatures w14:val="none"/>
        </w:rPr>
        <w:t>In Chapter 5, effective communication is discussed, and a statement is made at the end of the Chapter that “Communication is more than a verbal exchange.” Reflect on this statement and identify two nonverbal factors that influence communication. </w:t>
      </w:r>
    </w:p>
    <w:p w14:paraId="4CF59855"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t>A quick google search reveals that approximately 45% of communication is spent listening, this is just shy of half an exchange. As healthcare providers, we must spend our time, maybe even more than 45%, listening to what our patients are saying and what they are not saying. Table 5.6 (Rivers, 2015 &amp; Tennant et al., 2020) gives a list of active listening techniques that healthcare providers can employ in their interactions. While they are all excellent tips, a couple were especially great reminders. Do not start talking until you have heard the whole story and clarified that you have heard the story correctly (Rivers, 2015 &amp; Tennant et al., 2020 as cited by Karmali et al., 2023). In the fast-paced world of healthcare, it is incredibly easy to begin formulating a response before the patient has even gotten to the third sentence of their concern. If I already have an answer, I will likely miss out on the other half of the concern which could (and very likely will) change my answer! Another excellent tip is to focus on the patient in front of you without getting distracted (Rivers, 2015 &amp; Tennant et al., 2020 as cited by Karmali et al., 2023). As a healthcare worker I multitask with incredible proficiency. In fact, I would argue that most of us do. We must if we are going to get through our list of tasks for the day and keep our patients alive! It is imperative that we stay focused on who is in front of us, giving them our undivided attention because really, they deserve nothing less. </w:t>
      </w:r>
    </w:p>
    <w:p w14:paraId="04E1E640"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b/>
          <w:bCs/>
          <w:kern w:val="0"/>
          <w:sz w:val="24"/>
          <w:szCs w:val="24"/>
          <w14:ligatures w14:val="none"/>
        </w:rPr>
        <w:t>References </w:t>
      </w:r>
    </w:p>
    <w:p w14:paraId="694AD1E8"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t>Breen, L. (1999). What should I do if my patient does not speak English? </w:t>
      </w:r>
      <w:r w:rsidRPr="00A47497">
        <w:rPr>
          <w:rFonts w:ascii="Times New Roman" w:eastAsia="Times New Roman" w:hAnsi="Times New Roman"/>
          <w:i/>
          <w:iCs/>
          <w:kern w:val="0"/>
          <w:sz w:val="24"/>
          <w:szCs w:val="24"/>
          <w14:ligatures w14:val="none"/>
        </w:rPr>
        <w:t>Journal of the American Medical Association, 282</w:t>
      </w:r>
      <w:r w:rsidRPr="00A47497">
        <w:rPr>
          <w:rFonts w:ascii="Times New Roman" w:eastAsia="Times New Roman" w:hAnsi="Times New Roman"/>
          <w:kern w:val="0"/>
          <w:sz w:val="24"/>
          <w:szCs w:val="24"/>
          <w14:ligatures w14:val="none"/>
        </w:rPr>
        <w:t>(9), 819. </w:t>
      </w:r>
    </w:p>
    <w:p w14:paraId="76639502"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t xml:space="preserve">Červený, M., Kratochvílová, I., </w:t>
      </w:r>
      <w:proofErr w:type="spellStart"/>
      <w:r w:rsidRPr="00A47497">
        <w:rPr>
          <w:rFonts w:ascii="Times New Roman" w:eastAsia="Times New Roman" w:hAnsi="Times New Roman"/>
          <w:kern w:val="0"/>
          <w:sz w:val="24"/>
          <w:szCs w:val="24"/>
          <w14:ligatures w14:val="none"/>
        </w:rPr>
        <w:t>Hellerová</w:t>
      </w:r>
      <w:proofErr w:type="spellEnd"/>
      <w:r w:rsidRPr="00A47497">
        <w:rPr>
          <w:rFonts w:ascii="Times New Roman" w:eastAsia="Times New Roman" w:hAnsi="Times New Roman"/>
          <w:kern w:val="0"/>
          <w:sz w:val="24"/>
          <w:szCs w:val="24"/>
          <w14:ligatures w14:val="none"/>
        </w:rPr>
        <w:t xml:space="preserve">, V., &amp; </w:t>
      </w:r>
      <w:proofErr w:type="spellStart"/>
      <w:r w:rsidRPr="00A47497">
        <w:rPr>
          <w:rFonts w:ascii="Times New Roman" w:eastAsia="Times New Roman" w:hAnsi="Times New Roman"/>
          <w:kern w:val="0"/>
          <w:sz w:val="24"/>
          <w:szCs w:val="24"/>
          <w14:ligatures w14:val="none"/>
        </w:rPr>
        <w:t>Tóthová</w:t>
      </w:r>
      <w:proofErr w:type="spellEnd"/>
      <w:r w:rsidRPr="00A47497">
        <w:rPr>
          <w:rFonts w:ascii="Times New Roman" w:eastAsia="Times New Roman" w:hAnsi="Times New Roman"/>
          <w:kern w:val="0"/>
          <w:sz w:val="24"/>
          <w:szCs w:val="24"/>
          <w14:ligatures w14:val="none"/>
        </w:rPr>
        <w:t>, V. (2022). Methods of increasing cultural competence in nurses working in clinical practice: A scoping review of literature 2011-2021. </w:t>
      </w:r>
      <w:r w:rsidRPr="00A47497">
        <w:rPr>
          <w:rFonts w:ascii="Times New Roman" w:eastAsia="Times New Roman" w:hAnsi="Times New Roman"/>
          <w:i/>
          <w:iCs/>
          <w:kern w:val="0"/>
          <w:sz w:val="24"/>
          <w:szCs w:val="24"/>
          <w14:ligatures w14:val="none"/>
        </w:rPr>
        <w:t>Frontiers in Psychology 13</w:t>
      </w:r>
      <w:r w:rsidRPr="00A47497">
        <w:rPr>
          <w:rFonts w:ascii="Times New Roman" w:eastAsia="Times New Roman" w:hAnsi="Times New Roman"/>
          <w:kern w:val="0"/>
          <w:sz w:val="24"/>
          <w:szCs w:val="24"/>
          <w14:ligatures w14:val="none"/>
        </w:rPr>
        <w:t>(936181). </w:t>
      </w:r>
      <w:hyperlink r:id="rId5" w:tgtFrame="_blank" w:history="1">
        <w:r w:rsidRPr="00A47497">
          <w:rPr>
            <w:rFonts w:ascii="Times New Roman" w:eastAsia="Times New Roman" w:hAnsi="Times New Roman"/>
            <w:color w:val="0000FF"/>
            <w:kern w:val="0"/>
            <w:sz w:val="24"/>
            <w:szCs w:val="24"/>
            <w:u w:val="single"/>
            <w14:ligatures w14:val="none"/>
          </w:rPr>
          <w:t>https://doi.org/10.3389/fpsyg.2022.936181</w:t>
        </w:r>
      </w:hyperlink>
      <w:r w:rsidRPr="00A47497">
        <w:rPr>
          <w:rFonts w:ascii="Times New Roman" w:eastAsia="Times New Roman" w:hAnsi="Times New Roman"/>
          <w:kern w:val="0"/>
          <w:sz w:val="24"/>
          <w:szCs w:val="24"/>
          <w14:ligatures w14:val="none"/>
        </w:rPr>
        <w:t> </w:t>
      </w:r>
    </w:p>
    <w:p w14:paraId="655864DC"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t>Karmali, K., Sappleton, K. &amp; Srivastava, R. (2023). Cross-cultural communication. In R. Srivastava (Ed.), </w:t>
      </w:r>
      <w:r w:rsidRPr="00A47497">
        <w:rPr>
          <w:rFonts w:ascii="Times New Roman" w:eastAsia="Times New Roman" w:hAnsi="Times New Roman"/>
          <w:i/>
          <w:iCs/>
          <w:kern w:val="0"/>
          <w:sz w:val="24"/>
          <w:szCs w:val="24"/>
          <w14:ligatures w14:val="none"/>
        </w:rPr>
        <w:t>The healthcare professional’s guide to cultural competence</w:t>
      </w:r>
      <w:r w:rsidRPr="00A47497">
        <w:rPr>
          <w:rFonts w:ascii="Times New Roman" w:eastAsia="Times New Roman" w:hAnsi="Times New Roman"/>
          <w:kern w:val="0"/>
          <w:sz w:val="24"/>
          <w:szCs w:val="24"/>
          <w14:ligatures w14:val="none"/>
        </w:rPr>
        <w:t> (2nd ed., pp. 109-130). Elsevier. </w:t>
      </w:r>
    </w:p>
    <w:p w14:paraId="0B2244EF"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t>McPhee, S. (2002). Caring for a 70-year-old Vietnamese woman. </w:t>
      </w:r>
      <w:r w:rsidRPr="00A47497">
        <w:rPr>
          <w:rFonts w:ascii="Times New Roman" w:eastAsia="Times New Roman" w:hAnsi="Times New Roman"/>
          <w:i/>
          <w:iCs/>
          <w:kern w:val="0"/>
          <w:sz w:val="24"/>
          <w:szCs w:val="24"/>
          <w14:ligatures w14:val="none"/>
        </w:rPr>
        <w:t>Journal of the American Medical Association 287</w:t>
      </w:r>
      <w:r w:rsidRPr="00A47497">
        <w:rPr>
          <w:rFonts w:ascii="Times New Roman" w:eastAsia="Times New Roman" w:hAnsi="Times New Roman"/>
          <w:kern w:val="0"/>
          <w:sz w:val="24"/>
          <w:szCs w:val="24"/>
          <w14:ligatures w14:val="none"/>
        </w:rPr>
        <w:t>(4), 495–503. </w:t>
      </w:r>
    </w:p>
    <w:p w14:paraId="3CBB45B6"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lastRenderedPageBreak/>
        <w:t>Putsch, R. W. (1985). Cross-cultural communication. The special case of interpreters in health care. </w:t>
      </w:r>
      <w:r w:rsidRPr="00A47497">
        <w:rPr>
          <w:rFonts w:ascii="Times New Roman" w:eastAsia="Times New Roman" w:hAnsi="Times New Roman"/>
          <w:i/>
          <w:iCs/>
          <w:kern w:val="0"/>
          <w:sz w:val="24"/>
          <w:szCs w:val="24"/>
          <w14:ligatures w14:val="none"/>
        </w:rPr>
        <w:t>Journal of the American Medical Association, 254</w:t>
      </w:r>
      <w:r w:rsidRPr="00A47497">
        <w:rPr>
          <w:rFonts w:ascii="Times New Roman" w:eastAsia="Times New Roman" w:hAnsi="Times New Roman"/>
          <w:kern w:val="0"/>
          <w:sz w:val="24"/>
          <w:szCs w:val="24"/>
          <w14:ligatures w14:val="none"/>
        </w:rPr>
        <w:t>(23), 3344–3348. </w:t>
      </w:r>
    </w:p>
    <w:p w14:paraId="776E3C7E"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t>Rivers, D. (2015). </w:t>
      </w:r>
      <w:r w:rsidRPr="00A47497">
        <w:rPr>
          <w:rFonts w:ascii="Times New Roman" w:eastAsia="Times New Roman" w:hAnsi="Times New Roman"/>
          <w:i/>
          <w:iCs/>
          <w:kern w:val="0"/>
          <w:sz w:val="24"/>
          <w:szCs w:val="24"/>
          <w14:ligatures w14:val="none"/>
        </w:rPr>
        <w:t>Cooperative communication skills for success at home and at work.</w:t>
      </w:r>
      <w:r w:rsidRPr="00A47497">
        <w:rPr>
          <w:rFonts w:ascii="Times New Roman" w:eastAsia="Times New Roman" w:hAnsi="Times New Roman"/>
          <w:kern w:val="0"/>
          <w:sz w:val="24"/>
          <w:szCs w:val="24"/>
          <w14:ligatures w14:val="none"/>
        </w:rPr>
        <w:t> https://newconversations.net/sevenchallenges.pdf. </w:t>
      </w:r>
    </w:p>
    <w:p w14:paraId="5B13A4C2"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t>Tennant, K., Long, A., &amp; Toney-Butler, T. J. (2020). Active listening. In </w:t>
      </w:r>
      <w:proofErr w:type="spellStart"/>
      <w:r w:rsidRPr="00A47497">
        <w:rPr>
          <w:rFonts w:ascii="Times New Roman" w:eastAsia="Times New Roman" w:hAnsi="Times New Roman"/>
          <w:i/>
          <w:iCs/>
          <w:kern w:val="0"/>
          <w:sz w:val="24"/>
          <w:szCs w:val="24"/>
          <w14:ligatures w14:val="none"/>
        </w:rPr>
        <w:t>StatPearls</w:t>
      </w:r>
      <w:proofErr w:type="spellEnd"/>
      <w:r w:rsidRPr="00A47497">
        <w:rPr>
          <w:rFonts w:ascii="Times New Roman" w:eastAsia="Times New Roman" w:hAnsi="Times New Roman"/>
          <w:kern w:val="0"/>
          <w:sz w:val="24"/>
          <w:szCs w:val="24"/>
          <w14:ligatures w14:val="none"/>
        </w:rPr>
        <w:t xml:space="preserve">. </w:t>
      </w:r>
      <w:proofErr w:type="spellStart"/>
      <w:r w:rsidRPr="00A47497">
        <w:rPr>
          <w:rFonts w:ascii="Times New Roman" w:eastAsia="Times New Roman" w:hAnsi="Times New Roman"/>
          <w:kern w:val="0"/>
          <w:sz w:val="24"/>
          <w:szCs w:val="24"/>
          <w14:ligatures w14:val="none"/>
        </w:rPr>
        <w:t>StatPearls</w:t>
      </w:r>
      <w:proofErr w:type="spellEnd"/>
      <w:r w:rsidRPr="00A47497">
        <w:rPr>
          <w:rFonts w:ascii="Times New Roman" w:eastAsia="Times New Roman" w:hAnsi="Times New Roman"/>
          <w:kern w:val="0"/>
          <w:sz w:val="24"/>
          <w:szCs w:val="24"/>
          <w14:ligatures w14:val="none"/>
        </w:rPr>
        <w:t xml:space="preserve"> Publishing. </w:t>
      </w:r>
    </w:p>
    <w:p w14:paraId="1BA49167" w14:textId="77777777" w:rsidR="00A47497" w:rsidRPr="00A47497" w:rsidRDefault="00A47497" w:rsidP="00A47497">
      <w:pPr>
        <w:spacing w:after="0"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br/>
      </w:r>
    </w:p>
    <w:p w14:paraId="136AD79D" w14:textId="77777777" w:rsidR="00A47497" w:rsidRPr="00A47497" w:rsidRDefault="00A47497" w:rsidP="00A47497">
      <w:pPr>
        <w:spacing w:after="0" w:line="240" w:lineRule="auto"/>
        <w:rPr>
          <w:rFonts w:ascii="Times New Roman" w:eastAsia="Times New Roman" w:hAnsi="Times New Roman"/>
          <w:i/>
          <w:iCs/>
          <w:kern w:val="0"/>
          <w:sz w:val="24"/>
          <w:szCs w:val="24"/>
          <w14:ligatures w14:val="none"/>
        </w:rPr>
      </w:pPr>
      <w:r w:rsidRPr="00A47497">
        <w:rPr>
          <w:rFonts w:ascii="Times New Roman" w:eastAsia="Times New Roman" w:hAnsi="Times New Roman"/>
          <w:i/>
          <w:iCs/>
          <w:kern w:val="0"/>
          <w:sz w:val="18"/>
          <w:szCs w:val="18"/>
          <w14:ligatures w14:val="none"/>
        </w:rPr>
        <w:t>1151 words</w:t>
      </w:r>
    </w:p>
    <w:p w14:paraId="04DE688C" w14:textId="77777777" w:rsidR="00A47497" w:rsidRPr="00A47497" w:rsidRDefault="00A47497" w:rsidP="00A47497">
      <w:pPr>
        <w:spacing w:after="0" w:line="240" w:lineRule="auto"/>
        <w:rPr>
          <w:rFonts w:ascii="Times New Roman" w:eastAsia="Times New Roman" w:hAnsi="Times New Roman"/>
          <w:kern w:val="0"/>
          <w:sz w:val="24"/>
          <w:szCs w:val="24"/>
          <w14:ligatures w14:val="none"/>
        </w:rPr>
      </w:pPr>
      <w:hyperlink r:id="rId6" w:anchor="p1799609" w:tooltip="Permanent link to this post" w:history="1">
        <w:proofErr w:type="spellStart"/>
        <w:r w:rsidRPr="00A47497">
          <w:rPr>
            <w:rFonts w:ascii="Times New Roman" w:eastAsia="Times New Roman" w:hAnsi="Times New Roman"/>
            <w:color w:val="0000FF"/>
            <w:kern w:val="0"/>
            <w:sz w:val="24"/>
            <w:szCs w:val="24"/>
            <w:u w:val="single"/>
            <w14:ligatures w14:val="none"/>
          </w:rPr>
          <w:t>Permalink</w:t>
        </w:r>
      </w:hyperlink>
      <w:hyperlink r:id="rId7" w:anchor="p1772707" w:tooltip="Permanent link to the parent of this post" w:history="1">
        <w:r w:rsidRPr="00A47497">
          <w:rPr>
            <w:rFonts w:ascii="Times New Roman" w:eastAsia="Times New Roman" w:hAnsi="Times New Roman"/>
            <w:color w:val="0000FF"/>
            <w:kern w:val="0"/>
            <w:sz w:val="24"/>
            <w:szCs w:val="24"/>
            <w:u w:val="single"/>
            <w14:ligatures w14:val="none"/>
          </w:rPr>
          <w:t>Show</w:t>
        </w:r>
        <w:proofErr w:type="spellEnd"/>
        <w:r w:rsidRPr="00A47497">
          <w:rPr>
            <w:rFonts w:ascii="Times New Roman" w:eastAsia="Times New Roman" w:hAnsi="Times New Roman"/>
            <w:color w:val="0000FF"/>
            <w:kern w:val="0"/>
            <w:sz w:val="24"/>
            <w:szCs w:val="24"/>
            <w:u w:val="single"/>
            <w14:ligatures w14:val="none"/>
          </w:rPr>
          <w:t xml:space="preserve"> </w:t>
        </w:r>
        <w:proofErr w:type="spellStart"/>
        <w:r w:rsidRPr="00A47497">
          <w:rPr>
            <w:rFonts w:ascii="Times New Roman" w:eastAsia="Times New Roman" w:hAnsi="Times New Roman"/>
            <w:color w:val="0000FF"/>
            <w:kern w:val="0"/>
            <w:sz w:val="24"/>
            <w:szCs w:val="24"/>
            <w:u w:val="single"/>
            <w14:ligatures w14:val="none"/>
          </w:rPr>
          <w:t>parent</w:t>
        </w:r>
      </w:hyperlink>
      <w:hyperlink r:id="rId8" w:anchor="mformforum" w:tooltip="Reply" w:history="1">
        <w:r w:rsidRPr="00A47497">
          <w:rPr>
            <w:rFonts w:ascii="Times New Roman" w:eastAsia="Times New Roman" w:hAnsi="Times New Roman"/>
            <w:color w:val="0000FF"/>
            <w:kern w:val="0"/>
            <w:sz w:val="24"/>
            <w:szCs w:val="24"/>
            <w:u w:val="single"/>
            <w14:ligatures w14:val="none"/>
          </w:rPr>
          <w:t>Reply</w:t>
        </w:r>
        <w:proofErr w:type="spellEnd"/>
      </w:hyperlink>
    </w:p>
    <w:p w14:paraId="635D7369" w14:textId="77777777" w:rsidR="00A47497" w:rsidRPr="00A47497" w:rsidRDefault="00A47497" w:rsidP="00A47497">
      <w:pPr>
        <w:spacing w:after="0" w:line="240" w:lineRule="auto"/>
        <w:rPr>
          <w:rFonts w:ascii="Times New Roman" w:eastAsia="Times New Roman" w:hAnsi="Times New Roman"/>
          <w:kern w:val="0"/>
          <w:sz w:val="24"/>
          <w:szCs w:val="24"/>
          <w14:ligatures w14:val="none"/>
        </w:rPr>
      </w:pPr>
      <w:r w:rsidRPr="00A47497">
        <w:rPr>
          <w:rFonts w:ascii="Times New Roman" w:eastAsia="Times New Roman" w:hAnsi="Times New Roman"/>
          <w:noProof/>
          <w:kern w:val="0"/>
          <w:sz w:val="24"/>
          <w:szCs w:val="24"/>
          <w14:ligatures w14:val="none"/>
        </w:rPr>
        <mc:AlternateContent>
          <mc:Choice Requires="wps">
            <w:drawing>
              <wp:inline distT="0" distB="0" distL="0" distR="0" wp14:anchorId="49C711CB" wp14:editId="75026D1D">
                <wp:extent cx="304800" cy="304800"/>
                <wp:effectExtent l="0" t="0" r="0" b="0"/>
                <wp:docPr id="1072233934" name="AutoShape 2" descr="Picture of Taqiyyah Betti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A43B63" id="AutoShape 2" o:spid="_x0000_s1026" alt="Picture of Taqiyyah Betti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32177F6" w14:textId="77777777" w:rsidR="00A47497" w:rsidRPr="00A47497" w:rsidRDefault="00A47497" w:rsidP="00A47497">
      <w:pPr>
        <w:spacing w:after="0" w:line="240" w:lineRule="auto"/>
        <w:outlineLvl w:val="2"/>
        <w:rPr>
          <w:rFonts w:ascii="var(--font-family-display)" w:eastAsia="Times New Roman" w:hAnsi="var(--font-family-display)"/>
          <w:b/>
          <w:bCs/>
          <w:kern w:val="0"/>
          <w:sz w:val="27"/>
          <w:szCs w:val="27"/>
          <w14:ligatures w14:val="none"/>
        </w:rPr>
      </w:pPr>
      <w:r w:rsidRPr="00A47497">
        <w:rPr>
          <w:rFonts w:ascii="var(--font-family-display)" w:eastAsia="Times New Roman" w:hAnsi="var(--font-family-display)"/>
          <w:b/>
          <w:bCs/>
          <w:kern w:val="0"/>
          <w:sz w:val="27"/>
          <w:szCs w:val="27"/>
          <w14:ligatures w14:val="none"/>
        </w:rPr>
        <w:t>Re: Week 4 Discussion 1: Limited English Proficiency (LEP)</w:t>
      </w:r>
    </w:p>
    <w:p w14:paraId="0603D2AA" w14:textId="77777777" w:rsidR="00A47497" w:rsidRPr="00A47497" w:rsidRDefault="00A47497" w:rsidP="00A47497">
      <w:pPr>
        <w:spacing w:after="0"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t>by </w:t>
      </w:r>
      <w:hyperlink r:id="rId9" w:history="1">
        <w:r w:rsidRPr="00A47497">
          <w:rPr>
            <w:rFonts w:ascii="Times New Roman" w:eastAsia="Times New Roman" w:hAnsi="Times New Roman"/>
            <w:color w:val="0000FF"/>
            <w:kern w:val="0"/>
            <w:sz w:val="24"/>
            <w:szCs w:val="24"/>
            <w:u w:val="single"/>
            <w14:ligatures w14:val="none"/>
          </w:rPr>
          <w:t>Taqiyyah Betties</w:t>
        </w:r>
      </w:hyperlink>
      <w:r w:rsidRPr="00A47497">
        <w:rPr>
          <w:rFonts w:ascii="Times New Roman" w:eastAsia="Times New Roman" w:hAnsi="Times New Roman"/>
          <w:kern w:val="0"/>
          <w:sz w:val="24"/>
          <w:szCs w:val="24"/>
          <w14:ligatures w14:val="none"/>
        </w:rPr>
        <w:t> - Sunday, 21 January 2024, 9:28 PM</w:t>
      </w:r>
    </w:p>
    <w:p w14:paraId="5BB5835F"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b/>
          <w:bCs/>
          <w:kern w:val="0"/>
          <w:sz w:val="24"/>
          <w:szCs w:val="24"/>
          <w14:ligatures w14:val="none"/>
        </w:rPr>
        <w:t>Describe a situation in which you encountered a patient, without patient identifiers used, with Limited English Proficiency that you saw in clinic. Explain how this made you feel and delineate the strategies you use to assure that the patient is prepared before leaving with a solid plan of care that the family agrees with.           </w:t>
      </w:r>
    </w:p>
    <w:p w14:paraId="5D7DB584"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t>While serving as an intraoperative nurse, I attended to a patient slated for a cholecystectomy. Upon reaching the preoperative area, my objective was to verify the patient's consent and ensure their understanding of the scheduled procedure. Using my active listening skills during the interview, I observed that the patient primarily spoke Spanish and had limited proficiency in English. My attention was directed towards the patient's words, and I carefully observed his body language, making a conscious effort to avoid distractions. Using open-ended questioning, I then requested that he articulate the specific procedure he was scheduled for and share his understanding of the said procedure. Open-ended questioning encourages expansive and detailed responses, fostering deeper exploration and richer communication (Srivastava, 2023).</w:t>
      </w:r>
    </w:p>
    <w:p w14:paraId="3AA97945"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t>To my surprise, I discovered that the patient had signed a consent form written in English. Additionally, I learned that there was a misunderstanding, as the patient believed he was undergoing a pancreatic procedure rather than a gallbladder removal. The misinformation had also been communicated by the patient to his family in an earlier phone conversation. I experienced significant disappointment and concern for the patient's well-being when I realized that the physician, preoperative nurse, and seemingly everyone who had interacted with the patient before me had overlooked the patient's English language deficit.</w:t>
      </w:r>
    </w:p>
    <w:p w14:paraId="129E30A0"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t xml:space="preserve">As Srivastava (2023), rightly emphasizes, patients often conceal their lack of fluency, and healthcare providers (HCP) can sometimes be overly confident in assuming the patient's language comprehension. It's essential to highlight hurriedness among HCP in this situation may be a factor. Recognizing this, I promptly informed the operating room manager and surgeon about my observations. I took immediate steps by requesting a face-to-face professional interpreter and obtaining a consent form written in Spanish, which we always have available. The surgeon returned to the preoperative area to revisit the surgery details with the patient and </w:t>
      </w:r>
      <w:r w:rsidRPr="00A47497">
        <w:rPr>
          <w:rFonts w:ascii="Times New Roman" w:eastAsia="Times New Roman" w:hAnsi="Times New Roman"/>
          <w:kern w:val="0"/>
          <w:sz w:val="24"/>
          <w:szCs w:val="24"/>
          <w14:ligatures w14:val="none"/>
        </w:rPr>
        <w:lastRenderedPageBreak/>
        <w:t>secure proper consent, followed by a call with the patient’s family that also included an interpreter.</w:t>
      </w:r>
    </w:p>
    <w:p w14:paraId="59BC1475"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t>Using a bilingual and bicultural professional interpreter played a crucial role in providing a comprehensive understanding for both the patient and HCP. By bridging linguistic and cultural gaps, the interpreter facilitated effective communication, ensuring that the nuances of the conversation were accurately conveyed (Srivastava, 2023). This not only enhanced the patient's experience, but also contributed to improved collaboration and comprehension between the patient and the HCP.</w:t>
      </w:r>
    </w:p>
    <w:p w14:paraId="1F69BE66"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t xml:space="preserve">In the research study conducted by Sifuentes et al.'s (2020), it was discovered that "4.2% of adults in the United States were Spanish-speaking, with limited English proficiency" (p. 511). These individuals were less inclined to have a consistent healthcare provider, making them more susceptible to negative health outcomes. </w:t>
      </w:r>
      <w:proofErr w:type="gramStart"/>
      <w:r w:rsidRPr="00A47497">
        <w:rPr>
          <w:rFonts w:ascii="Times New Roman" w:eastAsia="Times New Roman" w:hAnsi="Times New Roman"/>
          <w:kern w:val="0"/>
          <w:sz w:val="24"/>
          <w:szCs w:val="24"/>
          <w14:ligatures w14:val="none"/>
        </w:rPr>
        <w:t>Subsequent to</w:t>
      </w:r>
      <w:proofErr w:type="gramEnd"/>
      <w:r w:rsidRPr="00A47497">
        <w:rPr>
          <w:rFonts w:ascii="Times New Roman" w:eastAsia="Times New Roman" w:hAnsi="Times New Roman"/>
          <w:kern w:val="0"/>
          <w:sz w:val="24"/>
          <w:szCs w:val="24"/>
          <w14:ligatures w14:val="none"/>
        </w:rPr>
        <w:t xml:space="preserve"> the patient's surgery, I worked in conjunction with the patient, case manager, and patient’s family to facilitate the patient's establishment with a primary care physician upon discharge. Given the patient’s family structure which identifies with collectivism, as it relates to healthcare, there was a strong emphasis on shared decision-making and collaborative involvement of all the mentioned in the patient's medical care (Srivastava, 2023).</w:t>
      </w:r>
    </w:p>
    <w:p w14:paraId="36BA0621"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b/>
          <w:bCs/>
          <w:kern w:val="0"/>
          <w:sz w:val="24"/>
          <w:szCs w:val="24"/>
          <w14:ligatures w14:val="none"/>
        </w:rPr>
        <w:t>What changes would you consider incorporating into your daily practice as a DNP upon graduation focusing on Cross-Cultural Communication?</w:t>
      </w:r>
      <w:r w:rsidRPr="00A47497">
        <w:rPr>
          <w:rFonts w:ascii="Times New Roman" w:eastAsia="Times New Roman" w:hAnsi="Times New Roman"/>
          <w:kern w:val="0"/>
          <w:sz w:val="24"/>
          <w:szCs w:val="24"/>
          <w14:ligatures w14:val="none"/>
        </w:rPr>
        <w:t> </w:t>
      </w:r>
    </w:p>
    <w:p w14:paraId="1989E6E0"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t>Initiating with my personal self-awareness, intentionality, and dedication would enhance my own cross-cultural communication. Recognizing the increasing diversity in healthcare settings, I would integrate culturally sensitive teaching strategies that cater to the varied backgrounds of students. This may involve incorporating diverse case studies, promoting open discussions about cultural competence, and providing resources that address the unique healthcare needs of different populations. Additionally, I would advocate for the inclusion of cross-cultural communication skills as a core component of the curriculum, ensuring that future healthcare professionals are well-equipped to navigate diverse patient interactions. Emphasizing experiential learning opportunities, such as clinical simulations that mimic real-world cultural scenarios, would further cultivate the practical skills necessary for effective cross-cultural communication in healthcare. Overall, my aim would be to foster an inclusive and culturally competent learning environment that prepares nursing students to provide high-quality care to individuals from diverse backgrounds.</w:t>
      </w:r>
    </w:p>
    <w:p w14:paraId="5A6ACC68"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b/>
          <w:bCs/>
          <w:kern w:val="0"/>
          <w:sz w:val="24"/>
          <w:szCs w:val="24"/>
          <w14:ligatures w14:val="none"/>
        </w:rPr>
        <w:t>In Chapter 5, effective communication is discussed, and a statement is made at the end of the Chapter that “Communication is more than a verbal exchange.” Reflect on this statement and identify two nonverbal factors that influence communication.</w:t>
      </w:r>
    </w:p>
    <w:p w14:paraId="4E3091FD"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t>Tone of Voice: The tone in which words are spoken can convey a wealth of information beyond the literal meaning of the words. A change in tone can indicate emotions such as excitement, anger, or sarcasm. It plays a crucial role in determining the overall emotional context of communication. For instance, a soft and soothing tone may convey empathy, while a harsh tone may suggest frustration or displeasure (Uzun, 2020).</w:t>
      </w:r>
    </w:p>
    <w:p w14:paraId="385D7971"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lastRenderedPageBreak/>
        <w:t>Touch: Physical touch can vary individually and by culture, while conveying a range of emotions, intentions, and relational messages. It is a powerful form of nonverbal communication that can express warmth, empathy, support, or even boundaries. For example, a comforting pat on the back can convey reassurance, while a firm handshake can signal confidence, professionalism, or power. The meaning of touch can vary significantly across cultures. While some cultures may embrace more physical contact as a norm, others may prioritize personal space and minimal touch. Being aware of and respecting these differences and appropriateness is essential to avoid misunderstandings (Srivastava, 2023; Uzun, 2020).</w:t>
      </w:r>
    </w:p>
    <w:p w14:paraId="7508B86B"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b/>
          <w:bCs/>
          <w:kern w:val="0"/>
          <w:sz w:val="24"/>
          <w:szCs w:val="24"/>
          <w14:ligatures w14:val="none"/>
        </w:rPr>
        <w:t>References</w:t>
      </w:r>
    </w:p>
    <w:p w14:paraId="6A97CEF0"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t xml:space="preserve">Foiles Sifuentes, A. M., Robledo Cornejo, M., Li, N. C., Castaneda-Avila, M. A., Tjia, J., &amp; </w:t>
      </w:r>
      <w:proofErr w:type="spellStart"/>
      <w:r w:rsidRPr="00A47497">
        <w:rPr>
          <w:rFonts w:ascii="Times New Roman" w:eastAsia="Times New Roman" w:hAnsi="Times New Roman"/>
          <w:kern w:val="0"/>
          <w:sz w:val="24"/>
          <w:szCs w:val="24"/>
          <w14:ligatures w14:val="none"/>
        </w:rPr>
        <w:t>Lapane</w:t>
      </w:r>
      <w:proofErr w:type="spellEnd"/>
      <w:r w:rsidRPr="00A47497">
        <w:rPr>
          <w:rFonts w:ascii="Times New Roman" w:eastAsia="Times New Roman" w:hAnsi="Times New Roman"/>
          <w:kern w:val="0"/>
          <w:sz w:val="24"/>
          <w:szCs w:val="24"/>
          <w14:ligatures w14:val="none"/>
        </w:rPr>
        <w:t>, K. L. (2020). The role of limited English proficiency and access to health insurance and health care in the affordable care act era. </w:t>
      </w:r>
      <w:r w:rsidRPr="00A47497">
        <w:rPr>
          <w:rFonts w:ascii="Times New Roman" w:eastAsia="Times New Roman" w:hAnsi="Times New Roman"/>
          <w:i/>
          <w:iCs/>
          <w:kern w:val="0"/>
          <w:sz w:val="24"/>
          <w:szCs w:val="24"/>
          <w14:ligatures w14:val="none"/>
        </w:rPr>
        <w:t>Health Equity</w:t>
      </w:r>
      <w:r w:rsidRPr="00A47497">
        <w:rPr>
          <w:rFonts w:ascii="Times New Roman" w:eastAsia="Times New Roman" w:hAnsi="Times New Roman"/>
          <w:kern w:val="0"/>
          <w:sz w:val="24"/>
          <w:szCs w:val="24"/>
          <w14:ligatures w14:val="none"/>
        </w:rPr>
        <w:t>, </w:t>
      </w:r>
      <w:r w:rsidRPr="00A47497">
        <w:rPr>
          <w:rFonts w:ascii="Times New Roman" w:eastAsia="Times New Roman" w:hAnsi="Times New Roman"/>
          <w:i/>
          <w:iCs/>
          <w:kern w:val="0"/>
          <w:sz w:val="24"/>
          <w:szCs w:val="24"/>
          <w14:ligatures w14:val="none"/>
        </w:rPr>
        <w:t>4</w:t>
      </w:r>
      <w:r w:rsidRPr="00A47497">
        <w:rPr>
          <w:rFonts w:ascii="Times New Roman" w:eastAsia="Times New Roman" w:hAnsi="Times New Roman"/>
          <w:kern w:val="0"/>
          <w:sz w:val="24"/>
          <w:szCs w:val="24"/>
          <w14:ligatures w14:val="none"/>
        </w:rPr>
        <w:t>(1), 509–517. </w:t>
      </w:r>
      <w:hyperlink r:id="rId10" w:history="1">
        <w:r w:rsidRPr="00A47497">
          <w:rPr>
            <w:rFonts w:ascii="Times New Roman" w:eastAsia="Times New Roman" w:hAnsi="Times New Roman"/>
            <w:color w:val="0000FF"/>
            <w:kern w:val="0"/>
            <w:sz w:val="24"/>
            <w:szCs w:val="24"/>
            <w:u w:val="single"/>
            <w14:ligatures w14:val="none"/>
          </w:rPr>
          <w:t>https://doi.org/10.1089/heq.2020.0057</w:t>
        </w:r>
      </w:hyperlink>
    </w:p>
    <w:p w14:paraId="5CEAC6F2"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t>Srivastava, R. (Ed.). (2023). </w:t>
      </w:r>
      <w:r w:rsidRPr="00A47497">
        <w:rPr>
          <w:rFonts w:ascii="Times New Roman" w:eastAsia="Times New Roman" w:hAnsi="Times New Roman"/>
          <w:i/>
          <w:iCs/>
          <w:kern w:val="0"/>
          <w:sz w:val="24"/>
          <w:szCs w:val="24"/>
          <w14:ligatures w14:val="none"/>
        </w:rPr>
        <w:t>The health care professional’s guide to cultural competence</w:t>
      </w:r>
      <w:r w:rsidRPr="00A47497">
        <w:rPr>
          <w:rFonts w:ascii="Times New Roman" w:eastAsia="Times New Roman" w:hAnsi="Times New Roman"/>
          <w:kern w:val="0"/>
          <w:sz w:val="24"/>
          <w:szCs w:val="24"/>
          <w14:ligatures w14:val="none"/>
        </w:rPr>
        <w:t> (Second edition). Elsevier Canada.</w:t>
      </w:r>
    </w:p>
    <w:p w14:paraId="35DF121F" w14:textId="77777777" w:rsidR="00A47497" w:rsidRPr="00A47497" w:rsidRDefault="00A47497" w:rsidP="00A47497">
      <w:pPr>
        <w:spacing w:after="100" w:afterAutospacing="1" w:line="240" w:lineRule="auto"/>
        <w:rPr>
          <w:rFonts w:ascii="Times New Roman" w:eastAsia="Times New Roman" w:hAnsi="Times New Roman"/>
          <w:kern w:val="0"/>
          <w:sz w:val="24"/>
          <w:szCs w:val="24"/>
          <w14:ligatures w14:val="none"/>
        </w:rPr>
      </w:pPr>
      <w:r w:rsidRPr="00A47497">
        <w:rPr>
          <w:rFonts w:ascii="Times New Roman" w:eastAsia="Times New Roman" w:hAnsi="Times New Roman"/>
          <w:kern w:val="0"/>
          <w:sz w:val="24"/>
          <w:szCs w:val="24"/>
          <w14:ligatures w14:val="none"/>
        </w:rPr>
        <w:t>Uzun, G. (2020). A review of communication, body language and communication conflict. </w:t>
      </w:r>
      <w:r w:rsidRPr="00A47497">
        <w:rPr>
          <w:rFonts w:ascii="Times New Roman" w:eastAsia="Times New Roman" w:hAnsi="Times New Roman"/>
          <w:i/>
          <w:iCs/>
          <w:kern w:val="0"/>
          <w:sz w:val="24"/>
          <w:szCs w:val="24"/>
          <w14:ligatures w14:val="none"/>
        </w:rPr>
        <w:t>International Journal of Psychosocial Rehabilitation</w:t>
      </w:r>
      <w:r w:rsidRPr="00A47497">
        <w:rPr>
          <w:rFonts w:ascii="Times New Roman" w:eastAsia="Times New Roman" w:hAnsi="Times New Roman"/>
          <w:kern w:val="0"/>
          <w:sz w:val="24"/>
          <w:szCs w:val="24"/>
          <w14:ligatures w14:val="none"/>
        </w:rPr>
        <w:t>, </w:t>
      </w:r>
      <w:r w:rsidRPr="00A47497">
        <w:rPr>
          <w:rFonts w:ascii="Times New Roman" w:eastAsia="Times New Roman" w:hAnsi="Times New Roman"/>
          <w:i/>
          <w:iCs/>
          <w:kern w:val="0"/>
          <w:sz w:val="24"/>
          <w:szCs w:val="24"/>
          <w14:ligatures w14:val="none"/>
        </w:rPr>
        <w:t>24</w:t>
      </w:r>
      <w:r w:rsidRPr="00A47497">
        <w:rPr>
          <w:rFonts w:ascii="Times New Roman" w:eastAsia="Times New Roman" w:hAnsi="Times New Roman"/>
          <w:kern w:val="0"/>
          <w:sz w:val="24"/>
          <w:szCs w:val="24"/>
          <w14:ligatures w14:val="none"/>
        </w:rPr>
        <w:t>(9,), 2833-2844. https://www.researchgate.net/profile/Gizem-Oneri-Uzun/publication/351057431_A_Review_of_Communication_Body_Language_and_Communication_Conflict/links/6081b5ac881fa114b41f88b2/A-Review-of-Communication-Body-Language-and-Communication-Conflict.pdf</w:t>
      </w:r>
    </w:p>
    <w:p w14:paraId="2737DEE4" w14:textId="77777777" w:rsidR="00A47497" w:rsidRDefault="00A47497"/>
    <w:sectPr w:rsidR="00A47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97"/>
    <w:rsid w:val="00A4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7866D"/>
  <w15:chartTrackingRefBased/>
  <w15:docId w15:val="{3CCE3657-8EA9-4A4F-B1AE-65A0333B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497"/>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74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6677">
      <w:bodyDiv w:val="1"/>
      <w:marLeft w:val="0"/>
      <w:marRight w:val="0"/>
      <w:marTop w:val="0"/>
      <w:marBottom w:val="0"/>
      <w:divBdr>
        <w:top w:val="none" w:sz="0" w:space="0" w:color="auto"/>
        <w:left w:val="none" w:sz="0" w:space="0" w:color="auto"/>
        <w:bottom w:val="none" w:sz="0" w:space="0" w:color="auto"/>
        <w:right w:val="none" w:sz="0" w:space="0" w:color="auto"/>
      </w:divBdr>
      <w:divsChild>
        <w:div w:id="1729838397">
          <w:marLeft w:val="0"/>
          <w:marRight w:val="0"/>
          <w:marTop w:val="0"/>
          <w:marBottom w:val="0"/>
          <w:divBdr>
            <w:top w:val="single" w:sz="6" w:space="5" w:color="DEE2E6"/>
            <w:left w:val="single" w:sz="6" w:space="5" w:color="DEE2E6"/>
            <w:bottom w:val="single" w:sz="6" w:space="5" w:color="DEE2E6"/>
            <w:right w:val="single" w:sz="6" w:space="5" w:color="DEE2E6"/>
          </w:divBdr>
          <w:divsChild>
            <w:div w:id="2039349447">
              <w:marLeft w:val="0"/>
              <w:marRight w:val="0"/>
              <w:marTop w:val="0"/>
              <w:marBottom w:val="0"/>
              <w:divBdr>
                <w:top w:val="none" w:sz="0" w:space="0" w:color="auto"/>
                <w:left w:val="none" w:sz="0" w:space="0" w:color="auto"/>
                <w:bottom w:val="none" w:sz="0" w:space="0" w:color="auto"/>
                <w:right w:val="none" w:sz="0" w:space="0" w:color="auto"/>
              </w:divBdr>
              <w:divsChild>
                <w:div w:id="555046441">
                  <w:marLeft w:val="0"/>
                  <w:marRight w:val="0"/>
                  <w:marTop w:val="0"/>
                  <w:marBottom w:val="0"/>
                  <w:divBdr>
                    <w:top w:val="none" w:sz="0" w:space="0" w:color="auto"/>
                    <w:left w:val="none" w:sz="0" w:space="0" w:color="auto"/>
                    <w:bottom w:val="none" w:sz="0" w:space="0" w:color="auto"/>
                    <w:right w:val="none" w:sz="0" w:space="0" w:color="auto"/>
                  </w:divBdr>
                  <w:divsChild>
                    <w:div w:id="806166281">
                      <w:marLeft w:val="0"/>
                      <w:marRight w:val="0"/>
                      <w:marTop w:val="0"/>
                      <w:marBottom w:val="0"/>
                      <w:divBdr>
                        <w:top w:val="none" w:sz="0" w:space="0" w:color="auto"/>
                        <w:left w:val="none" w:sz="0" w:space="0" w:color="auto"/>
                        <w:bottom w:val="none" w:sz="0" w:space="0" w:color="auto"/>
                        <w:right w:val="none" w:sz="0" w:space="0" w:color="auto"/>
                      </w:divBdr>
                    </w:div>
                  </w:divsChild>
                </w:div>
                <w:div w:id="1939407235">
                  <w:marLeft w:val="0"/>
                  <w:marRight w:val="0"/>
                  <w:marTop w:val="0"/>
                  <w:marBottom w:val="0"/>
                  <w:divBdr>
                    <w:top w:val="none" w:sz="0" w:space="0" w:color="auto"/>
                    <w:left w:val="none" w:sz="0" w:space="0" w:color="auto"/>
                    <w:bottom w:val="none" w:sz="0" w:space="0" w:color="auto"/>
                    <w:right w:val="none" w:sz="0" w:space="0" w:color="auto"/>
                  </w:divBdr>
                  <w:divsChild>
                    <w:div w:id="1184325845">
                      <w:marLeft w:val="0"/>
                      <w:marRight w:val="0"/>
                      <w:marTop w:val="0"/>
                      <w:marBottom w:val="0"/>
                      <w:divBdr>
                        <w:top w:val="none" w:sz="0" w:space="0" w:color="auto"/>
                        <w:left w:val="none" w:sz="0" w:space="0" w:color="auto"/>
                        <w:bottom w:val="none" w:sz="0" w:space="0" w:color="auto"/>
                        <w:right w:val="none" w:sz="0" w:space="0" w:color="auto"/>
                      </w:divBdr>
                      <w:divsChild>
                        <w:div w:id="1773042861">
                          <w:marLeft w:val="0"/>
                          <w:marRight w:val="0"/>
                          <w:marTop w:val="0"/>
                          <w:marBottom w:val="0"/>
                          <w:divBdr>
                            <w:top w:val="none" w:sz="0" w:space="0" w:color="auto"/>
                            <w:left w:val="none" w:sz="0" w:space="0" w:color="auto"/>
                            <w:bottom w:val="none" w:sz="0" w:space="0" w:color="auto"/>
                            <w:right w:val="none" w:sz="0" w:space="0" w:color="auto"/>
                          </w:divBdr>
                          <w:divsChild>
                            <w:div w:id="353457918">
                              <w:marLeft w:val="0"/>
                              <w:marRight w:val="0"/>
                              <w:marTop w:val="0"/>
                              <w:marBottom w:val="0"/>
                              <w:divBdr>
                                <w:top w:val="none" w:sz="0" w:space="0" w:color="auto"/>
                                <w:left w:val="none" w:sz="0" w:space="0" w:color="auto"/>
                                <w:bottom w:val="none" w:sz="0" w:space="0" w:color="auto"/>
                                <w:right w:val="none" w:sz="0" w:space="0" w:color="auto"/>
                              </w:divBdr>
                            </w:div>
                            <w:div w:id="2109502891">
                              <w:marLeft w:val="0"/>
                              <w:marRight w:val="0"/>
                              <w:marTop w:val="0"/>
                              <w:marBottom w:val="0"/>
                              <w:divBdr>
                                <w:top w:val="none" w:sz="0" w:space="0" w:color="auto"/>
                                <w:left w:val="none" w:sz="0" w:space="0" w:color="auto"/>
                                <w:bottom w:val="none" w:sz="0" w:space="0" w:color="auto"/>
                                <w:right w:val="none" w:sz="0" w:space="0" w:color="auto"/>
                              </w:divBdr>
                            </w:div>
                            <w:div w:id="1439715515">
                              <w:marLeft w:val="0"/>
                              <w:marRight w:val="0"/>
                              <w:marTop w:val="0"/>
                              <w:marBottom w:val="0"/>
                              <w:divBdr>
                                <w:top w:val="none" w:sz="0" w:space="0" w:color="auto"/>
                                <w:left w:val="none" w:sz="0" w:space="0" w:color="auto"/>
                                <w:bottom w:val="none" w:sz="0" w:space="0" w:color="auto"/>
                                <w:right w:val="none" w:sz="0" w:space="0" w:color="auto"/>
                              </w:divBdr>
                            </w:div>
                            <w:div w:id="1034187551">
                              <w:marLeft w:val="0"/>
                              <w:marRight w:val="0"/>
                              <w:marTop w:val="0"/>
                              <w:marBottom w:val="0"/>
                              <w:divBdr>
                                <w:top w:val="none" w:sz="0" w:space="0" w:color="auto"/>
                                <w:left w:val="none" w:sz="0" w:space="0" w:color="auto"/>
                                <w:bottom w:val="none" w:sz="0" w:space="0" w:color="auto"/>
                                <w:right w:val="none" w:sz="0" w:space="0" w:color="auto"/>
                              </w:divBdr>
                            </w:div>
                            <w:div w:id="300352988">
                              <w:marLeft w:val="0"/>
                              <w:marRight w:val="0"/>
                              <w:marTop w:val="0"/>
                              <w:marBottom w:val="0"/>
                              <w:divBdr>
                                <w:top w:val="none" w:sz="0" w:space="0" w:color="auto"/>
                                <w:left w:val="none" w:sz="0" w:space="0" w:color="auto"/>
                                <w:bottom w:val="none" w:sz="0" w:space="0" w:color="auto"/>
                                <w:right w:val="none" w:sz="0" w:space="0" w:color="auto"/>
                              </w:divBdr>
                            </w:div>
                            <w:div w:id="1599866357">
                              <w:marLeft w:val="0"/>
                              <w:marRight w:val="0"/>
                              <w:marTop w:val="0"/>
                              <w:marBottom w:val="0"/>
                              <w:divBdr>
                                <w:top w:val="none" w:sz="0" w:space="0" w:color="auto"/>
                                <w:left w:val="none" w:sz="0" w:space="0" w:color="auto"/>
                                <w:bottom w:val="none" w:sz="0" w:space="0" w:color="auto"/>
                                <w:right w:val="none" w:sz="0" w:space="0" w:color="auto"/>
                              </w:divBdr>
                            </w:div>
                            <w:div w:id="116267102">
                              <w:marLeft w:val="0"/>
                              <w:marRight w:val="0"/>
                              <w:marTop w:val="0"/>
                              <w:marBottom w:val="0"/>
                              <w:divBdr>
                                <w:top w:val="none" w:sz="0" w:space="0" w:color="auto"/>
                                <w:left w:val="none" w:sz="0" w:space="0" w:color="auto"/>
                                <w:bottom w:val="none" w:sz="0" w:space="0" w:color="auto"/>
                                <w:right w:val="none" w:sz="0" w:space="0" w:color="auto"/>
                              </w:divBdr>
                            </w:div>
                            <w:div w:id="1440565508">
                              <w:marLeft w:val="0"/>
                              <w:marRight w:val="0"/>
                              <w:marTop w:val="0"/>
                              <w:marBottom w:val="0"/>
                              <w:divBdr>
                                <w:top w:val="none" w:sz="0" w:space="0" w:color="auto"/>
                                <w:left w:val="none" w:sz="0" w:space="0" w:color="auto"/>
                                <w:bottom w:val="none" w:sz="0" w:space="0" w:color="auto"/>
                                <w:right w:val="none" w:sz="0" w:space="0" w:color="auto"/>
                              </w:divBdr>
                            </w:div>
                            <w:div w:id="1167130794">
                              <w:marLeft w:val="0"/>
                              <w:marRight w:val="0"/>
                              <w:marTop w:val="0"/>
                              <w:marBottom w:val="0"/>
                              <w:divBdr>
                                <w:top w:val="none" w:sz="0" w:space="0" w:color="auto"/>
                                <w:left w:val="none" w:sz="0" w:space="0" w:color="auto"/>
                                <w:bottom w:val="none" w:sz="0" w:space="0" w:color="auto"/>
                                <w:right w:val="none" w:sz="0" w:space="0" w:color="auto"/>
                              </w:divBdr>
                            </w:div>
                            <w:div w:id="2140881782">
                              <w:marLeft w:val="0"/>
                              <w:marRight w:val="0"/>
                              <w:marTop w:val="0"/>
                              <w:marBottom w:val="0"/>
                              <w:divBdr>
                                <w:top w:val="none" w:sz="0" w:space="0" w:color="auto"/>
                                <w:left w:val="none" w:sz="0" w:space="0" w:color="auto"/>
                                <w:bottom w:val="none" w:sz="0" w:space="0" w:color="auto"/>
                                <w:right w:val="none" w:sz="0" w:space="0" w:color="auto"/>
                              </w:divBdr>
                            </w:div>
                            <w:div w:id="270161756">
                              <w:marLeft w:val="0"/>
                              <w:marRight w:val="0"/>
                              <w:marTop w:val="0"/>
                              <w:marBottom w:val="0"/>
                              <w:divBdr>
                                <w:top w:val="none" w:sz="0" w:space="0" w:color="auto"/>
                                <w:left w:val="none" w:sz="0" w:space="0" w:color="auto"/>
                                <w:bottom w:val="none" w:sz="0" w:space="0" w:color="auto"/>
                                <w:right w:val="none" w:sz="0" w:space="0" w:color="auto"/>
                              </w:divBdr>
                            </w:div>
                            <w:div w:id="1954509722">
                              <w:marLeft w:val="0"/>
                              <w:marRight w:val="0"/>
                              <w:marTop w:val="0"/>
                              <w:marBottom w:val="0"/>
                              <w:divBdr>
                                <w:top w:val="none" w:sz="0" w:space="0" w:color="auto"/>
                                <w:left w:val="none" w:sz="0" w:space="0" w:color="auto"/>
                                <w:bottom w:val="none" w:sz="0" w:space="0" w:color="auto"/>
                                <w:right w:val="none" w:sz="0" w:space="0" w:color="auto"/>
                              </w:divBdr>
                            </w:div>
                            <w:div w:id="96950687">
                              <w:marLeft w:val="0"/>
                              <w:marRight w:val="0"/>
                              <w:marTop w:val="0"/>
                              <w:marBottom w:val="0"/>
                              <w:divBdr>
                                <w:top w:val="none" w:sz="0" w:space="0" w:color="auto"/>
                                <w:left w:val="none" w:sz="0" w:space="0" w:color="auto"/>
                                <w:bottom w:val="none" w:sz="0" w:space="0" w:color="auto"/>
                                <w:right w:val="none" w:sz="0" w:space="0" w:color="auto"/>
                              </w:divBdr>
                            </w:div>
                            <w:div w:id="1050692098">
                              <w:marLeft w:val="0"/>
                              <w:marRight w:val="0"/>
                              <w:marTop w:val="0"/>
                              <w:marBottom w:val="0"/>
                              <w:divBdr>
                                <w:top w:val="none" w:sz="0" w:space="0" w:color="auto"/>
                                <w:left w:val="none" w:sz="0" w:space="0" w:color="auto"/>
                                <w:bottom w:val="none" w:sz="0" w:space="0" w:color="auto"/>
                                <w:right w:val="none" w:sz="0" w:space="0" w:color="auto"/>
                              </w:divBdr>
                            </w:div>
                            <w:div w:id="1400323189">
                              <w:marLeft w:val="0"/>
                              <w:marRight w:val="0"/>
                              <w:marTop w:val="0"/>
                              <w:marBottom w:val="0"/>
                              <w:divBdr>
                                <w:top w:val="none" w:sz="0" w:space="0" w:color="auto"/>
                                <w:left w:val="none" w:sz="0" w:space="0" w:color="auto"/>
                                <w:bottom w:val="none" w:sz="0" w:space="0" w:color="auto"/>
                                <w:right w:val="none" w:sz="0" w:space="0" w:color="auto"/>
                              </w:divBdr>
                            </w:div>
                          </w:divsChild>
                        </w:div>
                        <w:div w:id="1352341481">
                          <w:marLeft w:val="0"/>
                          <w:marRight w:val="0"/>
                          <w:marTop w:val="0"/>
                          <w:marBottom w:val="0"/>
                          <w:divBdr>
                            <w:top w:val="none" w:sz="0" w:space="0" w:color="auto"/>
                            <w:left w:val="none" w:sz="0" w:space="0" w:color="auto"/>
                            <w:bottom w:val="none" w:sz="0" w:space="0" w:color="auto"/>
                            <w:right w:val="none" w:sz="0" w:space="0" w:color="auto"/>
                          </w:divBdr>
                          <w:divsChild>
                            <w:div w:id="8303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634102">
          <w:marLeft w:val="0"/>
          <w:marRight w:val="0"/>
          <w:marTop w:val="0"/>
          <w:marBottom w:val="0"/>
          <w:divBdr>
            <w:top w:val="single" w:sz="6" w:space="5" w:color="DEE2E6"/>
            <w:left w:val="single" w:sz="6" w:space="5" w:color="DEE2E6"/>
            <w:bottom w:val="single" w:sz="6" w:space="5" w:color="DEE2E6"/>
            <w:right w:val="single" w:sz="6" w:space="5" w:color="DEE2E6"/>
          </w:divBdr>
          <w:divsChild>
            <w:div w:id="1485001257">
              <w:marLeft w:val="0"/>
              <w:marRight w:val="0"/>
              <w:marTop w:val="0"/>
              <w:marBottom w:val="0"/>
              <w:divBdr>
                <w:top w:val="none" w:sz="0" w:space="0" w:color="auto"/>
                <w:left w:val="none" w:sz="0" w:space="0" w:color="auto"/>
                <w:bottom w:val="none" w:sz="0" w:space="0" w:color="auto"/>
                <w:right w:val="none" w:sz="0" w:space="0" w:color="auto"/>
              </w:divBdr>
              <w:divsChild>
                <w:div w:id="1957910232">
                  <w:marLeft w:val="0"/>
                  <w:marRight w:val="0"/>
                  <w:marTop w:val="0"/>
                  <w:marBottom w:val="0"/>
                  <w:divBdr>
                    <w:top w:val="none" w:sz="0" w:space="0" w:color="auto"/>
                    <w:left w:val="none" w:sz="0" w:space="0" w:color="auto"/>
                    <w:bottom w:val="none" w:sz="0" w:space="0" w:color="auto"/>
                    <w:right w:val="none" w:sz="0" w:space="0" w:color="auto"/>
                  </w:divBdr>
                </w:div>
                <w:div w:id="193269843">
                  <w:marLeft w:val="0"/>
                  <w:marRight w:val="0"/>
                  <w:marTop w:val="0"/>
                  <w:marBottom w:val="0"/>
                  <w:divBdr>
                    <w:top w:val="none" w:sz="0" w:space="0" w:color="auto"/>
                    <w:left w:val="none" w:sz="0" w:space="0" w:color="auto"/>
                    <w:bottom w:val="none" w:sz="0" w:space="0" w:color="auto"/>
                    <w:right w:val="none" w:sz="0" w:space="0" w:color="auto"/>
                  </w:divBdr>
                  <w:divsChild>
                    <w:div w:id="1180437742">
                      <w:marLeft w:val="0"/>
                      <w:marRight w:val="0"/>
                      <w:marTop w:val="0"/>
                      <w:marBottom w:val="0"/>
                      <w:divBdr>
                        <w:top w:val="none" w:sz="0" w:space="0" w:color="auto"/>
                        <w:left w:val="none" w:sz="0" w:space="0" w:color="auto"/>
                        <w:bottom w:val="none" w:sz="0" w:space="0" w:color="auto"/>
                        <w:right w:val="none" w:sz="0" w:space="0" w:color="auto"/>
                      </w:divBdr>
                    </w:div>
                  </w:divsChild>
                </w:div>
                <w:div w:id="1853645213">
                  <w:marLeft w:val="0"/>
                  <w:marRight w:val="0"/>
                  <w:marTop w:val="0"/>
                  <w:marBottom w:val="0"/>
                  <w:divBdr>
                    <w:top w:val="none" w:sz="0" w:space="0" w:color="auto"/>
                    <w:left w:val="none" w:sz="0" w:space="0" w:color="auto"/>
                    <w:bottom w:val="none" w:sz="0" w:space="0" w:color="auto"/>
                    <w:right w:val="none" w:sz="0" w:space="0" w:color="auto"/>
                  </w:divBdr>
                  <w:divsChild>
                    <w:div w:id="1644315355">
                      <w:marLeft w:val="0"/>
                      <w:marRight w:val="0"/>
                      <w:marTop w:val="0"/>
                      <w:marBottom w:val="0"/>
                      <w:divBdr>
                        <w:top w:val="none" w:sz="0" w:space="0" w:color="auto"/>
                        <w:left w:val="none" w:sz="0" w:space="0" w:color="auto"/>
                        <w:bottom w:val="none" w:sz="0" w:space="0" w:color="auto"/>
                        <w:right w:val="none" w:sz="0" w:space="0" w:color="auto"/>
                      </w:divBdr>
                      <w:divsChild>
                        <w:div w:id="143905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70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post.php?reply=1799609" TargetMode="External"/><Relationship Id="rId3" Type="http://schemas.openxmlformats.org/officeDocument/2006/relationships/webSettings" Target="webSettings.xml"/><Relationship Id="rId7" Type="http://schemas.openxmlformats.org/officeDocument/2006/relationships/hyperlink" Target="https://myonline.regiscollege.edu/mod/forum/discuss.php?d=25029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50292" TargetMode="External"/><Relationship Id="rId11" Type="http://schemas.openxmlformats.org/officeDocument/2006/relationships/fontTable" Target="fontTable.xml"/><Relationship Id="rId5" Type="http://schemas.openxmlformats.org/officeDocument/2006/relationships/hyperlink" Target="https://doi.org/10.3389/fpsyg.2022.936181" TargetMode="External"/><Relationship Id="rId10" Type="http://schemas.openxmlformats.org/officeDocument/2006/relationships/hyperlink" Target="https://doi.org/10.1089/heq.2020.0057" TargetMode="External"/><Relationship Id="rId4" Type="http://schemas.openxmlformats.org/officeDocument/2006/relationships/hyperlink" Target="https://myonline.regiscollege.edu/user/view.php?id=7331&amp;course=5381" TargetMode="External"/><Relationship Id="rId9" Type="http://schemas.openxmlformats.org/officeDocument/2006/relationships/hyperlink" Target="https://myonline.regiscollege.edu/user/view.php?id=8319&amp;course=5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2196</Words>
  <Characters>12544</Characters>
  <Application>Microsoft Office Word</Application>
  <DocSecurity>0</DocSecurity>
  <Lines>183</Lines>
  <Paragraphs>37</Paragraphs>
  <ScaleCrop>false</ScaleCrop>
  <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2024-01-26T07:29:00Z</dcterms:created>
  <dcterms:modified xsi:type="dcterms:W3CDTF">2024-01-26T07:32:00Z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96990849-8ff6-4880-98ba-c2a369881906</vt:lpwstr>
  </property>
</Properties>
</file>