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0C7AFC" w14:textId="77777777" w:rsidR="00677A6A" w:rsidRPr="00677A6A" w:rsidRDefault="00677A6A" w:rsidP="00677A6A">
      <w:pPr>
        <w:spacing w:after="0" w:line="240" w:lineRule="auto"/>
        <w:outlineLvl w:val="2"/>
        <w:rPr>
          <w:rFonts w:ascii="var(--font-family-display)" w:eastAsia="Times New Roman" w:hAnsi="var(--font-family-display)" w:cs="Times New Roman"/>
          <w:b/>
          <w:bCs/>
          <w:kern w:val="0"/>
          <w:sz w:val="27"/>
          <w:szCs w:val="27"/>
          <w14:ligatures w14:val="none"/>
        </w:rPr>
      </w:pPr>
      <w:r w:rsidRPr="00677A6A">
        <w:rPr>
          <w:rFonts w:ascii="var(--font-family-display)" w:eastAsia="Times New Roman" w:hAnsi="var(--font-family-display)" w:cs="Times New Roman"/>
          <w:b/>
          <w:bCs/>
          <w:kern w:val="0"/>
          <w:sz w:val="27"/>
          <w:szCs w:val="27"/>
          <w14:ligatures w14:val="none"/>
        </w:rPr>
        <w:t>Re: Week 2 Discussion 2: Theory or Conceptual Framework Selection</w:t>
      </w:r>
    </w:p>
    <w:p w14:paraId="1DD70E8F" w14:textId="77777777" w:rsidR="00677A6A" w:rsidRPr="00677A6A" w:rsidRDefault="00677A6A" w:rsidP="00677A6A">
      <w:pPr>
        <w:spacing w:after="0" w:line="240" w:lineRule="auto"/>
        <w:rPr>
          <w:rFonts w:ascii="Times New Roman" w:eastAsia="Times New Roman" w:hAnsi="Times New Roman" w:cs="Times New Roman"/>
          <w:kern w:val="0"/>
          <w14:ligatures w14:val="none"/>
        </w:rPr>
      </w:pPr>
      <w:r w:rsidRPr="00677A6A">
        <w:rPr>
          <w:rFonts w:ascii="Times New Roman" w:eastAsia="Times New Roman" w:hAnsi="Times New Roman" w:cs="Times New Roman"/>
          <w:kern w:val="0"/>
          <w14:ligatures w14:val="none"/>
        </w:rPr>
        <w:t>by </w:t>
      </w:r>
      <w:hyperlink r:id="rId4" w:history="1">
        <w:r w:rsidRPr="00677A6A">
          <w:rPr>
            <w:rFonts w:ascii="Times New Roman" w:eastAsia="Times New Roman" w:hAnsi="Times New Roman" w:cs="Times New Roman"/>
            <w:color w:val="0000FF"/>
            <w:kern w:val="0"/>
            <w:u w:val="single"/>
            <w14:ligatures w14:val="none"/>
          </w:rPr>
          <w:t>James Royster</w:t>
        </w:r>
      </w:hyperlink>
      <w:r w:rsidRPr="00677A6A">
        <w:rPr>
          <w:rFonts w:ascii="Times New Roman" w:eastAsia="Times New Roman" w:hAnsi="Times New Roman" w:cs="Times New Roman"/>
          <w:kern w:val="0"/>
          <w14:ligatures w14:val="none"/>
        </w:rPr>
        <w:t> - Wednesday, 3 July 2024, 10:58 AM</w:t>
      </w:r>
    </w:p>
    <w:p w14:paraId="5E5644E9" w14:textId="77777777" w:rsidR="00677A6A" w:rsidRPr="00677A6A" w:rsidRDefault="00677A6A" w:rsidP="00677A6A">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677A6A">
        <w:rPr>
          <w:rFonts w:ascii="Roboto" w:eastAsia="Times New Roman" w:hAnsi="Roboto" w:cs="Times New Roman"/>
          <w:color w:val="1D2125"/>
          <w:kern w:val="0"/>
          <w:sz w:val="23"/>
          <w:szCs w:val="23"/>
          <w14:ligatures w14:val="none"/>
        </w:rPr>
        <w:t> </w:t>
      </w:r>
    </w:p>
    <w:p w14:paraId="2E9E8AFE" w14:textId="77777777" w:rsidR="00677A6A" w:rsidRPr="00677A6A" w:rsidRDefault="00677A6A" w:rsidP="00677A6A">
      <w:pPr>
        <w:shd w:val="clear" w:color="auto" w:fill="FFFFFF"/>
        <w:spacing w:after="100" w:afterAutospacing="1" w:line="240" w:lineRule="auto"/>
        <w:jc w:val="center"/>
        <w:rPr>
          <w:rFonts w:ascii="Roboto" w:eastAsia="Times New Roman" w:hAnsi="Roboto" w:cs="Times New Roman"/>
          <w:color w:val="1D2125"/>
          <w:kern w:val="0"/>
          <w:sz w:val="23"/>
          <w:szCs w:val="23"/>
          <w14:ligatures w14:val="none"/>
        </w:rPr>
      </w:pPr>
      <w:r w:rsidRPr="00677A6A">
        <w:rPr>
          <w:rFonts w:ascii="Roboto" w:eastAsia="Times New Roman" w:hAnsi="Roboto" w:cs="Times New Roman"/>
          <w:color w:val="1D2125"/>
          <w:kern w:val="0"/>
          <w:sz w:val="23"/>
          <w:szCs w:val="23"/>
          <w14:ligatures w14:val="none"/>
        </w:rPr>
        <w:t>Discussion 2</w:t>
      </w:r>
    </w:p>
    <w:p w14:paraId="1346FEC7" w14:textId="77777777" w:rsidR="00677A6A" w:rsidRPr="00677A6A" w:rsidRDefault="00677A6A" w:rsidP="00677A6A">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677A6A">
        <w:rPr>
          <w:rFonts w:ascii="Roboto" w:eastAsia="Times New Roman" w:hAnsi="Roboto" w:cs="Times New Roman"/>
          <w:color w:val="1D2125"/>
          <w:kern w:val="0"/>
          <w:sz w:val="23"/>
          <w:szCs w:val="23"/>
          <w14:ligatures w14:val="none"/>
        </w:rPr>
        <w:t>User Acceptance Theory (UAT) combines aspects from eight known models to explain and predict the acceptance of IT among users. By empirically comparing multiple models, Venkatesh et al. formulated this theory with four primary factors: expectations for execution, dedication, social impact, and enabling conditions (Venkatesh, Morris and Davis 431). The theory was applied and found to be effective in the case of multiple organizations, suggesting an ability to account for a significant quantity of variance in users’ intentions to use IT (</w:t>
      </w:r>
      <w:proofErr w:type="spellStart"/>
      <w:r w:rsidRPr="00677A6A">
        <w:rPr>
          <w:rFonts w:ascii="Roboto" w:eastAsia="Times New Roman" w:hAnsi="Roboto" w:cs="Times New Roman"/>
          <w:color w:val="1D2125"/>
          <w:kern w:val="0"/>
          <w:sz w:val="23"/>
          <w:szCs w:val="23"/>
          <w14:ligatures w14:val="none"/>
        </w:rPr>
        <w:t>Pratama</w:t>
      </w:r>
      <w:proofErr w:type="spellEnd"/>
      <w:r w:rsidRPr="00677A6A">
        <w:rPr>
          <w:rFonts w:ascii="Roboto" w:eastAsia="Times New Roman" w:hAnsi="Roboto" w:cs="Times New Roman"/>
          <w:color w:val="1D2125"/>
          <w:kern w:val="0"/>
          <w:sz w:val="23"/>
          <w:szCs w:val="23"/>
          <w14:ligatures w14:val="none"/>
        </w:rPr>
        <w:t>, Abror and Wulansari 62). Thus, this theory can be applied and used to manage technology acceptance.</w:t>
      </w:r>
    </w:p>
    <w:p w14:paraId="25A8DD3B" w14:textId="77777777" w:rsidR="00677A6A" w:rsidRPr="00677A6A" w:rsidRDefault="00677A6A" w:rsidP="00677A6A">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677A6A">
        <w:rPr>
          <w:rFonts w:ascii="Roboto" w:eastAsia="Times New Roman" w:hAnsi="Roboto" w:cs="Times New Roman"/>
          <w:color w:val="1D2125"/>
          <w:kern w:val="0"/>
          <w:sz w:val="23"/>
          <w:szCs w:val="23"/>
          <w14:ligatures w14:val="none"/>
        </w:rPr>
        <w:t>Due to the nature of the technology focus, perceived utility and usability are most relevant in the context of the Veterans Health Association for the fields of health informatics and advanced practice nursing. The VHA’s efforts to integrate advanced IT solutions, such as electronic health records (EHRs) and telehealth services, can significantly benefit from understanding the factors influencing user acceptance among veterans and healthcare providers.</w:t>
      </w:r>
    </w:p>
    <w:p w14:paraId="5A3BD81B" w14:textId="77777777" w:rsidR="00677A6A" w:rsidRPr="00677A6A" w:rsidRDefault="00677A6A" w:rsidP="00677A6A">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677A6A">
        <w:rPr>
          <w:rFonts w:ascii="Roboto" w:eastAsia="Times New Roman" w:hAnsi="Roboto" w:cs="Times New Roman"/>
          <w:color w:val="1D2125"/>
          <w:kern w:val="0"/>
          <w:sz w:val="23"/>
          <w:szCs w:val="23"/>
          <w14:ligatures w14:val="none"/>
        </w:rPr>
        <w:t xml:space="preserve">To understand the veterans’ acceptance of the </w:t>
      </w:r>
      <w:proofErr w:type="spellStart"/>
      <w:r w:rsidRPr="00677A6A">
        <w:rPr>
          <w:rFonts w:ascii="Roboto" w:eastAsia="Times New Roman" w:hAnsi="Roboto" w:cs="Times New Roman"/>
          <w:color w:val="1D2125"/>
          <w:kern w:val="0"/>
          <w:sz w:val="23"/>
          <w:szCs w:val="23"/>
          <w14:ligatures w14:val="none"/>
        </w:rPr>
        <w:t>BrainFx</w:t>
      </w:r>
      <w:proofErr w:type="spellEnd"/>
      <w:r w:rsidRPr="00677A6A">
        <w:rPr>
          <w:rFonts w:ascii="Roboto" w:eastAsia="Times New Roman" w:hAnsi="Roboto" w:cs="Times New Roman"/>
          <w:color w:val="1D2125"/>
          <w:kern w:val="0"/>
          <w:sz w:val="23"/>
          <w:szCs w:val="23"/>
          <w14:ligatures w14:val="none"/>
        </w:rPr>
        <w:t xml:space="preserve"> SCREEN tool, some researchers also employed UAT. Thus, they pointed out perceived utility and usability as the primary factors influencing technology acceptance (Jones, Miguel-Cruz and </w:t>
      </w:r>
      <w:proofErr w:type="spellStart"/>
      <w:r w:rsidRPr="00677A6A">
        <w:rPr>
          <w:rFonts w:ascii="Roboto" w:eastAsia="Times New Roman" w:hAnsi="Roboto" w:cs="Times New Roman"/>
          <w:color w:val="1D2125"/>
          <w:kern w:val="0"/>
          <w:sz w:val="23"/>
          <w:szCs w:val="23"/>
          <w14:ligatures w14:val="none"/>
        </w:rPr>
        <w:t>Brémault</w:t>
      </w:r>
      <w:proofErr w:type="spellEnd"/>
      <w:r w:rsidRPr="00677A6A">
        <w:rPr>
          <w:rFonts w:ascii="Roboto" w:eastAsia="Times New Roman" w:hAnsi="Roboto" w:cs="Times New Roman"/>
          <w:color w:val="1D2125"/>
          <w:kern w:val="0"/>
          <w:sz w:val="23"/>
          <w:szCs w:val="23"/>
          <w14:ligatures w14:val="none"/>
        </w:rPr>
        <w:t>-Phillips 83). In the same way, another study examined the intention to use VR interventions for PTSD, where cultural factors such as social influence and facilitating conditions play a significant part (Jones, Cruz and Smith-MacDonald 56). Extending from UAT, some researchers introduced a model for using e-services by advancing the roles of both performance and effort expectancy regarding the acceptance of technology (Nazari-</w:t>
      </w:r>
      <w:proofErr w:type="spellStart"/>
      <w:r w:rsidRPr="00677A6A">
        <w:rPr>
          <w:rFonts w:ascii="Roboto" w:eastAsia="Times New Roman" w:hAnsi="Roboto" w:cs="Times New Roman"/>
          <w:color w:val="1D2125"/>
          <w:kern w:val="0"/>
          <w:sz w:val="23"/>
          <w:szCs w:val="23"/>
          <w14:ligatures w14:val="none"/>
        </w:rPr>
        <w:t>Shirkouhi</w:t>
      </w:r>
      <w:proofErr w:type="spellEnd"/>
      <w:r w:rsidRPr="00677A6A">
        <w:rPr>
          <w:rFonts w:ascii="Roboto" w:eastAsia="Times New Roman" w:hAnsi="Roboto" w:cs="Times New Roman"/>
          <w:color w:val="1D2125"/>
          <w:kern w:val="0"/>
          <w:sz w:val="23"/>
          <w:szCs w:val="23"/>
          <w14:ligatures w14:val="none"/>
        </w:rPr>
        <w:t xml:space="preserve">, </w:t>
      </w:r>
      <w:proofErr w:type="spellStart"/>
      <w:r w:rsidRPr="00677A6A">
        <w:rPr>
          <w:rFonts w:ascii="Roboto" w:eastAsia="Times New Roman" w:hAnsi="Roboto" w:cs="Times New Roman"/>
          <w:color w:val="1D2125"/>
          <w:kern w:val="0"/>
          <w:sz w:val="23"/>
          <w:szCs w:val="23"/>
          <w14:ligatures w14:val="none"/>
        </w:rPr>
        <w:t>Badizadeh</w:t>
      </w:r>
      <w:proofErr w:type="spellEnd"/>
      <w:r w:rsidRPr="00677A6A">
        <w:rPr>
          <w:rFonts w:ascii="Roboto" w:eastAsia="Times New Roman" w:hAnsi="Roboto" w:cs="Times New Roman"/>
          <w:color w:val="1D2125"/>
          <w:kern w:val="0"/>
          <w:sz w:val="23"/>
          <w:szCs w:val="23"/>
          <w14:ligatures w14:val="none"/>
        </w:rPr>
        <w:t xml:space="preserve"> and </w:t>
      </w:r>
      <w:proofErr w:type="spellStart"/>
      <w:r w:rsidRPr="00677A6A">
        <w:rPr>
          <w:rFonts w:ascii="Roboto" w:eastAsia="Times New Roman" w:hAnsi="Roboto" w:cs="Times New Roman"/>
          <w:color w:val="1D2125"/>
          <w:kern w:val="0"/>
          <w:sz w:val="23"/>
          <w:szCs w:val="23"/>
          <w14:ligatures w14:val="none"/>
        </w:rPr>
        <w:t>Dashtpeyma</w:t>
      </w:r>
      <w:proofErr w:type="spellEnd"/>
      <w:r w:rsidRPr="00677A6A">
        <w:rPr>
          <w:rFonts w:ascii="Roboto" w:eastAsia="Times New Roman" w:hAnsi="Roboto" w:cs="Times New Roman"/>
          <w:color w:val="1D2125"/>
          <w:kern w:val="0"/>
          <w:sz w:val="23"/>
          <w:szCs w:val="23"/>
          <w14:ligatures w14:val="none"/>
        </w:rPr>
        <w:t xml:space="preserve"> 13).</w:t>
      </w:r>
    </w:p>
    <w:p w14:paraId="44DE5C13" w14:textId="77777777" w:rsidR="00677A6A" w:rsidRPr="00677A6A" w:rsidRDefault="00677A6A" w:rsidP="00677A6A">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677A6A">
        <w:rPr>
          <w:rFonts w:ascii="Roboto" w:eastAsia="Times New Roman" w:hAnsi="Roboto" w:cs="Times New Roman"/>
          <w:color w:val="1D2125"/>
          <w:kern w:val="0"/>
          <w:sz w:val="23"/>
          <w:szCs w:val="23"/>
          <w14:ligatures w14:val="none"/>
        </w:rPr>
        <w:t xml:space="preserve">In conclusion, it is crucial to adapt and integrate elements of the User Acceptance Theory model into the VHA’s health informatics strategic framework to understand and overcome obstacles to technology adoption; this standpoint will advance the quality, safety, and security of treatment for the nation’s veterans. </w:t>
      </w:r>
      <w:proofErr w:type="gramStart"/>
      <w:r w:rsidRPr="00677A6A">
        <w:rPr>
          <w:rFonts w:ascii="Roboto" w:eastAsia="Times New Roman" w:hAnsi="Roboto" w:cs="Times New Roman"/>
          <w:color w:val="1D2125"/>
          <w:kern w:val="0"/>
          <w:sz w:val="23"/>
          <w:szCs w:val="23"/>
          <w14:ligatures w14:val="none"/>
        </w:rPr>
        <w:t>In particular, by</w:t>
      </w:r>
      <w:proofErr w:type="gramEnd"/>
      <w:r w:rsidRPr="00677A6A">
        <w:rPr>
          <w:rFonts w:ascii="Roboto" w:eastAsia="Times New Roman" w:hAnsi="Roboto" w:cs="Times New Roman"/>
          <w:color w:val="1D2125"/>
          <w:kern w:val="0"/>
          <w:sz w:val="23"/>
          <w:szCs w:val="23"/>
          <w14:ligatures w14:val="none"/>
        </w:rPr>
        <w:t xml:space="preserve"> adhering to the set of factors denoting the usage of new IT applications as presented in UAT, the VHA can develop planned interventions to enhance the adoption of new solutions and thus enhance care delivery for the assortment of veterans.</w:t>
      </w:r>
    </w:p>
    <w:p w14:paraId="217F1DB2" w14:textId="77777777" w:rsidR="00677A6A" w:rsidRPr="00677A6A" w:rsidRDefault="00677A6A" w:rsidP="00677A6A">
      <w:pPr>
        <w:shd w:val="clear" w:color="auto" w:fill="FFFFFF"/>
        <w:spacing w:after="0" w:line="240" w:lineRule="auto"/>
        <w:rPr>
          <w:rFonts w:ascii="Roboto" w:eastAsia="Times New Roman" w:hAnsi="Roboto" w:cs="Times New Roman"/>
          <w:color w:val="1D2125"/>
          <w:kern w:val="0"/>
          <w:sz w:val="23"/>
          <w:szCs w:val="23"/>
          <w14:ligatures w14:val="none"/>
        </w:rPr>
      </w:pPr>
      <w:r w:rsidRPr="00677A6A">
        <w:rPr>
          <w:rFonts w:ascii="Roboto" w:eastAsia="Times New Roman" w:hAnsi="Roboto" w:cs="Times New Roman"/>
          <w:color w:val="1D2125"/>
          <w:kern w:val="0"/>
          <w:sz w:val="23"/>
          <w:szCs w:val="23"/>
          <w14:ligatures w14:val="none"/>
        </w:rPr>
        <w:br w:type="textWrapping" w:clear="all"/>
      </w:r>
    </w:p>
    <w:p w14:paraId="24A2F282" w14:textId="77777777" w:rsidR="00677A6A" w:rsidRPr="00677A6A" w:rsidRDefault="00677A6A" w:rsidP="00677A6A">
      <w:pPr>
        <w:shd w:val="clear" w:color="auto" w:fill="FFFFFF"/>
        <w:spacing w:after="100" w:afterAutospacing="1" w:line="240" w:lineRule="auto"/>
        <w:jc w:val="center"/>
        <w:rPr>
          <w:rFonts w:ascii="Roboto" w:eastAsia="Times New Roman" w:hAnsi="Roboto" w:cs="Times New Roman"/>
          <w:color w:val="1D2125"/>
          <w:kern w:val="0"/>
          <w:sz w:val="23"/>
          <w:szCs w:val="23"/>
          <w14:ligatures w14:val="none"/>
        </w:rPr>
      </w:pPr>
      <w:r w:rsidRPr="00677A6A">
        <w:rPr>
          <w:rFonts w:ascii="Roboto" w:eastAsia="Times New Roman" w:hAnsi="Roboto" w:cs="Times New Roman"/>
          <w:color w:val="1D2125"/>
          <w:kern w:val="0"/>
          <w:sz w:val="23"/>
          <w:szCs w:val="23"/>
          <w14:ligatures w14:val="none"/>
        </w:rPr>
        <w:t>References</w:t>
      </w:r>
    </w:p>
    <w:p w14:paraId="1A3E2B96" w14:textId="77777777" w:rsidR="00677A6A" w:rsidRPr="00677A6A" w:rsidRDefault="00677A6A" w:rsidP="00677A6A">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677A6A">
        <w:rPr>
          <w:rFonts w:ascii="Roboto" w:eastAsia="Times New Roman" w:hAnsi="Roboto" w:cs="Times New Roman"/>
          <w:color w:val="1D2125"/>
          <w:kern w:val="0"/>
          <w:sz w:val="23"/>
          <w:szCs w:val="23"/>
          <w14:ligatures w14:val="none"/>
        </w:rPr>
        <w:t xml:space="preserve">Jones, Chelsea, Antonio Miguel-Cruz and Suzette </w:t>
      </w:r>
      <w:proofErr w:type="spellStart"/>
      <w:r w:rsidRPr="00677A6A">
        <w:rPr>
          <w:rFonts w:ascii="Roboto" w:eastAsia="Times New Roman" w:hAnsi="Roboto" w:cs="Times New Roman"/>
          <w:color w:val="1D2125"/>
          <w:kern w:val="0"/>
          <w:sz w:val="23"/>
          <w:szCs w:val="23"/>
          <w14:ligatures w14:val="none"/>
        </w:rPr>
        <w:t>Brémault</w:t>
      </w:r>
      <w:proofErr w:type="spellEnd"/>
      <w:r w:rsidRPr="00677A6A">
        <w:rPr>
          <w:rFonts w:ascii="Roboto" w:eastAsia="Times New Roman" w:hAnsi="Roboto" w:cs="Times New Roman"/>
          <w:color w:val="1D2125"/>
          <w:kern w:val="0"/>
          <w:sz w:val="23"/>
          <w:szCs w:val="23"/>
          <w14:ligatures w14:val="none"/>
        </w:rPr>
        <w:t xml:space="preserve">-Phillips. "Technology Acceptance and Usability of the </w:t>
      </w:r>
      <w:proofErr w:type="spellStart"/>
      <w:r w:rsidRPr="00677A6A">
        <w:rPr>
          <w:rFonts w:ascii="Roboto" w:eastAsia="Times New Roman" w:hAnsi="Roboto" w:cs="Times New Roman"/>
          <w:color w:val="1D2125"/>
          <w:kern w:val="0"/>
          <w:sz w:val="23"/>
          <w:szCs w:val="23"/>
          <w14:ligatures w14:val="none"/>
        </w:rPr>
        <w:t>BrainFx</w:t>
      </w:r>
      <w:proofErr w:type="spellEnd"/>
      <w:r w:rsidRPr="00677A6A">
        <w:rPr>
          <w:rFonts w:ascii="Roboto" w:eastAsia="Times New Roman" w:hAnsi="Roboto" w:cs="Times New Roman"/>
          <w:color w:val="1D2125"/>
          <w:kern w:val="0"/>
          <w:sz w:val="23"/>
          <w:szCs w:val="23"/>
          <w14:ligatures w14:val="none"/>
        </w:rPr>
        <w:t xml:space="preserve"> SCREEN in Canadian Military Members and </w:t>
      </w:r>
      <w:r w:rsidRPr="00677A6A">
        <w:rPr>
          <w:rFonts w:ascii="Roboto" w:eastAsia="Times New Roman" w:hAnsi="Roboto" w:cs="Times New Roman"/>
          <w:color w:val="1D2125"/>
          <w:kern w:val="0"/>
          <w:sz w:val="23"/>
          <w:szCs w:val="23"/>
          <w14:ligatures w14:val="none"/>
        </w:rPr>
        <w:lastRenderedPageBreak/>
        <w:t xml:space="preserve">Veterans </w:t>
      </w:r>
      <w:proofErr w:type="gramStart"/>
      <w:r w:rsidRPr="00677A6A">
        <w:rPr>
          <w:rFonts w:ascii="Roboto" w:eastAsia="Times New Roman" w:hAnsi="Roboto" w:cs="Times New Roman"/>
          <w:color w:val="1D2125"/>
          <w:kern w:val="0"/>
          <w:sz w:val="23"/>
          <w:szCs w:val="23"/>
          <w14:ligatures w14:val="none"/>
        </w:rPr>
        <w:t>With</w:t>
      </w:r>
      <w:proofErr w:type="gramEnd"/>
      <w:r w:rsidRPr="00677A6A">
        <w:rPr>
          <w:rFonts w:ascii="Roboto" w:eastAsia="Times New Roman" w:hAnsi="Roboto" w:cs="Times New Roman"/>
          <w:color w:val="1D2125"/>
          <w:kern w:val="0"/>
          <w:sz w:val="23"/>
          <w:szCs w:val="23"/>
          <w14:ligatures w14:val="none"/>
        </w:rPr>
        <w:t xml:space="preserve"> Posttraumatic Stress Disorder and Mild Traumatic Brain Injury: Mixed Methods UTAUT Study." </w:t>
      </w:r>
      <w:r w:rsidRPr="00677A6A">
        <w:rPr>
          <w:rFonts w:ascii="Roboto" w:eastAsia="Times New Roman" w:hAnsi="Roboto" w:cs="Times New Roman"/>
          <w:i/>
          <w:iCs/>
          <w:color w:val="1D2125"/>
          <w:kern w:val="0"/>
          <w:sz w:val="23"/>
          <w:szCs w:val="23"/>
          <w14:ligatures w14:val="none"/>
        </w:rPr>
        <w:t>JMIR Rehabilitation Assistive Technologies</w:t>
      </w:r>
      <w:r w:rsidRPr="00677A6A">
        <w:rPr>
          <w:rFonts w:ascii="Roboto" w:eastAsia="Times New Roman" w:hAnsi="Roboto" w:cs="Times New Roman"/>
          <w:color w:val="1D2125"/>
          <w:kern w:val="0"/>
          <w:sz w:val="23"/>
          <w:szCs w:val="23"/>
          <w14:ligatures w14:val="none"/>
        </w:rPr>
        <w:t> 8.2 (2021): e26078. https://rehab.jmir.org/2021/2/e26078/.</w:t>
      </w:r>
    </w:p>
    <w:p w14:paraId="5E1AE279" w14:textId="77777777" w:rsidR="00677A6A" w:rsidRPr="00677A6A" w:rsidRDefault="00677A6A" w:rsidP="00677A6A">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677A6A">
        <w:rPr>
          <w:rFonts w:ascii="Roboto" w:eastAsia="Times New Roman" w:hAnsi="Roboto" w:cs="Times New Roman"/>
          <w:color w:val="1D2125"/>
          <w:kern w:val="0"/>
          <w:sz w:val="23"/>
          <w:szCs w:val="23"/>
          <w14:ligatures w14:val="none"/>
        </w:rPr>
        <w:t xml:space="preserve">Jones, Chelsea, et al. "Technology Acceptance and Usability of a Virtual Reality Intervention for Military Members and Veterans </w:t>
      </w:r>
      <w:proofErr w:type="gramStart"/>
      <w:r w:rsidRPr="00677A6A">
        <w:rPr>
          <w:rFonts w:ascii="Roboto" w:eastAsia="Times New Roman" w:hAnsi="Roboto" w:cs="Times New Roman"/>
          <w:color w:val="1D2125"/>
          <w:kern w:val="0"/>
          <w:sz w:val="23"/>
          <w:szCs w:val="23"/>
          <w14:ligatures w14:val="none"/>
        </w:rPr>
        <w:t>With</w:t>
      </w:r>
      <w:proofErr w:type="gramEnd"/>
      <w:r w:rsidRPr="00677A6A">
        <w:rPr>
          <w:rFonts w:ascii="Roboto" w:eastAsia="Times New Roman" w:hAnsi="Roboto" w:cs="Times New Roman"/>
          <w:color w:val="1D2125"/>
          <w:kern w:val="0"/>
          <w:sz w:val="23"/>
          <w:szCs w:val="23"/>
          <w14:ligatures w14:val="none"/>
        </w:rPr>
        <w:t xml:space="preserve"> Posttraumatic Stress Disorder: Mixed Methods Unified Theory of Acceptance and Use of Technology Study." </w:t>
      </w:r>
      <w:r w:rsidRPr="00677A6A">
        <w:rPr>
          <w:rFonts w:ascii="Roboto" w:eastAsia="Times New Roman" w:hAnsi="Roboto" w:cs="Times New Roman"/>
          <w:i/>
          <w:iCs/>
          <w:color w:val="1D2125"/>
          <w:kern w:val="0"/>
          <w:sz w:val="23"/>
          <w:szCs w:val="23"/>
          <w14:ligatures w14:val="none"/>
        </w:rPr>
        <w:t>JMIR Formative Research</w:t>
      </w:r>
      <w:r w:rsidRPr="00677A6A">
        <w:rPr>
          <w:rFonts w:ascii="Roboto" w:eastAsia="Times New Roman" w:hAnsi="Roboto" w:cs="Times New Roman"/>
          <w:color w:val="1D2125"/>
          <w:kern w:val="0"/>
          <w:sz w:val="23"/>
          <w:szCs w:val="23"/>
          <w14:ligatures w14:val="none"/>
        </w:rPr>
        <w:t> 6.4 (2022): e33681. https://doi.org/10.2196%2F33681.</w:t>
      </w:r>
    </w:p>
    <w:p w14:paraId="486F12A6" w14:textId="77777777" w:rsidR="00677A6A" w:rsidRPr="00677A6A" w:rsidRDefault="00677A6A" w:rsidP="00677A6A">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677A6A">
        <w:rPr>
          <w:rFonts w:ascii="Roboto" w:eastAsia="Times New Roman" w:hAnsi="Roboto" w:cs="Times New Roman"/>
          <w:color w:val="1D2125"/>
          <w:kern w:val="0"/>
          <w:sz w:val="23"/>
          <w:szCs w:val="23"/>
          <w14:ligatures w14:val="none"/>
        </w:rPr>
        <w:t>Nazari-</w:t>
      </w:r>
      <w:proofErr w:type="spellStart"/>
      <w:r w:rsidRPr="00677A6A">
        <w:rPr>
          <w:rFonts w:ascii="Roboto" w:eastAsia="Times New Roman" w:hAnsi="Roboto" w:cs="Times New Roman"/>
          <w:color w:val="1D2125"/>
          <w:kern w:val="0"/>
          <w:sz w:val="23"/>
          <w:szCs w:val="23"/>
          <w14:ligatures w14:val="none"/>
        </w:rPr>
        <w:t>Shirkouhi</w:t>
      </w:r>
      <w:proofErr w:type="spellEnd"/>
      <w:r w:rsidRPr="00677A6A">
        <w:rPr>
          <w:rFonts w:ascii="Roboto" w:eastAsia="Times New Roman" w:hAnsi="Roboto" w:cs="Times New Roman"/>
          <w:color w:val="1D2125"/>
          <w:kern w:val="0"/>
          <w:sz w:val="23"/>
          <w:szCs w:val="23"/>
          <w14:ligatures w14:val="none"/>
        </w:rPr>
        <w:t>, Salman, et al. "A model to improve user acceptance of e-services in healthcare systems based on technology acceptance model: an empirical study." </w:t>
      </w:r>
      <w:r w:rsidRPr="00677A6A">
        <w:rPr>
          <w:rFonts w:ascii="Roboto" w:eastAsia="Times New Roman" w:hAnsi="Roboto" w:cs="Times New Roman"/>
          <w:i/>
          <w:iCs/>
          <w:color w:val="1D2125"/>
          <w:kern w:val="0"/>
          <w:sz w:val="23"/>
          <w:szCs w:val="23"/>
          <w14:ligatures w14:val="none"/>
        </w:rPr>
        <w:t>Journal of Ambient Intelligence and Humanized Computing</w:t>
      </w:r>
      <w:r w:rsidRPr="00677A6A">
        <w:rPr>
          <w:rFonts w:ascii="Roboto" w:eastAsia="Times New Roman" w:hAnsi="Roboto" w:cs="Times New Roman"/>
          <w:color w:val="1D2125"/>
          <w:kern w:val="0"/>
          <w:sz w:val="23"/>
          <w:szCs w:val="23"/>
          <w14:ligatures w14:val="none"/>
        </w:rPr>
        <w:t> 14 (2023): 7919–7935. https://link.springer.com/article/10.1007/s12652-023-04601-0.</w:t>
      </w:r>
    </w:p>
    <w:p w14:paraId="682B4A36" w14:textId="77777777" w:rsidR="00677A6A" w:rsidRPr="00677A6A" w:rsidRDefault="00677A6A" w:rsidP="00677A6A">
      <w:pPr>
        <w:shd w:val="clear" w:color="auto" w:fill="FFFFFF"/>
        <w:spacing w:after="100" w:afterAutospacing="1" w:line="240" w:lineRule="auto"/>
        <w:rPr>
          <w:rFonts w:ascii="Roboto" w:eastAsia="Times New Roman" w:hAnsi="Roboto" w:cs="Times New Roman"/>
          <w:color w:val="1D2125"/>
          <w:kern w:val="0"/>
          <w:sz w:val="23"/>
          <w:szCs w:val="23"/>
          <w14:ligatures w14:val="none"/>
        </w:rPr>
      </w:pPr>
      <w:proofErr w:type="spellStart"/>
      <w:r w:rsidRPr="00677A6A">
        <w:rPr>
          <w:rFonts w:ascii="Roboto" w:eastAsia="Times New Roman" w:hAnsi="Roboto" w:cs="Times New Roman"/>
          <w:color w:val="1D2125"/>
          <w:kern w:val="0"/>
          <w:sz w:val="23"/>
          <w:szCs w:val="23"/>
          <w14:ligatures w14:val="none"/>
        </w:rPr>
        <w:t>Pratama</w:t>
      </w:r>
      <w:proofErr w:type="spellEnd"/>
      <w:r w:rsidRPr="00677A6A">
        <w:rPr>
          <w:rFonts w:ascii="Roboto" w:eastAsia="Times New Roman" w:hAnsi="Roboto" w:cs="Times New Roman"/>
          <w:color w:val="1D2125"/>
          <w:kern w:val="0"/>
          <w:sz w:val="23"/>
          <w:szCs w:val="23"/>
          <w14:ligatures w14:val="none"/>
        </w:rPr>
        <w:t xml:space="preserve">, Arista, </w:t>
      </w:r>
      <w:proofErr w:type="spellStart"/>
      <w:r w:rsidRPr="00677A6A">
        <w:rPr>
          <w:rFonts w:ascii="Roboto" w:eastAsia="Times New Roman" w:hAnsi="Roboto" w:cs="Times New Roman"/>
          <w:color w:val="1D2125"/>
          <w:kern w:val="0"/>
          <w:sz w:val="23"/>
          <w:szCs w:val="23"/>
          <w14:ligatures w14:val="none"/>
        </w:rPr>
        <w:t>Mochamad</w:t>
      </w:r>
      <w:proofErr w:type="spellEnd"/>
      <w:r w:rsidRPr="00677A6A">
        <w:rPr>
          <w:rFonts w:ascii="Roboto" w:eastAsia="Times New Roman" w:hAnsi="Roboto" w:cs="Times New Roman"/>
          <w:color w:val="1D2125"/>
          <w:kern w:val="0"/>
          <w:sz w:val="23"/>
          <w:szCs w:val="23"/>
          <w14:ligatures w14:val="none"/>
        </w:rPr>
        <w:t xml:space="preserve"> Alif Abror and Anita Wulansari. "Analysis of E-Learning User Acceptance Factors UPN Veteran Jatim." </w:t>
      </w:r>
      <w:r w:rsidRPr="00677A6A">
        <w:rPr>
          <w:rFonts w:ascii="Roboto" w:eastAsia="Times New Roman" w:hAnsi="Roboto" w:cs="Times New Roman"/>
          <w:i/>
          <w:iCs/>
          <w:color w:val="1D2125"/>
          <w:kern w:val="0"/>
          <w:sz w:val="23"/>
          <w:szCs w:val="23"/>
          <w14:ligatures w14:val="none"/>
        </w:rPr>
        <w:t>Journal of Information Systems and Informatics</w:t>
      </w:r>
      <w:r w:rsidRPr="00677A6A">
        <w:rPr>
          <w:rFonts w:ascii="Roboto" w:eastAsia="Times New Roman" w:hAnsi="Roboto" w:cs="Times New Roman"/>
          <w:color w:val="1D2125"/>
          <w:kern w:val="0"/>
          <w:sz w:val="23"/>
          <w:szCs w:val="23"/>
          <w14:ligatures w14:val="none"/>
        </w:rPr>
        <w:t> 4.1 (2022): 55-64. https://doi.org/10.51519/journalisi.v4i1.222.</w:t>
      </w:r>
    </w:p>
    <w:p w14:paraId="5FCAE6A3" w14:textId="77777777" w:rsidR="00677A6A" w:rsidRPr="00677A6A" w:rsidRDefault="00677A6A" w:rsidP="00677A6A">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677A6A">
        <w:rPr>
          <w:rFonts w:ascii="Roboto" w:eastAsia="Times New Roman" w:hAnsi="Roboto" w:cs="Times New Roman"/>
          <w:color w:val="1D2125"/>
          <w:kern w:val="0"/>
          <w:sz w:val="23"/>
          <w:szCs w:val="23"/>
          <w14:ligatures w14:val="none"/>
        </w:rPr>
        <w:t>Venkatesh, Viswanath, et al. "User Acceptance of Information Technology: Toward a Unified View." </w:t>
      </w:r>
      <w:r w:rsidRPr="00677A6A">
        <w:rPr>
          <w:rFonts w:ascii="Roboto" w:eastAsia="Times New Roman" w:hAnsi="Roboto" w:cs="Times New Roman"/>
          <w:i/>
          <w:iCs/>
          <w:color w:val="1D2125"/>
          <w:kern w:val="0"/>
          <w:sz w:val="23"/>
          <w:szCs w:val="23"/>
          <w14:ligatures w14:val="none"/>
        </w:rPr>
        <w:t>MIS Quarterly</w:t>
      </w:r>
      <w:r w:rsidRPr="00677A6A">
        <w:rPr>
          <w:rFonts w:ascii="Roboto" w:eastAsia="Times New Roman" w:hAnsi="Roboto" w:cs="Times New Roman"/>
          <w:color w:val="1D2125"/>
          <w:kern w:val="0"/>
          <w:sz w:val="23"/>
          <w:szCs w:val="23"/>
          <w14:ligatures w14:val="none"/>
        </w:rPr>
        <w:t> 27.3 (2003): 425-478. https://doi.org/10.2307/30036540.</w:t>
      </w:r>
    </w:p>
    <w:p w14:paraId="5A0A651B" w14:textId="77777777" w:rsidR="00677A6A" w:rsidRDefault="00677A6A"/>
    <w:p w14:paraId="31F662AE" w14:textId="77777777" w:rsidR="00677A6A" w:rsidRDefault="00677A6A"/>
    <w:p w14:paraId="7EF9E635" w14:textId="77777777" w:rsidR="00677A6A" w:rsidRDefault="00677A6A"/>
    <w:p w14:paraId="2BF9C4E6" w14:textId="77777777" w:rsidR="00677A6A" w:rsidRPr="00677A6A" w:rsidRDefault="00677A6A" w:rsidP="00677A6A">
      <w:pPr>
        <w:spacing w:after="0" w:line="240" w:lineRule="auto"/>
        <w:outlineLvl w:val="2"/>
        <w:rPr>
          <w:rFonts w:ascii="var(--font-family-display)" w:eastAsia="Times New Roman" w:hAnsi="var(--font-family-display)" w:cs="Times New Roman"/>
          <w:b/>
          <w:bCs/>
          <w:kern w:val="0"/>
          <w:sz w:val="27"/>
          <w:szCs w:val="27"/>
          <w14:ligatures w14:val="none"/>
        </w:rPr>
      </w:pPr>
      <w:r w:rsidRPr="00677A6A">
        <w:rPr>
          <w:rFonts w:ascii="var(--font-family-display)" w:eastAsia="Times New Roman" w:hAnsi="var(--font-family-display)" w:cs="Times New Roman"/>
          <w:b/>
          <w:bCs/>
          <w:kern w:val="0"/>
          <w:sz w:val="27"/>
          <w:szCs w:val="27"/>
          <w14:ligatures w14:val="none"/>
        </w:rPr>
        <w:t>Re: Week 2 Discussion 2: Theory or Conceptual Framework Selection</w:t>
      </w:r>
    </w:p>
    <w:p w14:paraId="28036C4B" w14:textId="77777777" w:rsidR="00677A6A" w:rsidRPr="00677A6A" w:rsidRDefault="00677A6A" w:rsidP="00677A6A">
      <w:pPr>
        <w:spacing w:after="0" w:line="240" w:lineRule="auto"/>
        <w:rPr>
          <w:rFonts w:ascii="Times New Roman" w:eastAsia="Times New Roman" w:hAnsi="Times New Roman" w:cs="Times New Roman"/>
          <w:kern w:val="0"/>
          <w14:ligatures w14:val="none"/>
        </w:rPr>
      </w:pPr>
      <w:r w:rsidRPr="00677A6A">
        <w:rPr>
          <w:rFonts w:ascii="Times New Roman" w:eastAsia="Times New Roman" w:hAnsi="Times New Roman" w:cs="Times New Roman"/>
          <w:kern w:val="0"/>
          <w14:ligatures w14:val="none"/>
        </w:rPr>
        <w:t>by </w:t>
      </w:r>
      <w:hyperlink r:id="rId5" w:history="1">
        <w:r w:rsidRPr="00677A6A">
          <w:rPr>
            <w:rFonts w:ascii="Times New Roman" w:eastAsia="Times New Roman" w:hAnsi="Times New Roman" w:cs="Times New Roman"/>
            <w:color w:val="0000FF"/>
            <w:kern w:val="0"/>
            <w:u w:val="single"/>
            <w14:ligatures w14:val="none"/>
          </w:rPr>
          <w:t xml:space="preserve">Dickens </w:t>
        </w:r>
        <w:proofErr w:type="spellStart"/>
        <w:r w:rsidRPr="00677A6A">
          <w:rPr>
            <w:rFonts w:ascii="Times New Roman" w:eastAsia="Times New Roman" w:hAnsi="Times New Roman" w:cs="Times New Roman"/>
            <w:color w:val="0000FF"/>
            <w:kern w:val="0"/>
            <w:u w:val="single"/>
            <w14:ligatures w14:val="none"/>
          </w:rPr>
          <w:t>Tamukedde</w:t>
        </w:r>
        <w:proofErr w:type="spellEnd"/>
      </w:hyperlink>
      <w:r w:rsidRPr="00677A6A">
        <w:rPr>
          <w:rFonts w:ascii="Times New Roman" w:eastAsia="Times New Roman" w:hAnsi="Times New Roman" w:cs="Times New Roman"/>
          <w:kern w:val="0"/>
          <w14:ligatures w14:val="none"/>
        </w:rPr>
        <w:t> - Wednesday, 3 July 2024, 10:30 AM</w:t>
      </w:r>
    </w:p>
    <w:p w14:paraId="265E50B0" w14:textId="77777777" w:rsidR="00677A6A" w:rsidRPr="00677A6A" w:rsidRDefault="00677A6A" w:rsidP="00677A6A">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677A6A">
        <w:rPr>
          <w:rFonts w:ascii="Roboto" w:eastAsia="Times New Roman" w:hAnsi="Roboto" w:cs="Times New Roman"/>
          <w:color w:val="1D2125"/>
          <w:kern w:val="0"/>
          <w:sz w:val="23"/>
          <w:szCs w:val="23"/>
          <w14:ligatures w14:val="none"/>
        </w:rPr>
        <w:t xml:space="preserve">To effectively address the challenges and maximize the potential of Electronic Health Records (EHRs) in acute care settings, it is crucial to possess a solid understanding of informatics theory. The technology acceptance model (TAM) has </w:t>
      </w:r>
      <w:proofErr w:type="gramStart"/>
      <w:r w:rsidRPr="00677A6A">
        <w:rPr>
          <w:rFonts w:ascii="Roboto" w:eastAsia="Times New Roman" w:hAnsi="Roboto" w:cs="Times New Roman"/>
          <w:color w:val="1D2125"/>
          <w:kern w:val="0"/>
          <w:sz w:val="23"/>
          <w:szCs w:val="23"/>
          <w14:ligatures w14:val="none"/>
        </w:rPr>
        <w:t>shown</w:t>
      </w:r>
      <w:proofErr w:type="gramEnd"/>
      <w:r w:rsidRPr="00677A6A">
        <w:rPr>
          <w:rFonts w:ascii="Roboto" w:eastAsia="Times New Roman" w:hAnsi="Roboto" w:cs="Times New Roman"/>
          <w:color w:val="1D2125"/>
          <w:kern w:val="0"/>
          <w:sz w:val="23"/>
          <w:szCs w:val="23"/>
          <w14:ligatures w14:val="none"/>
        </w:rPr>
        <w:t xml:space="preserve"> to be particularly valuable in understanding the processes involved in the adoption and utilization of EHR systems. The term was initially proposed by Fred Davis in 1989, pertains to the process by which customers integrate technology into information systems (Tahar et al., 2020). This model asserts that the acceptability level of a specific technology is influenced by two factors: perceived usefulness and perceived ease of use. These principles are widely acknowledged as fundamental in elucidating and facilitating the implementation of EHRs in the healthcare industry. The Technology Acceptance Model (TAM) suggests that the level of technology acceptance is determined by both the perceived usefulness and the perceived ease of use. Perceived usefulness refers to the extent to which an individual considers a particular system to be beneficial in improving their performance of tasks.</w:t>
      </w:r>
    </w:p>
    <w:p w14:paraId="0B4A48CE" w14:textId="77777777" w:rsidR="00677A6A" w:rsidRPr="00677A6A" w:rsidRDefault="00677A6A" w:rsidP="00677A6A">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677A6A">
        <w:rPr>
          <w:rFonts w:ascii="Roboto" w:eastAsia="Times New Roman" w:hAnsi="Roboto" w:cs="Times New Roman"/>
          <w:color w:val="1D2125"/>
          <w:kern w:val="0"/>
          <w:sz w:val="23"/>
          <w:szCs w:val="23"/>
          <w14:ligatures w14:val="none"/>
        </w:rPr>
        <w:t xml:space="preserve">Healthcare practitioners assert that EHRs have the potential to enhance patient care, operational efficiency, and reduce health mistakes. Perceived ease of use refers to an individual's subjective assessment of how effortless they believe it is to use a system. In the healthcare sector, clinical workers encounter time constraints and engage in several </w:t>
      </w:r>
      <w:r w:rsidRPr="00677A6A">
        <w:rPr>
          <w:rFonts w:ascii="Roboto" w:eastAsia="Times New Roman" w:hAnsi="Roboto" w:cs="Times New Roman"/>
          <w:color w:val="1D2125"/>
          <w:kern w:val="0"/>
          <w:sz w:val="23"/>
          <w:szCs w:val="23"/>
          <w14:ligatures w14:val="none"/>
        </w:rPr>
        <w:lastRenderedPageBreak/>
        <w:t xml:space="preserve">other tasks. The model also indicates that the </w:t>
      </w:r>
      <w:proofErr w:type="gramStart"/>
      <w:r w:rsidRPr="00677A6A">
        <w:rPr>
          <w:rFonts w:ascii="Roboto" w:eastAsia="Times New Roman" w:hAnsi="Roboto" w:cs="Times New Roman"/>
          <w:color w:val="1D2125"/>
          <w:kern w:val="0"/>
          <w:sz w:val="23"/>
          <w:szCs w:val="23"/>
          <w14:ligatures w14:val="none"/>
        </w:rPr>
        <w:t>aforementioned perceptions</w:t>
      </w:r>
      <w:proofErr w:type="gramEnd"/>
      <w:r w:rsidRPr="00677A6A">
        <w:rPr>
          <w:rFonts w:ascii="Roboto" w:eastAsia="Times New Roman" w:hAnsi="Roboto" w:cs="Times New Roman"/>
          <w:color w:val="1D2125"/>
          <w:kern w:val="0"/>
          <w:sz w:val="23"/>
          <w:szCs w:val="23"/>
          <w14:ligatures w14:val="none"/>
        </w:rPr>
        <w:t xml:space="preserve"> influence the user's attitude towards the usage of technology, which then impacts their behavioral intention. This intention comes before the utilization of the system. External factors, such as system design and training, can have an impact on patient usability (PU), patient experience of usability (PEOU), and acceptance. The dominant TAM model is a causal paradigm in which perceived utility and ease of use have an impact on attitude towards usage, which in turn affects system use. Researchers demonstrate the impact of external factors on perceived usefulness (PU) and perceived ease of use (PEOU). This framework facilitates the identification of enhancements in the application of EHR. According to Worthington's Theory of Reasoned Action (2021), an individual's behavior is influenced by their perceived behavioral intention, which is shaped by their attitude and subjective norms. TAM extends this methodology to target specific variables related to technology usage.</w:t>
      </w:r>
    </w:p>
    <w:p w14:paraId="3BD7CAA6" w14:textId="77777777" w:rsidR="00677A6A" w:rsidRPr="00677A6A" w:rsidRDefault="00677A6A" w:rsidP="00677A6A">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677A6A">
        <w:rPr>
          <w:rFonts w:ascii="Roboto" w:eastAsia="Times New Roman" w:hAnsi="Roboto" w:cs="Times New Roman"/>
          <w:color w:val="1D2125"/>
          <w:kern w:val="0"/>
          <w:sz w:val="23"/>
          <w:szCs w:val="23"/>
          <w14:ligatures w14:val="none"/>
        </w:rPr>
        <w:t>Implementing Technology Acceptance Model (TAM) in acute care Electronic Health Records (EHRs) has numerous consequences. Healthcare practitioners may choose to utilize electronic health records (EHRs) if they are shown to enhance patient outcomes. Xu (2022) found that doctors were more receptive to adopting EHRs after they comprehended the role of EHRs in mitigating prescription errors and enhancing patient safety. Demonstrating the practical advantages of EHRs for users is essential. The adoption of EHRs is greatly impacted by the perception of how easy they are to use. While customers appreciate the functionality of EHR products, complex interfaces can discourage their use. Faida et al. (2022) discovered that physicians' opinions of ease of use greatly improved in a large hospital after simplifying the system's user interface and giving comprehensive training. This demonstrates the necessity for further optimization and user assistance in EHR systems.</w:t>
      </w:r>
    </w:p>
    <w:p w14:paraId="6086048A" w14:textId="77777777" w:rsidR="00677A6A" w:rsidRPr="00677A6A" w:rsidRDefault="00677A6A" w:rsidP="00677A6A">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677A6A">
        <w:rPr>
          <w:rFonts w:ascii="Roboto" w:eastAsia="Times New Roman" w:hAnsi="Roboto" w:cs="Times New Roman"/>
          <w:color w:val="1D2125"/>
          <w:kern w:val="0"/>
          <w:sz w:val="23"/>
          <w:szCs w:val="23"/>
          <w14:ligatures w14:val="none"/>
        </w:rPr>
        <w:t>The TAM is suitable as it recognizes user acceptability as a deficiency in EHR deployment. Gaining a more comprehensive comprehension of the elements that impact the perceived utility and ease of use can assist healthcare organizations in formulating intervention strategies for EHR. This method aligns with the core values of Doctor of Nursing Practice (DNP), particularly the emphasis on evidence-based practice (EBP), ensuring patient safety, and continuous quality improvement (CQI). For instance, implementing a EHR training program that highlights the system's practicality in patient care, along with practical exposure to an actual system, can greatly enhance both the ease of use for patients (PU) and their overall satisfaction with the system's usability (PEOU) among customers. In addition, involving doctors in the design and customization of EHR systems can ensure that the technology is appropriate for clinicians and can be easily utilized by them. A phone conversation not only enhances the adoption of technologies but also fosters a culture of learning and growth. TAM can serve as a method for addressing acute care EHR difficulties. In conclusion, to enhance the utilization of EHR, healthcare organizations must prioritize the assessment of perceived usefulness and user-friendliness using models such as TAM.</w:t>
      </w:r>
    </w:p>
    <w:p w14:paraId="106911DB" w14:textId="77777777" w:rsidR="00677A6A" w:rsidRPr="00677A6A" w:rsidRDefault="00677A6A" w:rsidP="00677A6A">
      <w:pPr>
        <w:shd w:val="clear" w:color="auto" w:fill="FFFFFF"/>
        <w:spacing w:after="100" w:afterAutospacing="1" w:line="240" w:lineRule="auto"/>
        <w:jc w:val="center"/>
        <w:rPr>
          <w:rFonts w:ascii="Roboto" w:eastAsia="Times New Roman" w:hAnsi="Roboto" w:cs="Times New Roman"/>
          <w:color w:val="1D2125"/>
          <w:kern w:val="0"/>
          <w:sz w:val="23"/>
          <w:szCs w:val="23"/>
          <w14:ligatures w14:val="none"/>
        </w:rPr>
      </w:pPr>
      <w:r w:rsidRPr="00677A6A">
        <w:rPr>
          <w:rFonts w:ascii="Roboto" w:eastAsia="Times New Roman" w:hAnsi="Roboto" w:cs="Times New Roman"/>
          <w:b/>
          <w:bCs/>
          <w:color w:val="1D2125"/>
          <w:kern w:val="0"/>
          <w:sz w:val="23"/>
          <w:szCs w:val="23"/>
          <w14:ligatures w14:val="none"/>
        </w:rPr>
        <w:t> </w:t>
      </w:r>
    </w:p>
    <w:p w14:paraId="29DEAB5E" w14:textId="77777777" w:rsidR="00677A6A" w:rsidRPr="00677A6A" w:rsidRDefault="00677A6A" w:rsidP="00677A6A">
      <w:pPr>
        <w:shd w:val="clear" w:color="auto" w:fill="FFFFFF"/>
        <w:spacing w:after="100" w:afterAutospacing="1" w:line="240" w:lineRule="auto"/>
        <w:jc w:val="center"/>
        <w:rPr>
          <w:rFonts w:ascii="Roboto" w:eastAsia="Times New Roman" w:hAnsi="Roboto" w:cs="Times New Roman"/>
          <w:color w:val="1D2125"/>
          <w:kern w:val="0"/>
          <w:sz w:val="23"/>
          <w:szCs w:val="23"/>
          <w14:ligatures w14:val="none"/>
        </w:rPr>
      </w:pPr>
      <w:r w:rsidRPr="00677A6A">
        <w:rPr>
          <w:rFonts w:ascii="Roboto" w:eastAsia="Times New Roman" w:hAnsi="Roboto" w:cs="Times New Roman"/>
          <w:b/>
          <w:bCs/>
          <w:color w:val="1D2125"/>
          <w:kern w:val="0"/>
          <w:sz w:val="23"/>
          <w:szCs w:val="23"/>
          <w14:ligatures w14:val="none"/>
        </w:rPr>
        <w:t>References:</w:t>
      </w:r>
    </w:p>
    <w:p w14:paraId="5E610073" w14:textId="77777777" w:rsidR="00677A6A" w:rsidRPr="00677A6A" w:rsidRDefault="00677A6A" w:rsidP="00677A6A">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677A6A">
        <w:rPr>
          <w:rFonts w:ascii="Roboto" w:eastAsia="Times New Roman" w:hAnsi="Roboto" w:cs="Times New Roman"/>
          <w:color w:val="1D2125"/>
          <w:kern w:val="0"/>
          <w:sz w:val="23"/>
          <w:szCs w:val="23"/>
          <w14:ligatures w14:val="none"/>
        </w:rPr>
        <w:lastRenderedPageBreak/>
        <w:t xml:space="preserve">Faida, E. W., Supriyanto, S., </w:t>
      </w:r>
      <w:proofErr w:type="spellStart"/>
      <w:r w:rsidRPr="00677A6A">
        <w:rPr>
          <w:rFonts w:ascii="Roboto" w:eastAsia="Times New Roman" w:hAnsi="Roboto" w:cs="Times New Roman"/>
          <w:color w:val="1D2125"/>
          <w:kern w:val="0"/>
          <w:sz w:val="23"/>
          <w:szCs w:val="23"/>
          <w14:ligatures w14:val="none"/>
        </w:rPr>
        <w:t>Haksama</w:t>
      </w:r>
      <w:proofErr w:type="spellEnd"/>
      <w:r w:rsidRPr="00677A6A">
        <w:rPr>
          <w:rFonts w:ascii="Roboto" w:eastAsia="Times New Roman" w:hAnsi="Roboto" w:cs="Times New Roman"/>
          <w:color w:val="1D2125"/>
          <w:kern w:val="0"/>
          <w:sz w:val="23"/>
          <w:szCs w:val="23"/>
          <w14:ligatures w14:val="none"/>
        </w:rPr>
        <w:t xml:space="preserve">, S., Notobroto, H. B., Wulandari, R. D., </w:t>
      </w:r>
      <w:proofErr w:type="spellStart"/>
      <w:r w:rsidRPr="00677A6A">
        <w:rPr>
          <w:rFonts w:ascii="Roboto" w:eastAsia="Times New Roman" w:hAnsi="Roboto" w:cs="Times New Roman"/>
          <w:color w:val="1D2125"/>
          <w:kern w:val="0"/>
          <w:sz w:val="23"/>
          <w:szCs w:val="23"/>
          <w14:ligatures w14:val="none"/>
        </w:rPr>
        <w:t>Suminar</w:t>
      </w:r>
      <w:proofErr w:type="spellEnd"/>
      <w:r w:rsidRPr="00677A6A">
        <w:rPr>
          <w:rFonts w:ascii="Roboto" w:eastAsia="Times New Roman" w:hAnsi="Roboto" w:cs="Times New Roman"/>
          <w:color w:val="1D2125"/>
          <w:kern w:val="0"/>
          <w:sz w:val="23"/>
          <w:szCs w:val="23"/>
          <w14:ligatures w14:val="none"/>
        </w:rPr>
        <w:t xml:space="preserve">, D. R., &amp; </w:t>
      </w:r>
      <w:proofErr w:type="spellStart"/>
      <w:r w:rsidRPr="00677A6A">
        <w:rPr>
          <w:rFonts w:ascii="Roboto" w:eastAsia="Times New Roman" w:hAnsi="Roboto" w:cs="Times New Roman"/>
          <w:color w:val="1D2125"/>
          <w:kern w:val="0"/>
          <w:sz w:val="23"/>
          <w:szCs w:val="23"/>
          <w14:ligatures w14:val="none"/>
        </w:rPr>
        <w:t>Suryaningtyas</w:t>
      </w:r>
      <w:proofErr w:type="spellEnd"/>
      <w:r w:rsidRPr="00677A6A">
        <w:rPr>
          <w:rFonts w:ascii="Roboto" w:eastAsia="Times New Roman" w:hAnsi="Roboto" w:cs="Times New Roman"/>
          <w:color w:val="1D2125"/>
          <w:kern w:val="0"/>
          <w:sz w:val="23"/>
          <w:szCs w:val="23"/>
          <w14:ligatures w14:val="none"/>
        </w:rPr>
        <w:t xml:space="preserve">, W. (2022). A </w:t>
      </w:r>
      <w:proofErr w:type="gramStart"/>
      <w:r w:rsidRPr="00677A6A">
        <w:rPr>
          <w:rFonts w:ascii="Roboto" w:eastAsia="Times New Roman" w:hAnsi="Roboto" w:cs="Times New Roman"/>
          <w:color w:val="1D2125"/>
          <w:kern w:val="0"/>
          <w:sz w:val="23"/>
          <w:szCs w:val="23"/>
          <w14:ligatures w14:val="none"/>
        </w:rPr>
        <w:t>Cross Sectional</w:t>
      </w:r>
      <w:proofErr w:type="gramEnd"/>
      <w:r w:rsidRPr="00677A6A">
        <w:rPr>
          <w:rFonts w:ascii="Roboto" w:eastAsia="Times New Roman" w:hAnsi="Roboto" w:cs="Times New Roman"/>
          <w:color w:val="1D2125"/>
          <w:kern w:val="0"/>
          <w:sz w:val="23"/>
          <w:szCs w:val="23"/>
          <w14:ligatures w14:val="none"/>
        </w:rPr>
        <w:t xml:space="preserve"> Study On Physicians’ Perceived Usefulness And Ease Of Use Electronic Medical Records. </w:t>
      </w:r>
      <w:r w:rsidRPr="00677A6A">
        <w:rPr>
          <w:rFonts w:ascii="Roboto" w:eastAsia="Times New Roman" w:hAnsi="Roboto" w:cs="Times New Roman"/>
          <w:i/>
          <w:iCs/>
          <w:color w:val="1D2125"/>
          <w:kern w:val="0"/>
          <w:sz w:val="23"/>
          <w:szCs w:val="23"/>
          <w14:ligatures w14:val="none"/>
        </w:rPr>
        <w:t>Journal of Pharmaceutical Negative Results</w:t>
      </w:r>
      <w:r w:rsidRPr="00677A6A">
        <w:rPr>
          <w:rFonts w:ascii="Roboto" w:eastAsia="Times New Roman" w:hAnsi="Roboto" w:cs="Times New Roman"/>
          <w:color w:val="1D2125"/>
          <w:kern w:val="0"/>
          <w:sz w:val="23"/>
          <w:szCs w:val="23"/>
          <w14:ligatures w14:val="none"/>
        </w:rPr>
        <w:t>, </w:t>
      </w:r>
      <w:r w:rsidRPr="00677A6A">
        <w:rPr>
          <w:rFonts w:ascii="Roboto" w:eastAsia="Times New Roman" w:hAnsi="Roboto" w:cs="Times New Roman"/>
          <w:i/>
          <w:iCs/>
          <w:color w:val="1D2125"/>
          <w:kern w:val="0"/>
          <w:sz w:val="23"/>
          <w:szCs w:val="23"/>
          <w14:ligatures w14:val="none"/>
        </w:rPr>
        <w:t>13</w:t>
      </w:r>
      <w:r w:rsidRPr="00677A6A">
        <w:rPr>
          <w:rFonts w:ascii="Roboto" w:eastAsia="Times New Roman" w:hAnsi="Roboto" w:cs="Times New Roman"/>
          <w:color w:val="1D2125"/>
          <w:kern w:val="0"/>
          <w:sz w:val="23"/>
          <w:szCs w:val="23"/>
          <w14:ligatures w14:val="none"/>
        </w:rPr>
        <w:t>(9SI).</w:t>
      </w:r>
    </w:p>
    <w:p w14:paraId="4A5B2AAC" w14:textId="77777777" w:rsidR="00677A6A" w:rsidRPr="00677A6A" w:rsidRDefault="00677A6A" w:rsidP="00677A6A">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677A6A">
        <w:rPr>
          <w:rFonts w:ascii="Roboto" w:eastAsia="Times New Roman" w:hAnsi="Roboto" w:cs="Times New Roman"/>
          <w:color w:val="1D2125"/>
          <w:kern w:val="0"/>
          <w:sz w:val="23"/>
          <w:szCs w:val="23"/>
          <w14:ligatures w14:val="none"/>
        </w:rPr>
        <w:t xml:space="preserve">Tahar, A., Riyadh, H. A., </w:t>
      </w:r>
      <w:proofErr w:type="spellStart"/>
      <w:r w:rsidRPr="00677A6A">
        <w:rPr>
          <w:rFonts w:ascii="Roboto" w:eastAsia="Times New Roman" w:hAnsi="Roboto" w:cs="Times New Roman"/>
          <w:color w:val="1D2125"/>
          <w:kern w:val="0"/>
          <w:sz w:val="23"/>
          <w:szCs w:val="23"/>
          <w14:ligatures w14:val="none"/>
        </w:rPr>
        <w:t>Sofyani</w:t>
      </w:r>
      <w:proofErr w:type="spellEnd"/>
      <w:r w:rsidRPr="00677A6A">
        <w:rPr>
          <w:rFonts w:ascii="Roboto" w:eastAsia="Times New Roman" w:hAnsi="Roboto" w:cs="Times New Roman"/>
          <w:color w:val="1D2125"/>
          <w:kern w:val="0"/>
          <w:sz w:val="23"/>
          <w:szCs w:val="23"/>
          <w14:ligatures w14:val="none"/>
        </w:rPr>
        <w:t>, H., &amp; Purnomo, W. E. (2020). Perceived ease of use, perceived usefulness, perceived security and intention to use e-filing: The role of technology readiness. </w:t>
      </w:r>
      <w:r w:rsidRPr="00677A6A">
        <w:rPr>
          <w:rFonts w:ascii="Roboto" w:eastAsia="Times New Roman" w:hAnsi="Roboto" w:cs="Times New Roman"/>
          <w:i/>
          <w:iCs/>
          <w:color w:val="1D2125"/>
          <w:kern w:val="0"/>
          <w:sz w:val="23"/>
          <w:szCs w:val="23"/>
          <w14:ligatures w14:val="none"/>
        </w:rPr>
        <w:t>The Journal of Asian Finance, Economics and Business</w:t>
      </w:r>
      <w:r w:rsidRPr="00677A6A">
        <w:rPr>
          <w:rFonts w:ascii="Roboto" w:eastAsia="Times New Roman" w:hAnsi="Roboto" w:cs="Times New Roman"/>
          <w:color w:val="1D2125"/>
          <w:kern w:val="0"/>
          <w:sz w:val="23"/>
          <w:szCs w:val="23"/>
          <w14:ligatures w14:val="none"/>
        </w:rPr>
        <w:t>, </w:t>
      </w:r>
      <w:r w:rsidRPr="00677A6A">
        <w:rPr>
          <w:rFonts w:ascii="Roboto" w:eastAsia="Times New Roman" w:hAnsi="Roboto" w:cs="Times New Roman"/>
          <w:i/>
          <w:iCs/>
          <w:color w:val="1D2125"/>
          <w:kern w:val="0"/>
          <w:sz w:val="23"/>
          <w:szCs w:val="23"/>
          <w14:ligatures w14:val="none"/>
        </w:rPr>
        <w:t>7</w:t>
      </w:r>
      <w:r w:rsidRPr="00677A6A">
        <w:rPr>
          <w:rFonts w:ascii="Roboto" w:eastAsia="Times New Roman" w:hAnsi="Roboto" w:cs="Times New Roman"/>
          <w:color w:val="1D2125"/>
          <w:kern w:val="0"/>
          <w:sz w:val="23"/>
          <w:szCs w:val="23"/>
          <w14:ligatures w14:val="none"/>
        </w:rPr>
        <w:t>(9), 537-547.</w:t>
      </w:r>
    </w:p>
    <w:p w14:paraId="2680DBBB" w14:textId="77777777" w:rsidR="00677A6A" w:rsidRPr="00677A6A" w:rsidRDefault="00677A6A" w:rsidP="00677A6A">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677A6A">
        <w:rPr>
          <w:rFonts w:ascii="Roboto" w:eastAsia="Times New Roman" w:hAnsi="Roboto" w:cs="Times New Roman"/>
          <w:color w:val="1D2125"/>
          <w:kern w:val="0"/>
          <w:sz w:val="23"/>
          <w:szCs w:val="23"/>
          <w14:ligatures w14:val="none"/>
        </w:rPr>
        <w:t>Worthington, A. K. (2021). Theory of planned behavior. </w:t>
      </w:r>
      <w:r w:rsidRPr="00677A6A">
        <w:rPr>
          <w:rFonts w:ascii="Roboto" w:eastAsia="Times New Roman" w:hAnsi="Roboto" w:cs="Times New Roman"/>
          <w:i/>
          <w:iCs/>
          <w:color w:val="1D2125"/>
          <w:kern w:val="0"/>
          <w:sz w:val="23"/>
          <w:szCs w:val="23"/>
          <w14:ligatures w14:val="none"/>
        </w:rPr>
        <w:t>Persuasion Theory in Action: An Open Educational Resource</w:t>
      </w:r>
      <w:r w:rsidRPr="00677A6A">
        <w:rPr>
          <w:rFonts w:ascii="Roboto" w:eastAsia="Times New Roman" w:hAnsi="Roboto" w:cs="Times New Roman"/>
          <w:color w:val="1D2125"/>
          <w:kern w:val="0"/>
          <w:sz w:val="23"/>
          <w:szCs w:val="23"/>
          <w14:ligatures w14:val="none"/>
        </w:rPr>
        <w:t>.</w:t>
      </w:r>
    </w:p>
    <w:p w14:paraId="387A6735" w14:textId="77777777" w:rsidR="00677A6A" w:rsidRPr="00677A6A" w:rsidRDefault="00677A6A" w:rsidP="00677A6A">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677A6A">
        <w:rPr>
          <w:rFonts w:ascii="Roboto" w:eastAsia="Times New Roman" w:hAnsi="Roboto" w:cs="Times New Roman"/>
          <w:color w:val="1D2125"/>
          <w:kern w:val="0"/>
          <w:sz w:val="23"/>
          <w:szCs w:val="23"/>
          <w14:ligatures w14:val="none"/>
        </w:rPr>
        <w:t>Xu, Y. (2022). </w:t>
      </w:r>
      <w:r w:rsidRPr="00677A6A">
        <w:rPr>
          <w:rFonts w:ascii="Roboto" w:eastAsia="Times New Roman" w:hAnsi="Roboto" w:cs="Times New Roman"/>
          <w:i/>
          <w:iCs/>
          <w:color w:val="1D2125"/>
          <w:kern w:val="0"/>
          <w:sz w:val="23"/>
          <w:szCs w:val="23"/>
          <w14:ligatures w14:val="none"/>
        </w:rPr>
        <w:t>Usability of a Patient Portal and Patient-Perceived Errors in Electronic Health Records: A Survey Study</w:t>
      </w:r>
      <w:r w:rsidRPr="00677A6A">
        <w:rPr>
          <w:rFonts w:ascii="Roboto" w:eastAsia="Times New Roman" w:hAnsi="Roboto" w:cs="Times New Roman"/>
          <w:color w:val="1D2125"/>
          <w:kern w:val="0"/>
          <w:sz w:val="23"/>
          <w:szCs w:val="23"/>
          <w14:ligatures w14:val="none"/>
        </w:rPr>
        <w:t> (</w:t>
      </w:r>
      <w:proofErr w:type="gramStart"/>
      <w:r w:rsidRPr="00677A6A">
        <w:rPr>
          <w:rFonts w:ascii="Roboto" w:eastAsia="Times New Roman" w:hAnsi="Roboto" w:cs="Times New Roman"/>
          <w:color w:val="1D2125"/>
          <w:kern w:val="0"/>
          <w:sz w:val="23"/>
          <w:szCs w:val="23"/>
          <w14:ligatures w14:val="none"/>
        </w:rPr>
        <w:t>Master's</w:t>
      </w:r>
      <w:proofErr w:type="gramEnd"/>
      <w:r w:rsidRPr="00677A6A">
        <w:rPr>
          <w:rFonts w:ascii="Roboto" w:eastAsia="Times New Roman" w:hAnsi="Roboto" w:cs="Times New Roman"/>
          <w:color w:val="1D2125"/>
          <w:kern w:val="0"/>
          <w:sz w:val="23"/>
          <w:szCs w:val="23"/>
          <w14:ligatures w14:val="none"/>
        </w:rPr>
        <w:t xml:space="preserve"> thesis).</w:t>
      </w:r>
    </w:p>
    <w:p w14:paraId="115D1666" w14:textId="77777777" w:rsidR="00677A6A" w:rsidRDefault="00677A6A"/>
    <w:sectPr w:rsidR="00677A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ar(--font-family-display)">
    <w:altName w:val="Cambria"/>
    <w:panose1 w:val="00000000000000000000"/>
    <w:charset w:val="00"/>
    <w:family w:val="roman"/>
    <w:notTrueType/>
    <w:pitch w:val="default"/>
  </w:font>
  <w:font w:name="Roboto">
    <w:charset w:val="00"/>
    <w:family w:val="auto"/>
    <w:pitch w:val="variable"/>
    <w:sig w:usb0="E0000AFF" w:usb1="5000217F" w:usb2="0000002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7A6A"/>
    <w:rsid w:val="00677A6A"/>
    <w:rsid w:val="00B07B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F7B940"/>
  <w15:chartTrackingRefBased/>
  <w15:docId w15:val="{20825857-D653-45DD-81A2-F6D39CE52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77A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77A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77A6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77A6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77A6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77A6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77A6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77A6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77A6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7A6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77A6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77A6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77A6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77A6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77A6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77A6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77A6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77A6A"/>
    <w:rPr>
      <w:rFonts w:eastAsiaTheme="majorEastAsia" w:cstheme="majorBidi"/>
      <w:color w:val="272727" w:themeColor="text1" w:themeTint="D8"/>
    </w:rPr>
  </w:style>
  <w:style w:type="paragraph" w:styleId="Title">
    <w:name w:val="Title"/>
    <w:basedOn w:val="Normal"/>
    <w:next w:val="Normal"/>
    <w:link w:val="TitleChar"/>
    <w:uiPriority w:val="10"/>
    <w:qFormat/>
    <w:rsid w:val="00677A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77A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77A6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77A6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77A6A"/>
    <w:pPr>
      <w:spacing w:before="160"/>
      <w:jc w:val="center"/>
    </w:pPr>
    <w:rPr>
      <w:i/>
      <w:iCs/>
      <w:color w:val="404040" w:themeColor="text1" w:themeTint="BF"/>
    </w:rPr>
  </w:style>
  <w:style w:type="character" w:customStyle="1" w:styleId="QuoteChar">
    <w:name w:val="Quote Char"/>
    <w:basedOn w:val="DefaultParagraphFont"/>
    <w:link w:val="Quote"/>
    <w:uiPriority w:val="29"/>
    <w:rsid w:val="00677A6A"/>
    <w:rPr>
      <w:i/>
      <w:iCs/>
      <w:color w:val="404040" w:themeColor="text1" w:themeTint="BF"/>
    </w:rPr>
  </w:style>
  <w:style w:type="paragraph" w:styleId="ListParagraph">
    <w:name w:val="List Paragraph"/>
    <w:basedOn w:val="Normal"/>
    <w:uiPriority w:val="34"/>
    <w:qFormat/>
    <w:rsid w:val="00677A6A"/>
    <w:pPr>
      <w:ind w:left="720"/>
      <w:contextualSpacing/>
    </w:pPr>
  </w:style>
  <w:style w:type="character" w:styleId="IntenseEmphasis">
    <w:name w:val="Intense Emphasis"/>
    <w:basedOn w:val="DefaultParagraphFont"/>
    <w:uiPriority w:val="21"/>
    <w:qFormat/>
    <w:rsid w:val="00677A6A"/>
    <w:rPr>
      <w:i/>
      <w:iCs/>
      <w:color w:val="0F4761" w:themeColor="accent1" w:themeShade="BF"/>
    </w:rPr>
  </w:style>
  <w:style w:type="paragraph" w:styleId="IntenseQuote">
    <w:name w:val="Intense Quote"/>
    <w:basedOn w:val="Normal"/>
    <w:next w:val="Normal"/>
    <w:link w:val="IntenseQuoteChar"/>
    <w:uiPriority w:val="30"/>
    <w:qFormat/>
    <w:rsid w:val="00677A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77A6A"/>
    <w:rPr>
      <w:i/>
      <w:iCs/>
      <w:color w:val="0F4761" w:themeColor="accent1" w:themeShade="BF"/>
    </w:rPr>
  </w:style>
  <w:style w:type="character" w:styleId="IntenseReference">
    <w:name w:val="Intense Reference"/>
    <w:basedOn w:val="DefaultParagraphFont"/>
    <w:uiPriority w:val="32"/>
    <w:qFormat/>
    <w:rsid w:val="00677A6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35498343">
      <w:bodyDiv w:val="1"/>
      <w:marLeft w:val="0"/>
      <w:marRight w:val="0"/>
      <w:marTop w:val="0"/>
      <w:marBottom w:val="0"/>
      <w:divBdr>
        <w:top w:val="none" w:sz="0" w:space="0" w:color="auto"/>
        <w:left w:val="none" w:sz="0" w:space="0" w:color="auto"/>
        <w:bottom w:val="none" w:sz="0" w:space="0" w:color="auto"/>
        <w:right w:val="none" w:sz="0" w:space="0" w:color="auto"/>
      </w:divBdr>
      <w:divsChild>
        <w:div w:id="2069377261">
          <w:marLeft w:val="0"/>
          <w:marRight w:val="0"/>
          <w:marTop w:val="0"/>
          <w:marBottom w:val="0"/>
          <w:divBdr>
            <w:top w:val="none" w:sz="0" w:space="0" w:color="auto"/>
            <w:left w:val="none" w:sz="0" w:space="0" w:color="auto"/>
            <w:bottom w:val="none" w:sz="0" w:space="0" w:color="auto"/>
            <w:right w:val="none" w:sz="0" w:space="0" w:color="auto"/>
          </w:divBdr>
          <w:divsChild>
            <w:div w:id="711003507">
              <w:marLeft w:val="0"/>
              <w:marRight w:val="0"/>
              <w:marTop w:val="0"/>
              <w:marBottom w:val="0"/>
              <w:divBdr>
                <w:top w:val="none" w:sz="0" w:space="0" w:color="auto"/>
                <w:left w:val="none" w:sz="0" w:space="0" w:color="auto"/>
                <w:bottom w:val="none" w:sz="0" w:space="0" w:color="auto"/>
                <w:right w:val="none" w:sz="0" w:space="0" w:color="auto"/>
              </w:divBdr>
            </w:div>
          </w:divsChild>
        </w:div>
        <w:div w:id="1966959162">
          <w:marLeft w:val="0"/>
          <w:marRight w:val="0"/>
          <w:marTop w:val="0"/>
          <w:marBottom w:val="0"/>
          <w:divBdr>
            <w:top w:val="none" w:sz="0" w:space="0" w:color="auto"/>
            <w:left w:val="none" w:sz="0" w:space="0" w:color="auto"/>
            <w:bottom w:val="none" w:sz="0" w:space="0" w:color="auto"/>
            <w:right w:val="none" w:sz="0" w:space="0" w:color="auto"/>
          </w:divBdr>
          <w:divsChild>
            <w:div w:id="181407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192406">
      <w:bodyDiv w:val="1"/>
      <w:marLeft w:val="0"/>
      <w:marRight w:val="0"/>
      <w:marTop w:val="0"/>
      <w:marBottom w:val="0"/>
      <w:divBdr>
        <w:top w:val="none" w:sz="0" w:space="0" w:color="auto"/>
        <w:left w:val="none" w:sz="0" w:space="0" w:color="auto"/>
        <w:bottom w:val="none" w:sz="0" w:space="0" w:color="auto"/>
        <w:right w:val="none" w:sz="0" w:space="0" w:color="auto"/>
      </w:divBdr>
      <w:divsChild>
        <w:div w:id="586573713">
          <w:marLeft w:val="0"/>
          <w:marRight w:val="0"/>
          <w:marTop w:val="0"/>
          <w:marBottom w:val="0"/>
          <w:divBdr>
            <w:top w:val="none" w:sz="0" w:space="0" w:color="auto"/>
            <w:left w:val="none" w:sz="0" w:space="0" w:color="auto"/>
            <w:bottom w:val="none" w:sz="0" w:space="0" w:color="auto"/>
            <w:right w:val="none" w:sz="0" w:space="0" w:color="auto"/>
          </w:divBdr>
          <w:divsChild>
            <w:div w:id="1804889477">
              <w:marLeft w:val="0"/>
              <w:marRight w:val="0"/>
              <w:marTop w:val="0"/>
              <w:marBottom w:val="0"/>
              <w:divBdr>
                <w:top w:val="none" w:sz="0" w:space="0" w:color="auto"/>
                <w:left w:val="none" w:sz="0" w:space="0" w:color="auto"/>
                <w:bottom w:val="none" w:sz="0" w:space="0" w:color="auto"/>
                <w:right w:val="none" w:sz="0" w:space="0" w:color="auto"/>
              </w:divBdr>
            </w:div>
          </w:divsChild>
        </w:div>
        <w:div w:id="1715764179">
          <w:marLeft w:val="0"/>
          <w:marRight w:val="0"/>
          <w:marTop w:val="0"/>
          <w:marBottom w:val="0"/>
          <w:divBdr>
            <w:top w:val="none" w:sz="0" w:space="0" w:color="auto"/>
            <w:left w:val="none" w:sz="0" w:space="0" w:color="auto"/>
            <w:bottom w:val="none" w:sz="0" w:space="0" w:color="auto"/>
            <w:right w:val="none" w:sz="0" w:space="0" w:color="auto"/>
          </w:divBdr>
          <w:divsChild>
            <w:div w:id="963854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myonline.regiscollege.edu/user/view.php?id=8371&amp;course=5887" TargetMode="External"/><Relationship Id="rId4" Type="http://schemas.openxmlformats.org/officeDocument/2006/relationships/hyperlink" Target="https://myonline.regiscollege.edu/user/view.php?id=7656&amp;course=588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1390</Words>
  <Characters>8488</Characters>
  <Application>Microsoft Office Word</Application>
  <DocSecurity>0</DocSecurity>
  <Lines>132</Lines>
  <Paragraphs>28</Paragraphs>
  <ScaleCrop>false</ScaleCrop>
  <Company/>
  <LinksUpToDate>false</LinksUpToDate>
  <CharactersWithSpaces>9850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 Nsubuga</dc:creator>
  <cp:keywords/>
  <dc:description/>
  <cp:lastModifiedBy>Bruce Nsubuga</cp:lastModifiedBy>
  <cp:revision>1</cp:revision>
  <dcterms:created xsi:type="dcterms:W3CDTF">2024-07-06T14:02:00Z</dcterms:created>
  <dcterms:modified xsi:type="dcterms:W3CDTF">2024-07-06T14:04:00Z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eff00627-df9c-417e-bb13-14294b352b40</vt:lpwstr>
  </property>
</Properties>
</file>