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1A" w:rsidRDefault="0045611A" w:rsidP="0045611A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</w:p>
    <w:p w:rsidR="0045611A" w:rsidRPr="00D05E46" w:rsidRDefault="0045611A" w:rsidP="0045611A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D05E46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Johns Hopkins Individual Evidence Summary Tool</w:t>
      </w:r>
      <w:r>
        <w:rPr>
          <w:rFonts w:cs="Times New Roman"/>
          <w:sz w:val="20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172"/>
        <w:gridCol w:w="2189"/>
        <w:gridCol w:w="1255"/>
        <w:gridCol w:w="1722"/>
        <w:gridCol w:w="2037"/>
        <w:gridCol w:w="2268"/>
        <w:gridCol w:w="1881"/>
        <w:gridCol w:w="1487"/>
        <w:gridCol w:w="1013"/>
        <w:gridCol w:w="1010"/>
      </w:tblGrid>
      <w:tr w:rsidR="0045611A" w:rsidRPr="00D05E46" w:rsidTr="000A1EC5">
        <w:trPr>
          <w:trHeight w:val="594"/>
        </w:trPr>
        <w:tc>
          <w:tcPr>
            <w:tcW w:w="363" w:type="pct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45" w:type="pct"/>
            <w:gridSpan w:val="9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 xml:space="preserve">EBP Project Practice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2"/>
                <w14:ligatures w14:val="none"/>
              </w:rPr>
              <w:t>Question:</w:t>
            </w:r>
          </w:p>
        </w:tc>
        <w:tc>
          <w:tcPr>
            <w:tcW w:w="292" w:type="pct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</w:tr>
      <w:tr w:rsidR="0045611A" w:rsidRPr="00D05E46" w:rsidTr="000A1EC5">
        <w:trPr>
          <w:trHeight w:val="809"/>
        </w:trPr>
        <w:tc>
          <w:tcPr>
            <w:tcW w:w="363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right="33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Reviewer Name(s)</w:t>
            </w:r>
          </w:p>
        </w:tc>
        <w:tc>
          <w:tcPr>
            <w:tcW w:w="339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Article Number</w:t>
            </w:r>
          </w:p>
        </w:tc>
        <w:tc>
          <w:tcPr>
            <w:tcW w:w="633" w:type="pct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Author, Date, and Title</w:t>
            </w:r>
          </w:p>
        </w:tc>
        <w:tc>
          <w:tcPr>
            <w:tcW w:w="363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Type of Evidence</w:t>
            </w:r>
          </w:p>
        </w:tc>
        <w:tc>
          <w:tcPr>
            <w:tcW w:w="498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Population,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size, and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setting</w:t>
            </w:r>
          </w:p>
        </w:tc>
        <w:tc>
          <w:tcPr>
            <w:tcW w:w="589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right="93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Intervention</w:t>
            </w:r>
          </w:p>
        </w:tc>
        <w:tc>
          <w:tcPr>
            <w:tcW w:w="656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right="11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Findings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that help answer</w:t>
            </w:r>
            <w:r w:rsidRPr="00D05E46">
              <w:rPr>
                <w:rFonts w:eastAsia="Times New Roman" w:cs="Times New Roman"/>
                <w:b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EBP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question</w:t>
            </w:r>
          </w:p>
        </w:tc>
        <w:tc>
          <w:tcPr>
            <w:tcW w:w="544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right="215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Measures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>used</w:t>
            </w:r>
          </w:p>
        </w:tc>
        <w:tc>
          <w:tcPr>
            <w:tcW w:w="430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Limitations</w:t>
            </w:r>
          </w:p>
        </w:tc>
        <w:tc>
          <w:tcPr>
            <w:tcW w:w="293" w:type="pct"/>
            <w:vAlign w:val="center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Evidence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level &amp;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quality</w:t>
            </w:r>
          </w:p>
        </w:tc>
        <w:tc>
          <w:tcPr>
            <w:tcW w:w="292" w:type="pct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Notes to Team</w:t>
            </w:r>
          </w:p>
        </w:tc>
      </w:tr>
      <w:tr w:rsidR="0045611A" w:rsidRPr="00D05E46" w:rsidTr="000A1EC5">
        <w:trPr>
          <w:trHeight w:val="659"/>
        </w:trPr>
        <w:tc>
          <w:tcPr>
            <w:tcW w:w="363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9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3" w:type="pct"/>
            <w:shd w:val="clear" w:color="auto" w:fill="C6D9F1"/>
          </w:tcPr>
          <w:p w:rsidR="0045611A" w:rsidRPr="00D05E46" w:rsidRDefault="0045611A" w:rsidP="000A1EC5">
            <w:pPr>
              <w:spacing w:after="0" w:line="240" w:lineRule="auto"/>
              <w:contextualSpacing/>
              <w:rPr>
                <w:rFonts w:ascii="Calibri" w:eastAsia="MS Mincho" w:hAnsi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8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89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6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4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3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" w:type="pct"/>
            <w:shd w:val="clear" w:color="auto" w:fill="C6D9F1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45611A" w:rsidRPr="00D05E46" w:rsidTr="000A1EC5">
        <w:trPr>
          <w:trHeight w:val="662"/>
        </w:trPr>
        <w:tc>
          <w:tcPr>
            <w:tcW w:w="363" w:type="pct"/>
          </w:tcPr>
          <w:p w:rsidR="0045611A" w:rsidRPr="002A135C" w:rsidRDefault="002A135C" w:rsidP="000A1E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bookmarkStart w:id="0" w:name="_Hlk140067709"/>
            <w:bookmarkStart w:id="1" w:name="_Hlk140067720"/>
            <w:r w:rsidRPr="002A135C">
              <w:rPr>
                <w:rFonts w:cs="Times New Roman"/>
                <w:color w:val="212121"/>
                <w:sz w:val="22"/>
                <w:shd w:val="clear" w:color="auto" w:fill="FFFFFF"/>
              </w:rPr>
              <w:t>National Center For Advancing Translational Sciences of the National Institutes of Health </w:t>
            </w:r>
          </w:p>
        </w:tc>
        <w:tc>
          <w:tcPr>
            <w:tcW w:w="339" w:type="pct"/>
          </w:tcPr>
          <w:p w:rsidR="0045611A" w:rsidRPr="00D05E46" w:rsidRDefault="00941B87" w:rsidP="000A1E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633" w:type="pct"/>
          </w:tcPr>
          <w:p w:rsidR="00941B87" w:rsidRPr="002A135C" w:rsidRDefault="00941B87" w:rsidP="002A135C">
            <w:pPr>
              <w:spacing w:line="360" w:lineRule="auto"/>
              <w:rPr>
                <w:rFonts w:cs="Times New Roman"/>
                <w:sz w:val="22"/>
                <w:shd w:val="clear" w:color="auto" w:fill="FFFFFF"/>
              </w:rPr>
            </w:pPr>
            <w:r w:rsidRPr="002A135C">
              <w:rPr>
                <w:rFonts w:cs="Times New Roman"/>
                <w:sz w:val="22"/>
                <w:shd w:val="clear" w:color="auto" w:fill="FFFFFF"/>
              </w:rPr>
              <w:t xml:space="preserve">Rivera, K. J., Zhang, J. Y., Mohr, D. C., </w:t>
            </w:r>
            <w:proofErr w:type="spellStart"/>
            <w:r w:rsidRPr="002A135C">
              <w:rPr>
                <w:rFonts w:cs="Times New Roman"/>
                <w:sz w:val="22"/>
                <w:shd w:val="clear" w:color="auto" w:fill="FFFFFF"/>
              </w:rPr>
              <w:t>Wescott</w:t>
            </w:r>
            <w:proofErr w:type="spellEnd"/>
            <w:r w:rsidRPr="002A135C">
              <w:rPr>
                <w:rFonts w:cs="Times New Roman"/>
                <w:sz w:val="22"/>
                <w:shd w:val="clear" w:color="auto" w:fill="FFFFFF"/>
              </w:rPr>
              <w:t xml:space="preserve">, A. B., &amp; Pederson, A. B. (2021). A narrative </w:t>
            </w:r>
            <w:bookmarkStart w:id="2" w:name="_GoBack"/>
            <w:bookmarkEnd w:id="2"/>
            <w:r w:rsidRPr="002A135C">
              <w:rPr>
                <w:rFonts w:cs="Times New Roman"/>
                <w:sz w:val="22"/>
                <w:shd w:val="clear" w:color="auto" w:fill="FFFFFF"/>
              </w:rPr>
              <w:t>review of mental illness stigma reduction interventions among African Americans in the United States. </w:t>
            </w:r>
            <w:r w:rsidRPr="002A135C">
              <w:rPr>
                <w:rFonts w:cs="Times New Roman"/>
                <w:i/>
                <w:iCs/>
                <w:sz w:val="22"/>
                <w:shd w:val="clear" w:color="auto" w:fill="FFFFFF"/>
              </w:rPr>
              <w:t>Journal of mental health &amp; clinical psychology</w:t>
            </w:r>
            <w:r w:rsidRPr="002A135C">
              <w:rPr>
                <w:rFonts w:cs="Times New Roman"/>
                <w:sz w:val="22"/>
                <w:shd w:val="clear" w:color="auto" w:fill="FFFFFF"/>
              </w:rPr>
              <w:t>, </w:t>
            </w:r>
            <w:r w:rsidRPr="002A135C">
              <w:rPr>
                <w:rFonts w:cs="Times New Roman"/>
                <w:i/>
                <w:iCs/>
                <w:sz w:val="22"/>
                <w:shd w:val="clear" w:color="auto" w:fill="FFFFFF"/>
              </w:rPr>
              <w:t>5</w:t>
            </w:r>
            <w:r w:rsidRPr="002A135C">
              <w:rPr>
                <w:rFonts w:cs="Times New Roman"/>
                <w:sz w:val="22"/>
                <w:shd w:val="clear" w:color="auto" w:fill="FFFFFF"/>
              </w:rPr>
              <w:t xml:space="preserve">(2), 20. </w:t>
            </w:r>
            <w:hyperlink r:id="rId5" w:history="1">
              <w:r w:rsidRPr="002A135C">
                <w:rPr>
                  <w:rStyle w:val="Hyperlink"/>
                  <w:rFonts w:cs="Times New Roman"/>
                  <w:sz w:val="22"/>
                  <w:shd w:val="clear" w:color="auto" w:fill="FFFFFF"/>
                </w:rPr>
                <w:t>https://doi.org/10.29245%2F2578-2959%2F2021%2F2.1235</w:t>
              </w:r>
            </w:hyperlink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Quantitative research wi</w:t>
            </w:r>
            <w:r w:rsidR="00941B87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 systematic reviews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498" w:type="pct"/>
          </w:tcPr>
          <w:p w:rsidR="0045611A" w:rsidRPr="00D05E46" w:rsidRDefault="00186236" w:rsidP="00C8288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5 data bases were evaluated </w:t>
            </w:r>
            <w:r w:rsidR="002B281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and keywords related to mental illnesses identified. </w:t>
            </w:r>
          </w:p>
        </w:tc>
        <w:tc>
          <w:tcPr>
            <w:tcW w:w="589" w:type="pct"/>
          </w:tcPr>
          <w:p w:rsidR="0045611A" w:rsidRPr="00D05E46" w:rsidRDefault="00CC76AE" w:rsidP="00684DE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study looked at psychoeducation </w:t>
            </w:r>
            <w:r w:rsidR="008A19B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as an intervention to mental illnesses among </w:t>
            </w:r>
            <w:r w:rsidR="00684DE6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African Americans. Education can be tailored to specific </w:t>
            </w:r>
            <w:proofErr w:type="gramStart"/>
            <w:r w:rsidR="00684DE6">
              <w:rPr>
                <w:rFonts w:eastAsia="Times New Roman" w:cs="Times New Roman"/>
                <w:kern w:val="0"/>
                <w:sz w:val="22"/>
                <w14:ligatures w14:val="none"/>
              </w:rPr>
              <w:t>populations</w:t>
            </w:r>
            <w:proofErr w:type="gramEnd"/>
            <w:r w:rsidR="00684DE6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base on their mental health needs. </w:t>
            </w:r>
          </w:p>
        </w:tc>
        <w:tc>
          <w:tcPr>
            <w:tcW w:w="656" w:type="pct"/>
          </w:tcPr>
          <w:p w:rsidR="00E70634" w:rsidRPr="00D05E46" w:rsidRDefault="00684DE6" w:rsidP="00E7063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indicate that </w:t>
            </w:r>
            <w:r w:rsidR="00F05FC6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severity and chronicity of mental health illnesses </w:t>
            </w:r>
            <w:r w:rsidR="009A039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correlates with adverse health outcomes and health disparities. </w:t>
            </w:r>
          </w:p>
        </w:tc>
        <w:tc>
          <w:tcPr>
            <w:tcW w:w="544" w:type="pct"/>
          </w:tcPr>
          <w:p w:rsidR="0045611A" w:rsidRPr="00D05E46" w:rsidRDefault="0045611A" w:rsidP="00E37F5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researchers </w:t>
            </w:r>
            <w:r w:rsidR="0077088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utilized data specific </w:t>
            </w:r>
            <w:r w:rsidR="00E37F58">
              <w:rPr>
                <w:rFonts w:eastAsia="Times New Roman" w:cs="Times New Roman"/>
                <w:kern w:val="0"/>
                <w:sz w:val="22"/>
                <w14:ligatures w14:val="none"/>
              </w:rPr>
              <w:t>controlled</w:t>
            </w:r>
            <w:r w:rsidR="0077088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keywords and vocabulary terms to locate </w:t>
            </w:r>
            <w:r w:rsidR="006D353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articles that discuss mental illness. </w:t>
            </w:r>
            <w:r w:rsidR="00BC264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Translated searches were also included in the appendix </w:t>
            </w:r>
            <w:r w:rsidR="003E047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in addition to the data bases being searched </w:t>
            </w:r>
            <w:r w:rsidR="006D3B3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without limits or filters. </w:t>
            </w:r>
          </w:p>
        </w:tc>
        <w:tc>
          <w:tcPr>
            <w:tcW w:w="430" w:type="pct"/>
          </w:tcPr>
          <w:p w:rsidR="0045611A" w:rsidRPr="00D05E46" w:rsidRDefault="0045611A" w:rsidP="0024693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One limitation </w:t>
            </w:r>
            <w:r w:rsidR="00533CCC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involves a smaller number of studies </w:t>
            </w:r>
            <w:r w:rsidR="00036C0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and poor methodological </w:t>
            </w:r>
            <w:r w:rsidR="0024693B">
              <w:rPr>
                <w:rFonts w:eastAsia="Times New Roman" w:cs="Times New Roman"/>
                <w:kern w:val="0"/>
                <w:sz w:val="22"/>
                <w14:ligatures w14:val="none"/>
              </w:rPr>
              <w:t>qualities</w:t>
            </w:r>
            <w:r w:rsidR="00F2770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293" w:type="pct"/>
          </w:tcPr>
          <w:p w:rsidR="0045611A" w:rsidRPr="00D05E46" w:rsidRDefault="0045611A" w:rsidP="000A1E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</w:t>
            </w:r>
            <w:r w:rsidR="0024693B">
              <w:rPr>
                <w:rFonts w:eastAsia="Times New Roman" w:cs="Times New Roman"/>
                <w:kern w:val="0"/>
                <w:sz w:val="22"/>
                <w14:ligatures w14:val="none"/>
              </w:rPr>
              <w:t>I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quality A</w:t>
            </w:r>
          </w:p>
        </w:tc>
        <w:tc>
          <w:tcPr>
            <w:tcW w:w="292" w:type="pct"/>
          </w:tcPr>
          <w:p w:rsidR="0045611A" w:rsidRPr="00D05E46" w:rsidRDefault="0024693B" w:rsidP="003B7C5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research </w:t>
            </w:r>
            <w:r w:rsidR="00A06488">
              <w:rPr>
                <w:rFonts w:eastAsia="Times New Roman" w:cs="Times New Roman"/>
                <w:kern w:val="0"/>
                <w:sz w:val="22"/>
                <w14:ligatures w14:val="none"/>
              </w:rPr>
              <w:t>should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be considered as it has drawn conclusion based on reviewing various articles from different databases. Providing recommendations on tailoring psychoeducation makes the article a valuable resource as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it has considered potential varying needs of the African American population. </w:t>
            </w:r>
          </w:p>
        </w:tc>
      </w:tr>
      <w:bookmarkEnd w:id="0"/>
      <w:bookmarkEnd w:id="1"/>
    </w:tbl>
    <w:p w:rsidR="00104207" w:rsidRDefault="002A135C"/>
    <w:sectPr w:rsidR="00104207" w:rsidSect="00A80059">
      <w:footerReference w:type="default" r:id="rId6"/>
      <w:footerReference w:type="first" r:id="rId7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:rsidTr="43F30F79">
      <w:tc>
        <w:tcPr>
          <w:tcW w:w="4320" w:type="dxa"/>
        </w:tcPr>
        <w:p w:rsidR="00C836A1" w:rsidRDefault="002A135C" w:rsidP="43F30F79">
          <w:pPr>
            <w:pStyle w:val="Header"/>
            <w:ind w:left="-115"/>
          </w:pPr>
        </w:p>
      </w:tc>
      <w:tc>
        <w:tcPr>
          <w:tcW w:w="4320" w:type="dxa"/>
        </w:tcPr>
        <w:p w:rsidR="00C836A1" w:rsidRDefault="002A135C" w:rsidP="43F30F79">
          <w:pPr>
            <w:pStyle w:val="Header"/>
            <w:jc w:val="center"/>
          </w:pPr>
        </w:p>
      </w:tc>
      <w:tc>
        <w:tcPr>
          <w:tcW w:w="4320" w:type="dxa"/>
        </w:tcPr>
        <w:p w:rsidR="00C836A1" w:rsidRDefault="002A135C" w:rsidP="43F30F79">
          <w:pPr>
            <w:pStyle w:val="Header"/>
            <w:ind w:right="-115"/>
            <w:jc w:val="right"/>
          </w:pPr>
        </w:p>
      </w:tc>
    </w:tr>
  </w:tbl>
  <w:p w:rsidR="00C836A1" w:rsidRDefault="002A135C" w:rsidP="43F30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:rsidTr="43F30F79">
      <w:tc>
        <w:tcPr>
          <w:tcW w:w="4320" w:type="dxa"/>
        </w:tcPr>
        <w:p w:rsidR="00C836A1" w:rsidRDefault="002A135C" w:rsidP="43F30F79">
          <w:pPr>
            <w:pStyle w:val="Header"/>
            <w:ind w:left="-115"/>
          </w:pPr>
        </w:p>
      </w:tc>
      <w:tc>
        <w:tcPr>
          <w:tcW w:w="4320" w:type="dxa"/>
        </w:tcPr>
        <w:p w:rsidR="00C836A1" w:rsidRDefault="002A135C" w:rsidP="43F30F79">
          <w:pPr>
            <w:pStyle w:val="Header"/>
            <w:jc w:val="center"/>
          </w:pPr>
        </w:p>
      </w:tc>
      <w:tc>
        <w:tcPr>
          <w:tcW w:w="4320" w:type="dxa"/>
        </w:tcPr>
        <w:p w:rsidR="00C836A1" w:rsidRDefault="002A135C" w:rsidP="43F30F79">
          <w:pPr>
            <w:pStyle w:val="Header"/>
            <w:ind w:right="-115"/>
            <w:jc w:val="right"/>
          </w:pPr>
        </w:p>
      </w:tc>
    </w:tr>
  </w:tbl>
  <w:p w:rsidR="00C836A1" w:rsidRDefault="002A135C" w:rsidP="43F30F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1A"/>
    <w:rsid w:val="00036C03"/>
    <w:rsid w:val="00186236"/>
    <w:rsid w:val="0024693B"/>
    <w:rsid w:val="002A135C"/>
    <w:rsid w:val="002B2818"/>
    <w:rsid w:val="003B7C5E"/>
    <w:rsid w:val="003E047F"/>
    <w:rsid w:val="0045611A"/>
    <w:rsid w:val="00533CCC"/>
    <w:rsid w:val="00684DE6"/>
    <w:rsid w:val="006D3530"/>
    <w:rsid w:val="006D3B3B"/>
    <w:rsid w:val="00770888"/>
    <w:rsid w:val="008954DA"/>
    <w:rsid w:val="008A19B9"/>
    <w:rsid w:val="00941B87"/>
    <w:rsid w:val="009A0399"/>
    <w:rsid w:val="00A06488"/>
    <w:rsid w:val="00B72CA6"/>
    <w:rsid w:val="00BC264B"/>
    <w:rsid w:val="00C8288C"/>
    <w:rsid w:val="00CC76AE"/>
    <w:rsid w:val="00E37F58"/>
    <w:rsid w:val="00E70634"/>
    <w:rsid w:val="00F05FC6"/>
    <w:rsid w:val="00F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1A"/>
    <w:pPr>
      <w:spacing w:after="160" w:line="259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11A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611A"/>
    <w:rPr>
      <w:rFonts w:ascii="Calibri" w:eastAsia="MS Mincho" w:hAnsi="Calibri"/>
    </w:rPr>
  </w:style>
  <w:style w:type="paragraph" w:styleId="Footer">
    <w:name w:val="footer"/>
    <w:basedOn w:val="Normal"/>
    <w:link w:val="FooterChar"/>
    <w:uiPriority w:val="99"/>
    <w:unhideWhenUsed/>
    <w:rsid w:val="0045611A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611A"/>
    <w:rPr>
      <w:rFonts w:ascii="Calibri" w:eastAsia="MS Mincho" w:hAnsi="Calibri"/>
    </w:rPr>
  </w:style>
  <w:style w:type="character" w:styleId="Hyperlink">
    <w:name w:val="Hyperlink"/>
    <w:basedOn w:val="DefaultParagraphFont"/>
    <w:uiPriority w:val="99"/>
    <w:unhideWhenUsed/>
    <w:rsid w:val="00456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1A"/>
    <w:pPr>
      <w:spacing w:after="160" w:line="259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11A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611A"/>
    <w:rPr>
      <w:rFonts w:ascii="Calibri" w:eastAsia="MS Mincho" w:hAnsi="Calibri"/>
    </w:rPr>
  </w:style>
  <w:style w:type="paragraph" w:styleId="Footer">
    <w:name w:val="footer"/>
    <w:basedOn w:val="Normal"/>
    <w:link w:val="FooterChar"/>
    <w:uiPriority w:val="99"/>
    <w:unhideWhenUsed/>
    <w:rsid w:val="0045611A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611A"/>
    <w:rPr>
      <w:rFonts w:ascii="Calibri" w:eastAsia="MS Mincho" w:hAnsi="Calibri"/>
    </w:rPr>
  </w:style>
  <w:style w:type="character" w:styleId="Hyperlink">
    <w:name w:val="Hyperlink"/>
    <w:basedOn w:val="DefaultParagraphFont"/>
    <w:uiPriority w:val="99"/>
    <w:unhideWhenUsed/>
    <w:rsid w:val="00456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doi.org/10.29245%2F2578-2959%2F2021%2F2.12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2024-07-16T07:33:00Z</dcterms:created>
  <dcterms:modified xsi:type="dcterms:W3CDTF">2024-07-16T08:12:00Z</dcterms:modified>
</cp:coreProperties>
</file>