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7951" w14:textId="7ECEEE87" w:rsidR="00BA6476" w:rsidRPr="00BA6476" w:rsidRDefault="00BA6476" w:rsidP="00BA64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“What Happened to You?”</w:t>
      </w:r>
    </w:p>
    <w:p w14:paraId="5B953AFE" w14:textId="02281D63" w:rsidR="00665A43" w:rsidRDefault="00273DEB" w:rsidP="00D755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Perry considers c</w:t>
      </w:r>
      <w:r w:rsidR="009A17CF">
        <w:rPr>
          <w:rFonts w:ascii="Times New Roman" w:hAnsi="Times New Roman" w:cs="Times New Roman"/>
          <w:sz w:val="24"/>
          <w:szCs w:val="24"/>
          <w:lang w:val="en-US"/>
        </w:rPr>
        <w:t xml:space="preserve">hronic dysregulation </w:t>
      </w:r>
      <w:r>
        <w:rPr>
          <w:rFonts w:ascii="Times New Roman" w:hAnsi="Times New Roman" w:cs="Times New Roman"/>
          <w:sz w:val="24"/>
          <w:szCs w:val="24"/>
          <w:lang w:val="en-US"/>
        </w:rPr>
        <w:t>as a significant predictor of psychiatric problems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highlight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97AC3">
        <w:rPr>
          <w:rFonts w:ascii="Times New Roman" w:hAnsi="Times New Roman" w:cs="Times New Roman"/>
          <w:sz w:val="24"/>
          <w:szCs w:val="24"/>
          <w:lang w:val="en-US"/>
        </w:rPr>
        <w:t xml:space="preserve">nxiety, </w:t>
      </w:r>
      <w:bookmarkStart w:id="0" w:name="_GoBack"/>
      <w:bookmarkEnd w:id="0"/>
      <w:r w:rsidR="00297AC3">
        <w:rPr>
          <w:rFonts w:ascii="Times New Roman" w:hAnsi="Times New Roman" w:cs="Times New Roman"/>
          <w:sz w:val="24"/>
          <w:szCs w:val="24"/>
          <w:lang w:val="en-US"/>
        </w:rPr>
        <w:t>depression, post-traumatic stress disorder (PTSD), substance use disorders (SUDs), disordered eating behavior, and poor sleep quality,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some of the psychiatric problems that people with chronic dysregulation 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297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31CEB">
        <w:rPr>
          <w:rFonts w:ascii="Times New Roman" w:hAnsi="Times New Roman" w:cs="Times New Roman"/>
          <w:sz w:val="24"/>
          <w:szCs w:val="24"/>
          <w:lang w:val="en-US"/>
        </w:rPr>
        <w:t>For example, some people take drugs to avoid pain and distress of dysregulation rather than for pleasure-seeking and self-indulgence. As explicated by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 xml:space="preserve"> James et al. (2023)</w:t>
      </w:r>
      <w:r w:rsidR="00331CEB">
        <w:rPr>
          <w:rFonts w:ascii="Times New Roman" w:hAnsi="Times New Roman" w:cs="Times New Roman"/>
          <w:sz w:val="24"/>
          <w:szCs w:val="24"/>
          <w:lang w:val="en-US"/>
        </w:rPr>
        <w:t xml:space="preserve">, this could be associated with the alterations of the hypothalamic-pituitary-adrenal (HPA) axis, one of the primary stress response systems. Developmental trauma impacts the occurrence of the symptoms directly or indirectly (through contagion). For example, a child growing in a home with an angry and frustrated parent internalizes the terror and may develop psychiatric or behavioral problems as they try to manage their distress. 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 xml:space="preserve">Cruz et al. (2022)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affirmed the association, noting that individuals who have been exposed to developmental trauma learn to separate themselves from the distress. 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>However, the avoidance predisposes them to extreme and destructive self-regulation methods.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4C43A1" w14:textId="4216F0DA" w:rsidR="001826E7" w:rsidRDefault="00273DEB" w:rsidP="00665A4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</w:t>
      </w:r>
      <w:r w:rsidR="00BE51F3">
        <w:rPr>
          <w:rFonts w:ascii="Times New Roman" w:hAnsi="Times New Roman" w:cs="Times New Roman"/>
          <w:sz w:val="24"/>
          <w:szCs w:val="24"/>
          <w:lang w:val="en-US"/>
        </w:rPr>
        <w:t xml:space="preserve">chapter provides crucial insights that could be applied in educating patients who have experienced trauma. </w:t>
      </w:r>
      <w:r w:rsidR="000F5334">
        <w:rPr>
          <w:rFonts w:ascii="Times New Roman" w:hAnsi="Times New Roman" w:cs="Times New Roman"/>
          <w:sz w:val="24"/>
          <w:szCs w:val="24"/>
          <w:lang w:val="en-US"/>
        </w:rPr>
        <w:t xml:space="preserve">Among the relevant aspects, </w:t>
      </w:r>
      <w:r w:rsidR="001826E7">
        <w:rPr>
          <w:rFonts w:ascii="Times New Roman" w:hAnsi="Times New Roman" w:cs="Times New Roman"/>
          <w:sz w:val="24"/>
          <w:szCs w:val="24"/>
          <w:lang w:val="en-US"/>
        </w:rPr>
        <w:t>providing access to</w:t>
      </w:r>
      <w:r w:rsidR="000F5334">
        <w:rPr>
          <w:rFonts w:ascii="Times New Roman" w:hAnsi="Times New Roman" w:cs="Times New Roman"/>
          <w:sz w:val="24"/>
          <w:szCs w:val="24"/>
          <w:lang w:val="en-US"/>
        </w:rPr>
        <w:t xml:space="preserve"> support networks </w:t>
      </w:r>
      <w:r w:rsidR="001826E7">
        <w:rPr>
          <w:rFonts w:ascii="Times New Roman" w:hAnsi="Times New Roman" w:cs="Times New Roman"/>
          <w:sz w:val="24"/>
          <w:szCs w:val="24"/>
          <w:lang w:val="en-US"/>
        </w:rPr>
        <w:t>and positive</w:t>
      </w:r>
      <w:r w:rsidR="000F5334">
        <w:rPr>
          <w:rFonts w:ascii="Times New Roman" w:hAnsi="Times New Roman" w:cs="Times New Roman"/>
          <w:sz w:val="24"/>
          <w:szCs w:val="24"/>
          <w:lang w:val="en-US"/>
        </w:rPr>
        <w:t xml:space="preserve"> relationships could be incorporated into</w:t>
      </w:r>
      <w:r w:rsidR="001826E7">
        <w:rPr>
          <w:rFonts w:ascii="Times New Roman" w:hAnsi="Times New Roman" w:cs="Times New Roman"/>
          <w:sz w:val="24"/>
          <w:szCs w:val="24"/>
          <w:lang w:val="en-US"/>
        </w:rPr>
        <w:t xml:space="preserve"> patient education. </w:t>
      </w:r>
      <w:r w:rsidR="001826E7">
        <w:rPr>
          <w:rFonts w:ascii="Times New Roman" w:hAnsi="Times New Roman" w:cs="Times New Roman"/>
          <w:sz w:val="24"/>
          <w:szCs w:val="24"/>
          <w:lang w:val="en-US"/>
        </w:rPr>
        <w:t>As Dr. Perry observed,</w:t>
      </w:r>
      <w:r w:rsidR="001826E7">
        <w:rPr>
          <w:rFonts w:ascii="Times New Roman" w:hAnsi="Times New Roman" w:cs="Times New Roman"/>
          <w:sz w:val="24"/>
          <w:szCs w:val="24"/>
          <w:lang w:val="en-US"/>
        </w:rPr>
        <w:t xml:space="preserve"> these interactions could create rewarding connectedness and enhance coping with distress. </w:t>
      </w:r>
      <w:r w:rsidR="00566571">
        <w:rPr>
          <w:rFonts w:ascii="Times New Roman" w:hAnsi="Times New Roman" w:cs="Times New Roman"/>
          <w:sz w:val="24"/>
          <w:szCs w:val="24"/>
          <w:lang w:val="en-US"/>
        </w:rPr>
        <w:t xml:space="preserve">For patients with PTSD, 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 xml:space="preserve">firstly, </w:t>
      </w:r>
      <w:r w:rsidR="00566571">
        <w:rPr>
          <w:rFonts w:ascii="Times New Roman" w:hAnsi="Times New Roman" w:cs="Times New Roman"/>
          <w:sz w:val="24"/>
          <w:szCs w:val="24"/>
          <w:lang w:val="en-US"/>
        </w:rPr>
        <w:t xml:space="preserve">patient education 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66571">
        <w:rPr>
          <w:rFonts w:ascii="Times New Roman" w:hAnsi="Times New Roman" w:cs="Times New Roman"/>
          <w:sz w:val="24"/>
          <w:szCs w:val="24"/>
          <w:lang w:val="en-US"/>
        </w:rPr>
        <w:t>ould start with the establishment of a trust-based therapeutic relationship. As established by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476">
        <w:rPr>
          <w:rFonts w:ascii="Times New Roman" w:hAnsi="Times New Roman" w:cs="Times New Roman"/>
          <w:sz w:val="24"/>
          <w:szCs w:val="24"/>
          <w:lang w:val="en-US"/>
        </w:rPr>
        <w:t>Zeifman</w:t>
      </w:r>
      <w:proofErr w:type="spellEnd"/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et al. (2024)</w:t>
      </w:r>
      <w:r w:rsidR="00566571">
        <w:rPr>
          <w:rFonts w:ascii="Times New Roman" w:hAnsi="Times New Roman" w:cs="Times New Roman"/>
          <w:sz w:val="24"/>
          <w:szCs w:val="24"/>
          <w:lang w:val="en-US"/>
        </w:rPr>
        <w:t xml:space="preserve">, therapeutic alliance </w:t>
      </w:r>
      <w:r w:rsidR="00350010">
        <w:rPr>
          <w:rFonts w:ascii="Times New Roman" w:hAnsi="Times New Roman" w:cs="Times New Roman"/>
          <w:sz w:val="24"/>
          <w:szCs w:val="24"/>
          <w:lang w:val="en-US"/>
        </w:rPr>
        <w:t xml:space="preserve">significantly influences treatment outcomes in PTSD because it creates an environment of trust. 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>Secondly,</w:t>
      </w:r>
      <w:r w:rsidR="00350010">
        <w:rPr>
          <w:rFonts w:ascii="Times New Roman" w:hAnsi="Times New Roman" w:cs="Times New Roman"/>
          <w:sz w:val="24"/>
          <w:szCs w:val="24"/>
          <w:lang w:val="en-US"/>
        </w:rPr>
        <w:t xml:space="preserve"> I would educate the patient on the symptoms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 xml:space="preserve">, triggers, and </w:t>
      </w:r>
      <w:r w:rsidR="00350010">
        <w:rPr>
          <w:rFonts w:ascii="Times New Roman" w:hAnsi="Times New Roman" w:cs="Times New Roman"/>
          <w:sz w:val="24"/>
          <w:szCs w:val="24"/>
          <w:lang w:val="en-US"/>
        </w:rPr>
        <w:t>treatments for the disorder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 xml:space="preserve">. The knowledge would aim at expanding the patient’s health literacy, which influences attitudes 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and beliefs towards treatment. Thirdly, I would educate the patient on treatment options, including 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>self-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>are activities to manage stress and cope with distress.</w:t>
      </w:r>
      <w:r w:rsidR="00125FB1">
        <w:rPr>
          <w:rFonts w:ascii="Times New Roman" w:hAnsi="Times New Roman" w:cs="Times New Roman"/>
          <w:sz w:val="24"/>
          <w:szCs w:val="24"/>
          <w:lang w:val="en-US"/>
        </w:rPr>
        <w:t xml:space="preserve"> Comprehensive education on different treatments would foster informed decisions about the option that meets one’s needs and preferences. </w:t>
      </w:r>
      <w:r w:rsidR="00156CA4">
        <w:rPr>
          <w:rFonts w:ascii="Times New Roman" w:hAnsi="Times New Roman" w:cs="Times New Roman"/>
          <w:sz w:val="24"/>
          <w:szCs w:val="24"/>
          <w:lang w:val="en-US"/>
        </w:rPr>
        <w:t xml:space="preserve">I would also educate the patient on the importance of establishing relationships and seeking social support, which could assist in coping with distress. </w:t>
      </w:r>
    </w:p>
    <w:p w14:paraId="2C60AA39" w14:textId="35276435" w:rsidR="00156CA4" w:rsidRDefault="00156CA4" w:rsidP="00665A4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concepts could be applied in mental health promotion and population health in different ways. For instance, mental health professionals could </w:t>
      </w:r>
      <w:r w:rsidR="003D5F4B">
        <w:rPr>
          <w:rFonts w:ascii="Times New Roman" w:hAnsi="Times New Roman" w:cs="Times New Roman"/>
          <w:sz w:val="24"/>
          <w:szCs w:val="24"/>
          <w:lang w:val="en-US"/>
        </w:rPr>
        <w:t>implement educational, public engagement,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awareness campaigns focused on the impact of developmental trauma on mental health outcomes across the lifespan. </w:t>
      </w:r>
      <w:r w:rsidR="003D5F4B">
        <w:rPr>
          <w:rFonts w:ascii="Times New Roman" w:hAnsi="Times New Roman" w:cs="Times New Roman"/>
          <w:sz w:val="24"/>
          <w:szCs w:val="24"/>
          <w:lang w:val="en-US"/>
        </w:rPr>
        <w:t>As supported by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476">
        <w:rPr>
          <w:rFonts w:ascii="Times New Roman" w:hAnsi="Times New Roman" w:cs="Times New Roman"/>
          <w:sz w:val="24"/>
          <w:szCs w:val="24"/>
          <w:lang w:val="en-US"/>
        </w:rPr>
        <w:t>Ottley</w:t>
      </w:r>
      <w:proofErr w:type="spellEnd"/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et al. (2022)</w:t>
      </w:r>
      <w:r w:rsidR="003D5F4B">
        <w:rPr>
          <w:rFonts w:ascii="Times New Roman" w:hAnsi="Times New Roman" w:cs="Times New Roman"/>
          <w:sz w:val="24"/>
          <w:szCs w:val="24"/>
          <w:lang w:val="en-US"/>
        </w:rPr>
        <w:t xml:space="preserve">, such programs at the population level could increase community connectedness and support for positive parenting and establish norms around safe disciplinary methods. In turn,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could sensitize </w:t>
      </w:r>
      <w:r w:rsidR="003D5F4B">
        <w:rPr>
          <w:rFonts w:ascii="Times New Roman" w:hAnsi="Times New Roman" w:cs="Times New Roman"/>
          <w:sz w:val="24"/>
          <w:szCs w:val="24"/>
          <w:lang w:val="en-US"/>
        </w:rPr>
        <w:t xml:space="preserve">families </w:t>
      </w:r>
      <w:r>
        <w:rPr>
          <w:rFonts w:ascii="Times New Roman" w:hAnsi="Times New Roman" w:cs="Times New Roman"/>
          <w:sz w:val="24"/>
          <w:szCs w:val="24"/>
          <w:lang w:val="en-US"/>
        </w:rPr>
        <w:t>about nurturing and protecting children, while avoiding chaos, unpredictability, and ongoing threat in the home environment.</w:t>
      </w:r>
      <w:r w:rsidR="003D5F4B">
        <w:rPr>
          <w:rFonts w:ascii="Times New Roman" w:hAnsi="Times New Roman" w:cs="Times New Roman"/>
          <w:sz w:val="24"/>
          <w:szCs w:val="24"/>
          <w:lang w:val="en-US"/>
        </w:rPr>
        <w:t xml:space="preserve"> In addition, 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 xml:space="preserve">mental health promotion at the population level could benefit from the establishment of social support systems for individuals exposed to trauma. Evidence identifies social support as a crucial protective factor against the adverse effects of trauma. For instance, it is associated with decrease in symptom severity, enhanced self-efficacy, and better stress response during posttraumatic recovery 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>Calhoun et al., 2022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476">
        <w:rPr>
          <w:rFonts w:ascii="Times New Roman" w:hAnsi="Times New Roman" w:cs="Times New Roman"/>
          <w:sz w:val="24"/>
          <w:szCs w:val="24"/>
          <w:lang w:val="en-US"/>
        </w:rPr>
        <w:t>JArnecke</w:t>
      </w:r>
      <w:proofErr w:type="spellEnd"/>
      <w:r w:rsidR="00BA6476">
        <w:rPr>
          <w:rFonts w:ascii="Times New Roman" w:hAnsi="Times New Roman" w:cs="Times New Roman"/>
          <w:sz w:val="24"/>
          <w:szCs w:val="24"/>
          <w:lang w:val="en-US"/>
        </w:rPr>
        <w:t xml:space="preserve"> et al., 2022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55B3">
        <w:rPr>
          <w:rFonts w:ascii="Times New Roman" w:hAnsi="Times New Roman" w:cs="Times New Roman"/>
          <w:sz w:val="24"/>
          <w:szCs w:val="24"/>
          <w:lang w:val="en-US"/>
        </w:rPr>
        <w:t xml:space="preserve">. In this regard, signposting individuals exposed to trauma to sources of social support could confer positive effects on population mental health. </w:t>
      </w:r>
    </w:p>
    <w:p w14:paraId="47434453" w14:textId="0119020C" w:rsidR="00D755B3" w:rsidRDefault="00D755B3" w:rsidP="00D755B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066C022F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Calhoun, C. D., Stone, K. J., Cobb, A. R., Patterson, M. W., Danielson, C. K., &amp;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Bendezú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J. (2022). The 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role of social support in coping with psychological trauma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An 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integrated 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biopsychosocial model for posttraumatic stress recovery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The Psychiatric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Quarterly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93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949–970. </w:t>
      </w:r>
      <w:hyperlink r:id="rId4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https://doi.org/10.1007/s11126-022-10003-w</w:t>
        </w:r>
      </w:hyperlink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89C72DA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Cruz, D.,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Lichten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M., Berg, K., &amp; George, P. (2022). Developmental trauma: Conceptual framework, associated risks and comorbidities, and evaluation and treatment.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Frontiers in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Psychiatry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13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800687. </w:t>
      </w:r>
      <w:hyperlink r:id="rId5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https://doi.org/10.3389/fpsyt.2022.800687</w:t>
        </w:r>
      </w:hyperlink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4EF14BA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James, K. A.,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Stromin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I., Steenkamp, N., &amp;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Combrinck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 I. (2023). Understanding the relationships between physiological and psychosocial stress, cortisol and cognition.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Frontiers in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Endocrinology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14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1085950. </w:t>
      </w:r>
      <w:hyperlink r:id="rId6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https://doi.org/10.3389/fendo.2023.1085950</w:t>
        </w:r>
      </w:hyperlink>
    </w:p>
    <w:p w14:paraId="02FADD0B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Jarnecke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 M., Saraiya, T. C., Brown, D. G., Richardson, J., Killeen, T., &amp; Back, S. E. (2022). Examining the role of social support in treatment for co-occurring substance use disorder and posttraumatic stress disorder.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Addictive </w:t>
      </w:r>
      <w:proofErr w:type="spellStart"/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Behaviors</w:t>
      </w:r>
      <w:proofErr w:type="spellEnd"/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Reports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100427. </w:t>
      </w:r>
      <w:hyperlink r:id="rId7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https://doi.org/10.1016/j.abrep.2022.100427</w:t>
        </w:r>
      </w:hyperlink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CFEAEAF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Ottley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G.,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Barranco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 S., Freire, K. E., Meehan, A. A., Shiver, A. J., Lumpkin, C. D.,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Gervin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 W., &amp; Holmes, G. M. (2022). Preventing 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childhood adversity through economic support and social norm strategies.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American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 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Preventive Medicine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62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Suppl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1), S16–S23. </w:t>
      </w:r>
      <w:hyperlink r:id="rId8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https://doi.org/10.1016/j.amepre.2021.11.016</w:t>
        </w:r>
      </w:hyperlink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180588E" w14:textId="77777777" w:rsidR="00BA6476" w:rsidRPr="00BA6476" w:rsidRDefault="00BA6476" w:rsidP="00D755B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Zeifman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R. J.,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Kettner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H., Ross, S., Weiss, B.,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Mithoefer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C., </w:t>
      </w:r>
      <w:proofErr w:type="spellStart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Mithoefer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 T., &amp; Wagner, A. C. (2024). Preliminary evidence for the importance of therapeutic alliance in MDMA-assisted psychotherapy for posttraumatic stress disorder.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European journal of </w:t>
      </w:r>
      <w:proofErr w:type="spellStart"/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Psychotraumatology</w:t>
      </w:r>
      <w:proofErr w:type="spellEnd"/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A647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</w:t>
      </w:r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2297536. </w:t>
      </w:r>
      <w:hyperlink r:id="rId9" w:history="1">
        <w:r w:rsidRPr="00BA64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https://doi.org/10.1080/20008066.2023.2297536</w:t>
        </w:r>
      </w:hyperlink>
      <w:r w:rsidRPr="00BA64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BA6476" w:rsidRPr="00BA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43"/>
    <w:rsid w:val="000F5334"/>
    <w:rsid w:val="00125FB1"/>
    <w:rsid w:val="00156CA4"/>
    <w:rsid w:val="001826E7"/>
    <w:rsid w:val="00273DEB"/>
    <w:rsid w:val="00297AC3"/>
    <w:rsid w:val="00331CEB"/>
    <w:rsid w:val="00350010"/>
    <w:rsid w:val="003D5F4B"/>
    <w:rsid w:val="00566571"/>
    <w:rsid w:val="00665A43"/>
    <w:rsid w:val="009A17CF"/>
    <w:rsid w:val="00BA6476"/>
    <w:rsid w:val="00BE51F3"/>
    <w:rsid w:val="00D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D867"/>
  <w15:chartTrackingRefBased/>
  <w15:docId w15:val="{CBBD14FE-0AAD-4FBE-BDBD-4616E65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mepre.2021.11.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brep.2022.1004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endo.2023.10859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89/fpsyt.2022.8006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007/s11126-022-10003-w" TargetMode="External"/><Relationship Id="rId9" Type="http://schemas.openxmlformats.org/officeDocument/2006/relationships/hyperlink" Target="https://doi.org/10.1080/20008066.2023.229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2024-06-06T23:43:00Z</dcterms:created>
  <dcterms:modified xsi:type="dcterms:W3CDTF">2024-06-07T02:32:00Z</dcterms:modified>
</cp:coreProperties>
</file>