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0916E8" w14:textId="77777777" w:rsidR="008E7838" w:rsidRPr="008E7838" w:rsidRDefault="008E7838" w:rsidP="008E7838">
      <w:pPr>
        <w:spacing w:after="0" w:line="240" w:lineRule="auto"/>
        <w:outlineLvl w:val="2"/>
        <w:rPr>
          <w:rFonts w:ascii="var(--font-family-display)" w:eastAsia="Times New Roman" w:hAnsi="var(--font-family-display)" w:cs="Times New Roman"/>
          <w:b/>
          <w:bCs/>
          <w:kern w:val="0"/>
          <w:sz w:val="27"/>
          <w:szCs w:val="27"/>
          <w14:ligatures w14:val="none"/>
        </w:rPr>
      </w:pPr>
      <w:r w:rsidRPr="008E7838">
        <w:rPr>
          <w:rFonts w:ascii="var(--font-family-display)" w:eastAsia="Times New Roman" w:hAnsi="var(--font-family-display)" w:cs="Times New Roman"/>
          <w:b/>
          <w:bCs/>
          <w:kern w:val="0"/>
          <w:sz w:val="27"/>
          <w:szCs w:val="27"/>
          <w14:ligatures w14:val="none"/>
        </w:rPr>
        <w:t>Re: Week 6 Discussion: U.S. Preventive Services Task Force</w:t>
      </w:r>
    </w:p>
    <w:p w14:paraId="20C08C63" w14:textId="77777777" w:rsidR="008E7838" w:rsidRPr="008E7838" w:rsidRDefault="008E7838" w:rsidP="008E7838">
      <w:pPr>
        <w:spacing w:after="0" w:line="240" w:lineRule="auto"/>
        <w:rPr>
          <w:rFonts w:ascii="Times New Roman" w:eastAsia="Times New Roman" w:hAnsi="Times New Roman" w:cs="Times New Roman"/>
          <w:kern w:val="0"/>
          <w14:ligatures w14:val="none"/>
        </w:rPr>
      </w:pPr>
      <w:r w:rsidRPr="008E7838">
        <w:rPr>
          <w:rFonts w:ascii="Times New Roman" w:eastAsia="Times New Roman" w:hAnsi="Times New Roman" w:cs="Times New Roman"/>
          <w:kern w:val="0"/>
          <w14:ligatures w14:val="none"/>
        </w:rPr>
        <w:t>by </w:t>
      </w:r>
      <w:hyperlink r:id="rId4" w:history="1">
        <w:r w:rsidRPr="008E7838">
          <w:rPr>
            <w:rFonts w:ascii="Times New Roman" w:eastAsia="Times New Roman" w:hAnsi="Times New Roman" w:cs="Times New Roman"/>
            <w:color w:val="0000FF"/>
            <w:kern w:val="0"/>
            <w:u w:val="single"/>
            <w14:ligatures w14:val="none"/>
          </w:rPr>
          <w:t>Monica Muiruri</w:t>
        </w:r>
      </w:hyperlink>
      <w:r w:rsidRPr="008E7838">
        <w:rPr>
          <w:rFonts w:ascii="Times New Roman" w:eastAsia="Times New Roman" w:hAnsi="Times New Roman" w:cs="Times New Roman"/>
          <w:kern w:val="0"/>
          <w14:ligatures w14:val="none"/>
        </w:rPr>
        <w:t> - Wednesday, 5 June 2024, 11:54 PM</w:t>
      </w:r>
    </w:p>
    <w:p w14:paraId="15D67E18" w14:textId="77777777" w:rsidR="008E7838" w:rsidRPr="008E7838" w:rsidRDefault="008E7838" w:rsidP="008E7838">
      <w:pPr>
        <w:shd w:val="clear" w:color="auto" w:fill="FFFFFF"/>
        <w:spacing w:after="0" w:line="240" w:lineRule="auto"/>
        <w:rPr>
          <w:rFonts w:ascii="Roboto" w:eastAsia="Times New Roman" w:hAnsi="Roboto" w:cs="Times New Roman"/>
          <w:color w:val="1D2125"/>
          <w:kern w:val="0"/>
          <w:sz w:val="23"/>
          <w:szCs w:val="23"/>
          <w14:ligatures w14:val="none"/>
        </w:rPr>
      </w:pPr>
      <w:r w:rsidRPr="008E7838">
        <w:rPr>
          <w:rFonts w:ascii="Roboto" w:eastAsia="Times New Roman" w:hAnsi="Roboto" w:cs="Times New Roman"/>
          <w:color w:val="1D2125"/>
          <w:kern w:val="0"/>
          <w:sz w:val="23"/>
          <w:szCs w:val="23"/>
          <w14:ligatures w14:val="none"/>
        </w:rPr>
        <w:t>Lung cancer remains the predominant cause of cancer mortality in the United States. Individuals diagnosed with lung cancer frequently experience stigma, usually arising from the widely recognized link between smoking and lung cancer as the primary preventable cause (Williamson et al., 2020). Tobacco consumption constitutes the most significant factor in preventable lung cancer, with the risk proportionally linked to the length and quantity of smoking, and inversely linked to the period of smoking cessation (</w:t>
      </w:r>
      <w:proofErr w:type="spellStart"/>
      <w:r w:rsidRPr="008E7838">
        <w:rPr>
          <w:rFonts w:ascii="Roboto" w:eastAsia="Times New Roman" w:hAnsi="Roboto" w:cs="Times New Roman"/>
          <w:color w:val="1D2125"/>
          <w:kern w:val="0"/>
          <w:sz w:val="23"/>
          <w:szCs w:val="23"/>
          <w14:ligatures w14:val="none"/>
        </w:rPr>
        <w:t>Faselis</w:t>
      </w:r>
      <w:proofErr w:type="spellEnd"/>
      <w:r w:rsidRPr="008E7838">
        <w:rPr>
          <w:rFonts w:ascii="Roboto" w:eastAsia="Times New Roman" w:hAnsi="Roboto" w:cs="Times New Roman"/>
          <w:color w:val="1D2125"/>
          <w:kern w:val="0"/>
          <w:sz w:val="23"/>
          <w:szCs w:val="23"/>
          <w14:ligatures w14:val="none"/>
        </w:rPr>
        <w:t xml:space="preserve"> et al., 2022). One of the published recommendations applies for individuals between the ages of 50 and 80 with a smoking history of 20 pack-years and current smoking status or cessation within the last 15 years (United States Preventive Services Task Force, 2021b). The United States Preventive Services Task Force (USPSTF) advises annual screening for lung cancer using </w:t>
      </w:r>
      <w:proofErr w:type="gramStart"/>
      <w:r w:rsidRPr="008E7838">
        <w:rPr>
          <w:rFonts w:ascii="Roboto" w:eastAsia="Times New Roman" w:hAnsi="Roboto" w:cs="Times New Roman"/>
          <w:color w:val="1D2125"/>
          <w:kern w:val="0"/>
          <w:sz w:val="23"/>
          <w:szCs w:val="23"/>
          <w14:ligatures w14:val="none"/>
        </w:rPr>
        <w:t>low-dose</w:t>
      </w:r>
      <w:proofErr w:type="gramEnd"/>
      <w:r w:rsidRPr="008E7838">
        <w:rPr>
          <w:rFonts w:ascii="Roboto" w:eastAsia="Times New Roman" w:hAnsi="Roboto" w:cs="Times New Roman"/>
          <w:color w:val="1D2125"/>
          <w:kern w:val="0"/>
          <w:sz w:val="23"/>
          <w:szCs w:val="23"/>
          <w14:ligatures w14:val="none"/>
        </w:rPr>
        <w:t xml:space="preserve"> computed tomography in this population. It is important to cease screening if an individual has refrained from smoking for 15 years or if they show symptoms of a health condition that significantly reduces life expectancy or prevents them from undergoing curative lung surgery.</w:t>
      </w:r>
      <w:r w:rsidRPr="008E7838">
        <w:rPr>
          <w:rFonts w:ascii="Roboto" w:eastAsia="Times New Roman" w:hAnsi="Roboto" w:cs="Times New Roman"/>
          <w:color w:val="1D2125"/>
          <w:kern w:val="0"/>
          <w:sz w:val="23"/>
          <w:szCs w:val="23"/>
          <w14:ligatures w14:val="none"/>
        </w:rPr>
        <w:br/>
        <w:t>1. </w:t>
      </w:r>
      <w:r w:rsidRPr="008E7838">
        <w:rPr>
          <w:rFonts w:ascii="Roboto" w:eastAsia="Times New Roman" w:hAnsi="Roboto" w:cs="Times New Roman"/>
          <w:b/>
          <w:bCs/>
          <w:color w:val="1D2125"/>
          <w:kern w:val="0"/>
          <w:sz w:val="23"/>
          <w:szCs w:val="23"/>
          <w14:ligatures w14:val="none"/>
        </w:rPr>
        <w:t>Describe the grade for this recommendation (A, B, C, D, I). Be certain to use the Grade Definitions After July 2018.</w:t>
      </w:r>
      <w:r w:rsidRPr="008E7838">
        <w:rPr>
          <w:rFonts w:ascii="Roboto" w:eastAsia="Times New Roman" w:hAnsi="Roboto" w:cs="Times New Roman"/>
          <w:color w:val="1D2125"/>
          <w:kern w:val="0"/>
          <w:sz w:val="23"/>
          <w:szCs w:val="23"/>
          <w14:ligatures w14:val="none"/>
        </w:rPr>
        <w:br/>
        <w:t>The grade for this recommendation falls into Grade B (United States Preventive Services Task Force, 2021).</w:t>
      </w:r>
      <w:r w:rsidRPr="008E7838">
        <w:rPr>
          <w:rFonts w:ascii="Roboto" w:eastAsia="Times New Roman" w:hAnsi="Roboto" w:cs="Times New Roman"/>
          <w:color w:val="1D2125"/>
          <w:kern w:val="0"/>
          <w:sz w:val="23"/>
          <w:szCs w:val="23"/>
          <w14:ligatures w14:val="none"/>
        </w:rPr>
        <w:br/>
      </w:r>
      <w:r w:rsidRPr="008E7838">
        <w:rPr>
          <w:rFonts w:ascii="Roboto" w:eastAsia="Times New Roman" w:hAnsi="Roboto" w:cs="Times New Roman"/>
          <w:b/>
          <w:bCs/>
          <w:color w:val="1D2125"/>
          <w:kern w:val="0"/>
          <w:sz w:val="23"/>
          <w:szCs w:val="23"/>
          <w14:ligatures w14:val="none"/>
        </w:rPr>
        <w:t>2. Describe what the Grade means and Suggestions for Practice.</w:t>
      </w:r>
      <w:r w:rsidRPr="008E7838">
        <w:rPr>
          <w:rFonts w:ascii="Roboto" w:eastAsia="Times New Roman" w:hAnsi="Roboto" w:cs="Times New Roman"/>
          <w:color w:val="1D2125"/>
          <w:kern w:val="0"/>
          <w:sz w:val="23"/>
          <w:szCs w:val="23"/>
          <w14:ligatures w14:val="none"/>
        </w:rPr>
        <w:br/>
        <w:t>Grade B implies that the service is endorsed by the United States Preventive Services Task Force. Evidence suggests a strong assurance (high certainty) that the overall advantage (in this case, net benefit) is moderate (United States Preventive Services Task Force, 2021a). It also applies when moderate certainty exists that the overall advantage ranges from moderate to significant. Recommendations for implementation include offering or supplying this service.</w:t>
      </w:r>
      <w:r w:rsidRPr="008E7838">
        <w:rPr>
          <w:rFonts w:ascii="Roboto" w:eastAsia="Times New Roman" w:hAnsi="Roboto" w:cs="Times New Roman"/>
          <w:color w:val="1D2125"/>
          <w:kern w:val="0"/>
          <w:sz w:val="23"/>
          <w:szCs w:val="23"/>
          <w14:ligatures w14:val="none"/>
        </w:rPr>
        <w:br/>
        <w:t>3. </w:t>
      </w:r>
      <w:r w:rsidRPr="008E7838">
        <w:rPr>
          <w:rFonts w:ascii="Roboto" w:eastAsia="Times New Roman" w:hAnsi="Roboto" w:cs="Times New Roman"/>
          <w:b/>
          <w:bCs/>
          <w:color w:val="1D2125"/>
          <w:kern w:val="0"/>
          <w:sz w:val="23"/>
          <w:szCs w:val="23"/>
          <w14:ligatures w14:val="none"/>
        </w:rPr>
        <w:t>Provide the Levels of Certainty Regarding Net Benefit and the description (High, Moderate, Low).</w:t>
      </w:r>
      <w:r w:rsidRPr="008E7838">
        <w:rPr>
          <w:rFonts w:ascii="Roboto" w:eastAsia="Times New Roman" w:hAnsi="Roboto" w:cs="Times New Roman"/>
          <w:color w:val="1D2125"/>
          <w:kern w:val="0"/>
          <w:sz w:val="23"/>
          <w:szCs w:val="23"/>
          <w14:ligatures w14:val="none"/>
        </w:rPr>
        <w:br/>
        <w:t xml:space="preserve">The levels of certainty regarding net benefit encompass high, moderate, and low. High means that the existing evidence typically comprises consistent findings from robust, well-executed research papers involving representative primary care groups. These scholarly papers evaluate how the preventive service impacts health results. Consequently, this conclusion is unlikely to be significantly influenced by further research findings. Besides, moderate implies that the current evidence adequately determines how the preventive service influences health outcomes. However, confidence is limited by various aspects, including discrepancies in the continuity of evidence, variability in results across different articles, the number, magnitude, or nature of individual research, and limited applicability of results to standard primary care practice. As additional data emerges, the extent of the observed impact tends to shift, potentially altering the conclusion significantly. For example, the USPSTF determines with moderate certainty that yearly screening for lung cancer using lung cancer using </w:t>
      </w:r>
      <w:proofErr w:type="gramStart"/>
      <w:r w:rsidRPr="008E7838">
        <w:rPr>
          <w:rFonts w:ascii="Roboto" w:eastAsia="Times New Roman" w:hAnsi="Roboto" w:cs="Times New Roman"/>
          <w:color w:val="1D2125"/>
          <w:kern w:val="0"/>
          <w:sz w:val="23"/>
          <w:szCs w:val="23"/>
          <w14:ligatures w14:val="none"/>
        </w:rPr>
        <w:t>low-dose</w:t>
      </w:r>
      <w:proofErr w:type="gramEnd"/>
      <w:r w:rsidRPr="008E7838">
        <w:rPr>
          <w:rFonts w:ascii="Roboto" w:eastAsia="Times New Roman" w:hAnsi="Roboto" w:cs="Times New Roman"/>
          <w:color w:val="1D2125"/>
          <w:kern w:val="0"/>
          <w:sz w:val="23"/>
          <w:szCs w:val="23"/>
          <w14:ligatures w14:val="none"/>
        </w:rPr>
        <w:t xml:space="preserve"> computed tomography provides a moderate overall benefit for individuals who are highly susceptible due to factors such as length of time since cessation of smoking, cumulative tobacco exposure, and age (United States Preventive Services Task Force, 2021b). The moderate net benefit associated with screening relies on restricting it to high-risk individuals, ensuring the precision of image </w:t>
      </w:r>
      <w:r w:rsidRPr="008E7838">
        <w:rPr>
          <w:rFonts w:ascii="Roboto" w:eastAsia="Times New Roman" w:hAnsi="Roboto" w:cs="Times New Roman"/>
          <w:color w:val="1D2125"/>
          <w:kern w:val="0"/>
          <w:sz w:val="23"/>
          <w:szCs w:val="23"/>
          <w14:ligatures w14:val="none"/>
        </w:rPr>
        <w:lastRenderedPageBreak/>
        <w:t>interpretation is comparable to or exceeds that in clinical trials, and resolving most false-positive outcomes through serial imaging instead of invasive techniques. Lastly, low indicates that the extant evidence is inadequate to evaluate the impacts on health outcomes due to the small number of research papers, Significant flaws in research approach, inconsistencies in results across articles, breaks in the continuity of evidence, results that are not applicable to standard primary care practice, and insufficient data on critical health outcomes.</w:t>
      </w:r>
      <w:r w:rsidRPr="008E7838">
        <w:rPr>
          <w:rFonts w:ascii="Roboto" w:eastAsia="Times New Roman" w:hAnsi="Roboto" w:cs="Times New Roman"/>
          <w:color w:val="1D2125"/>
          <w:kern w:val="0"/>
          <w:sz w:val="23"/>
          <w:szCs w:val="23"/>
          <w14:ligatures w14:val="none"/>
        </w:rPr>
        <w:br/>
      </w:r>
      <w:r w:rsidRPr="008E7838">
        <w:rPr>
          <w:rFonts w:ascii="Roboto" w:eastAsia="Times New Roman" w:hAnsi="Roboto" w:cs="Times New Roman"/>
          <w:b/>
          <w:bCs/>
          <w:color w:val="1D2125"/>
          <w:kern w:val="0"/>
          <w:sz w:val="23"/>
          <w:szCs w:val="23"/>
          <w14:ligatures w14:val="none"/>
        </w:rPr>
        <w:t>4. Discuss what is meant by “net benefit” of the preventive service as implemented in a general, primary care population according to The U.S. Preventive Services Task Force (USPSTF).</w:t>
      </w:r>
      <w:r w:rsidRPr="008E7838">
        <w:rPr>
          <w:rFonts w:ascii="Roboto" w:eastAsia="Times New Roman" w:hAnsi="Roboto" w:cs="Times New Roman"/>
          <w:color w:val="1D2125"/>
          <w:kern w:val="0"/>
          <w:sz w:val="23"/>
          <w:szCs w:val="23"/>
          <w14:ligatures w14:val="none"/>
        </w:rPr>
        <w:br/>
        <w:t>The net benefit is described as the advantage minus the harm associated with the preventive service when applied to a general primary care population (United States Preventive Services Task Force, 2021a). A level of certainty is determined according to the quality of the comprehensive evidence accessible to evaluate the net benefit related to a preventive service.</w:t>
      </w:r>
      <w:r w:rsidRPr="008E7838">
        <w:rPr>
          <w:rFonts w:ascii="Roboto" w:eastAsia="Times New Roman" w:hAnsi="Roboto" w:cs="Times New Roman"/>
          <w:color w:val="1D2125"/>
          <w:kern w:val="0"/>
          <w:sz w:val="23"/>
          <w:szCs w:val="23"/>
          <w14:ligatures w14:val="none"/>
        </w:rPr>
        <w:t> </w:t>
      </w:r>
      <w:r w:rsidRPr="008E7838">
        <w:rPr>
          <w:rFonts w:ascii="Roboto" w:eastAsia="Times New Roman" w:hAnsi="Roboto" w:cs="Times New Roman"/>
          <w:color w:val="1D2125"/>
          <w:kern w:val="0"/>
          <w:sz w:val="23"/>
          <w:szCs w:val="23"/>
          <w14:ligatures w14:val="none"/>
        </w:rPr>
        <w:br/>
      </w:r>
    </w:p>
    <w:p w14:paraId="60B0272C" w14:textId="77777777" w:rsidR="008E7838" w:rsidRPr="008E7838" w:rsidRDefault="008E7838" w:rsidP="008E7838">
      <w:pPr>
        <w:shd w:val="clear" w:color="auto" w:fill="FFFFFF"/>
        <w:spacing w:after="100" w:afterAutospacing="1" w:line="240" w:lineRule="auto"/>
        <w:jc w:val="center"/>
        <w:rPr>
          <w:rFonts w:ascii="Roboto" w:eastAsia="Times New Roman" w:hAnsi="Roboto" w:cs="Times New Roman"/>
          <w:color w:val="1D2125"/>
          <w:kern w:val="0"/>
          <w:sz w:val="23"/>
          <w:szCs w:val="23"/>
          <w14:ligatures w14:val="none"/>
        </w:rPr>
      </w:pPr>
      <w:r w:rsidRPr="008E7838">
        <w:rPr>
          <w:rFonts w:ascii="Roboto" w:eastAsia="Times New Roman" w:hAnsi="Roboto" w:cs="Times New Roman"/>
          <w:b/>
          <w:bCs/>
          <w:color w:val="1D2125"/>
          <w:kern w:val="0"/>
          <w:sz w:val="23"/>
          <w:szCs w:val="23"/>
          <w14:ligatures w14:val="none"/>
        </w:rPr>
        <w:t>References</w:t>
      </w:r>
    </w:p>
    <w:p w14:paraId="60DBB59F" w14:textId="77777777" w:rsidR="008E7838" w:rsidRPr="008E7838" w:rsidRDefault="008E7838" w:rsidP="008E7838">
      <w:pPr>
        <w:shd w:val="clear" w:color="auto" w:fill="FFFFFF"/>
        <w:spacing w:after="0" w:line="240" w:lineRule="auto"/>
        <w:rPr>
          <w:rFonts w:ascii="Roboto" w:eastAsia="Times New Roman" w:hAnsi="Roboto" w:cs="Times New Roman"/>
          <w:color w:val="1D2125"/>
          <w:kern w:val="0"/>
          <w:sz w:val="23"/>
          <w:szCs w:val="23"/>
          <w14:ligatures w14:val="none"/>
        </w:rPr>
      </w:pPr>
      <w:proofErr w:type="spellStart"/>
      <w:r w:rsidRPr="008E7838">
        <w:rPr>
          <w:rFonts w:ascii="Roboto" w:eastAsia="Times New Roman" w:hAnsi="Roboto" w:cs="Times New Roman"/>
          <w:color w:val="1D2125"/>
          <w:kern w:val="0"/>
          <w:sz w:val="23"/>
          <w:szCs w:val="23"/>
          <w14:ligatures w14:val="none"/>
        </w:rPr>
        <w:t>Faselis</w:t>
      </w:r>
      <w:proofErr w:type="spellEnd"/>
      <w:r w:rsidRPr="008E7838">
        <w:rPr>
          <w:rFonts w:ascii="Roboto" w:eastAsia="Times New Roman" w:hAnsi="Roboto" w:cs="Times New Roman"/>
          <w:color w:val="1D2125"/>
          <w:kern w:val="0"/>
          <w:sz w:val="23"/>
          <w:szCs w:val="23"/>
          <w14:ligatures w14:val="none"/>
        </w:rPr>
        <w:t xml:space="preserve">, C., Nations, J. A., Morgan, C. J., </w:t>
      </w:r>
      <w:proofErr w:type="spellStart"/>
      <w:r w:rsidRPr="008E7838">
        <w:rPr>
          <w:rFonts w:ascii="Roboto" w:eastAsia="Times New Roman" w:hAnsi="Roboto" w:cs="Times New Roman"/>
          <w:color w:val="1D2125"/>
          <w:kern w:val="0"/>
          <w:sz w:val="23"/>
          <w:szCs w:val="23"/>
          <w14:ligatures w14:val="none"/>
        </w:rPr>
        <w:t>Antevil</w:t>
      </w:r>
      <w:proofErr w:type="spellEnd"/>
      <w:r w:rsidRPr="008E7838">
        <w:rPr>
          <w:rFonts w:ascii="Roboto" w:eastAsia="Times New Roman" w:hAnsi="Roboto" w:cs="Times New Roman"/>
          <w:color w:val="1D2125"/>
          <w:kern w:val="0"/>
          <w:sz w:val="23"/>
          <w:szCs w:val="23"/>
          <w14:ligatures w14:val="none"/>
        </w:rPr>
        <w:t>, J., Roseman, J. M., Zhang, S., ... &amp; Ahmed, A. (2022). Assessment of lung cancer risk among smokers for whom annual screening is not recommended. JAMA Oncology, 8(10), 1428-1437. </w:t>
      </w:r>
      <w:hyperlink r:id="rId5" w:history="1">
        <w:r w:rsidRPr="008E7838">
          <w:rPr>
            <w:rFonts w:ascii="Roboto" w:eastAsia="Times New Roman" w:hAnsi="Roboto" w:cs="Times New Roman"/>
            <w:color w:val="0000FF"/>
            <w:kern w:val="0"/>
            <w:sz w:val="23"/>
            <w:szCs w:val="23"/>
            <w:u w:val="single"/>
            <w14:ligatures w14:val="none"/>
          </w:rPr>
          <w:t>https://doi.org/10.1001/jamaoncol.2022.2952</w:t>
        </w:r>
      </w:hyperlink>
      <w:r w:rsidRPr="008E7838">
        <w:rPr>
          <w:rFonts w:ascii="Roboto" w:eastAsia="Times New Roman" w:hAnsi="Roboto" w:cs="Times New Roman"/>
          <w:color w:val="1D2125"/>
          <w:kern w:val="0"/>
          <w:sz w:val="23"/>
          <w:szCs w:val="23"/>
          <w14:ligatures w14:val="none"/>
        </w:rPr>
        <w:t>.</w:t>
      </w:r>
      <w:r w:rsidRPr="008E7838">
        <w:rPr>
          <w:rFonts w:ascii="Roboto" w:eastAsia="Times New Roman" w:hAnsi="Roboto" w:cs="Times New Roman"/>
          <w:color w:val="1D2125"/>
          <w:kern w:val="0"/>
          <w:sz w:val="23"/>
          <w:szCs w:val="23"/>
          <w14:ligatures w14:val="none"/>
        </w:rPr>
        <w:br/>
        <w:t>United States Preventive Services Task Force. (2021a). Grade definitions. </w:t>
      </w:r>
      <w:hyperlink r:id="rId6" w:history="1">
        <w:r w:rsidRPr="008E7838">
          <w:rPr>
            <w:rFonts w:ascii="Roboto" w:eastAsia="Times New Roman" w:hAnsi="Roboto" w:cs="Times New Roman"/>
            <w:color w:val="0000FF"/>
            <w:kern w:val="0"/>
            <w:sz w:val="23"/>
            <w:szCs w:val="23"/>
            <w:u w:val="single"/>
            <w14:ligatures w14:val="none"/>
          </w:rPr>
          <w:t>https://www.uspreventiveservicestaskforce.org/uspstf/about-uspstf/methods-and-processes/grade-definitions</w:t>
        </w:r>
      </w:hyperlink>
      <w:r w:rsidRPr="008E7838">
        <w:rPr>
          <w:rFonts w:ascii="Roboto" w:eastAsia="Times New Roman" w:hAnsi="Roboto" w:cs="Times New Roman"/>
          <w:color w:val="1D2125"/>
          <w:kern w:val="0"/>
          <w:sz w:val="23"/>
          <w:szCs w:val="23"/>
          <w14:ligatures w14:val="none"/>
        </w:rPr>
        <w:t>.</w:t>
      </w:r>
      <w:r w:rsidRPr="008E7838">
        <w:rPr>
          <w:rFonts w:ascii="Roboto" w:eastAsia="Times New Roman" w:hAnsi="Roboto" w:cs="Times New Roman"/>
          <w:color w:val="1D2125"/>
          <w:kern w:val="0"/>
          <w:sz w:val="23"/>
          <w:szCs w:val="23"/>
          <w14:ligatures w14:val="none"/>
        </w:rPr>
        <w:br/>
        <w:t>United States Preventive Services Task Force. (2021b). Lung cancer: Screening. </w:t>
      </w:r>
      <w:hyperlink r:id="rId7" w:history="1">
        <w:r w:rsidRPr="008E7838">
          <w:rPr>
            <w:rFonts w:ascii="Roboto" w:eastAsia="Times New Roman" w:hAnsi="Roboto" w:cs="Times New Roman"/>
            <w:color w:val="0000FF"/>
            <w:kern w:val="0"/>
            <w:sz w:val="23"/>
            <w:szCs w:val="23"/>
            <w:u w:val="single"/>
            <w14:ligatures w14:val="none"/>
          </w:rPr>
          <w:t>https://www.uspreventiveservicestaskforce.org/uspstf/recommendation/lung-cancer-screening</w:t>
        </w:r>
      </w:hyperlink>
      <w:r w:rsidRPr="008E7838">
        <w:rPr>
          <w:rFonts w:ascii="Roboto" w:eastAsia="Times New Roman" w:hAnsi="Roboto" w:cs="Times New Roman"/>
          <w:color w:val="1D2125"/>
          <w:kern w:val="0"/>
          <w:sz w:val="23"/>
          <w:szCs w:val="23"/>
          <w14:ligatures w14:val="none"/>
        </w:rPr>
        <w:t>.</w:t>
      </w:r>
      <w:r w:rsidRPr="008E7838">
        <w:rPr>
          <w:rFonts w:ascii="Roboto" w:eastAsia="Times New Roman" w:hAnsi="Roboto" w:cs="Times New Roman"/>
          <w:color w:val="1D2125"/>
          <w:kern w:val="0"/>
          <w:sz w:val="23"/>
          <w:szCs w:val="23"/>
          <w14:ligatures w14:val="none"/>
        </w:rPr>
        <w:br/>
        <w:t>Williamson, T. J., Kwon, D. M., Riley, K. E., Shen, M. J., Hamann, H. A., &amp; Ostroff, J. S. (2020). Lung cancer stigma: does smoking history matter? Annals of Behavioral Medicine, 54(7), 535-540. </w:t>
      </w:r>
      <w:hyperlink r:id="rId8" w:history="1">
        <w:r w:rsidRPr="008E7838">
          <w:rPr>
            <w:rFonts w:ascii="Roboto" w:eastAsia="Times New Roman" w:hAnsi="Roboto" w:cs="Times New Roman"/>
            <w:color w:val="0000FF"/>
            <w:kern w:val="0"/>
            <w:sz w:val="23"/>
            <w:szCs w:val="23"/>
            <w:u w:val="single"/>
            <w14:ligatures w14:val="none"/>
          </w:rPr>
          <w:t>https://doi.org/10.1093/abm/kaz063</w:t>
        </w:r>
      </w:hyperlink>
      <w:r w:rsidRPr="008E7838">
        <w:rPr>
          <w:rFonts w:ascii="Roboto" w:eastAsia="Times New Roman" w:hAnsi="Roboto" w:cs="Times New Roman"/>
          <w:color w:val="1D2125"/>
          <w:kern w:val="0"/>
          <w:sz w:val="23"/>
          <w:szCs w:val="23"/>
          <w14:ligatures w14:val="none"/>
        </w:rPr>
        <w:t>.</w:t>
      </w:r>
    </w:p>
    <w:p w14:paraId="35D09C59" w14:textId="77777777" w:rsidR="008E7838" w:rsidRDefault="008E7838"/>
    <w:p w14:paraId="3A825F5A" w14:textId="77777777" w:rsidR="008E7838" w:rsidRDefault="008E7838"/>
    <w:p w14:paraId="2286A1C5" w14:textId="77777777" w:rsidR="008E7838" w:rsidRPr="008E7838" w:rsidRDefault="008E7838" w:rsidP="008E7838">
      <w:pPr>
        <w:spacing w:after="0" w:line="240" w:lineRule="auto"/>
        <w:outlineLvl w:val="2"/>
        <w:rPr>
          <w:rFonts w:ascii="var(--font-family-display)" w:eastAsia="Times New Roman" w:hAnsi="var(--font-family-display)" w:cs="Times New Roman"/>
          <w:b/>
          <w:bCs/>
          <w:kern w:val="0"/>
          <w:sz w:val="27"/>
          <w:szCs w:val="27"/>
          <w14:ligatures w14:val="none"/>
        </w:rPr>
      </w:pPr>
      <w:r w:rsidRPr="008E7838">
        <w:rPr>
          <w:rFonts w:ascii="var(--font-family-display)" w:eastAsia="Times New Roman" w:hAnsi="var(--font-family-display)" w:cs="Times New Roman"/>
          <w:b/>
          <w:bCs/>
          <w:kern w:val="0"/>
          <w:sz w:val="27"/>
          <w:szCs w:val="27"/>
          <w14:ligatures w14:val="none"/>
        </w:rPr>
        <w:t>Re: Week 6 Discussion: U.S. Preventive Services Task Force</w:t>
      </w:r>
    </w:p>
    <w:p w14:paraId="21F8C854" w14:textId="77777777" w:rsidR="008E7838" w:rsidRPr="008E7838" w:rsidRDefault="008E7838" w:rsidP="008E7838">
      <w:pPr>
        <w:spacing w:after="0" w:line="240" w:lineRule="auto"/>
        <w:rPr>
          <w:rFonts w:ascii="Times New Roman" w:eastAsia="Times New Roman" w:hAnsi="Times New Roman" w:cs="Times New Roman"/>
          <w:kern w:val="0"/>
          <w14:ligatures w14:val="none"/>
        </w:rPr>
      </w:pPr>
      <w:r w:rsidRPr="008E7838">
        <w:rPr>
          <w:rFonts w:ascii="Times New Roman" w:eastAsia="Times New Roman" w:hAnsi="Times New Roman" w:cs="Times New Roman"/>
          <w:kern w:val="0"/>
          <w14:ligatures w14:val="none"/>
        </w:rPr>
        <w:t>by </w:t>
      </w:r>
      <w:hyperlink r:id="rId9" w:history="1">
        <w:r w:rsidRPr="008E7838">
          <w:rPr>
            <w:rFonts w:ascii="Times New Roman" w:eastAsia="Times New Roman" w:hAnsi="Times New Roman" w:cs="Times New Roman"/>
            <w:color w:val="0000FF"/>
            <w:kern w:val="0"/>
            <w:u w:val="single"/>
            <w14:ligatures w14:val="none"/>
          </w:rPr>
          <w:t>Deborah Delaney Mullett</w:t>
        </w:r>
      </w:hyperlink>
      <w:r w:rsidRPr="008E7838">
        <w:rPr>
          <w:rFonts w:ascii="Times New Roman" w:eastAsia="Times New Roman" w:hAnsi="Times New Roman" w:cs="Times New Roman"/>
          <w:kern w:val="0"/>
          <w14:ligatures w14:val="none"/>
        </w:rPr>
        <w:t> - Wednesday, 5 June 2024, 9:32 PM</w:t>
      </w:r>
    </w:p>
    <w:p w14:paraId="020ED34B" w14:textId="77777777" w:rsidR="008E7838" w:rsidRDefault="008E7838" w:rsidP="008E7838">
      <w:pPr>
        <w:shd w:val="clear" w:color="auto" w:fill="FFFFFF"/>
        <w:spacing w:after="0" w:line="240" w:lineRule="auto"/>
        <w:rPr>
          <w:rFonts w:ascii="Roboto" w:eastAsia="Times New Roman" w:hAnsi="Roboto" w:cs="Times New Roman"/>
          <w:color w:val="1D2125"/>
          <w:kern w:val="0"/>
          <w:sz w:val="23"/>
          <w:szCs w:val="23"/>
          <w14:ligatures w14:val="none"/>
        </w:rPr>
      </w:pPr>
      <w:r w:rsidRPr="008E7838">
        <w:rPr>
          <w:rFonts w:ascii="Roboto" w:eastAsia="Times New Roman" w:hAnsi="Roboto" w:cs="Times New Roman"/>
          <w:color w:val="1D2125"/>
          <w:kern w:val="0"/>
          <w:sz w:val="23"/>
          <w:szCs w:val="23"/>
          <w14:ligatures w14:val="none"/>
        </w:rPr>
        <w:t>Week 6 Discussion 1 Initial Post</w:t>
      </w:r>
      <w:r w:rsidRPr="008E7838">
        <w:rPr>
          <w:rFonts w:ascii="Roboto" w:eastAsia="Times New Roman" w:hAnsi="Roboto" w:cs="Times New Roman"/>
          <w:color w:val="1D2125"/>
          <w:kern w:val="0"/>
          <w:sz w:val="23"/>
          <w:szCs w:val="23"/>
          <w14:ligatures w14:val="none"/>
        </w:rPr>
        <w:br/>
        <w:t>The purpose of the post this week is to discuss the grade, suggestions for practice, net benefit, levels of certainty for a chosen topic from the U.S. Preventive Services Task Force website (USPSTF).</w:t>
      </w:r>
      <w:r w:rsidRPr="008E7838">
        <w:rPr>
          <w:rFonts w:ascii="Roboto" w:eastAsia="Times New Roman" w:hAnsi="Roboto" w:cs="Times New Roman"/>
          <w:color w:val="1D2125"/>
          <w:kern w:val="0"/>
          <w:sz w:val="23"/>
          <w:szCs w:val="23"/>
          <w14:ligatures w14:val="none"/>
        </w:rPr>
        <w:br/>
      </w:r>
      <w:r w:rsidRPr="008E7838">
        <w:rPr>
          <w:rFonts w:ascii="Roboto" w:eastAsia="Times New Roman" w:hAnsi="Roboto" w:cs="Times New Roman"/>
          <w:b/>
          <w:bCs/>
          <w:color w:val="1D2125"/>
          <w:kern w:val="0"/>
          <w:sz w:val="23"/>
          <w:szCs w:val="23"/>
          <w14:ligatures w14:val="none"/>
        </w:rPr>
        <w:t>Chosen Recommended Summary</w:t>
      </w:r>
      <w:r w:rsidRPr="008E7838">
        <w:rPr>
          <w:rFonts w:ascii="Roboto" w:eastAsia="Times New Roman" w:hAnsi="Roboto" w:cs="Times New Roman"/>
          <w:color w:val="1D2125"/>
          <w:kern w:val="0"/>
          <w:sz w:val="23"/>
          <w:szCs w:val="23"/>
          <w14:ligatures w14:val="none"/>
        </w:rPr>
        <w:t xml:space="preserve">: Lung Cancer: Screening December 2021, (Adult, Senior, 2021). The population for the recommendation includes those individuals who are </w:t>
      </w:r>
      <w:proofErr w:type="gramStart"/>
      <w:r w:rsidRPr="008E7838">
        <w:rPr>
          <w:rFonts w:ascii="Roboto" w:eastAsia="Times New Roman" w:hAnsi="Roboto" w:cs="Times New Roman"/>
          <w:color w:val="1D2125"/>
          <w:kern w:val="0"/>
          <w:sz w:val="23"/>
          <w:szCs w:val="23"/>
          <w14:ligatures w14:val="none"/>
        </w:rPr>
        <w:t>age</w:t>
      </w:r>
      <w:proofErr w:type="gramEnd"/>
      <w:r w:rsidRPr="008E7838">
        <w:rPr>
          <w:rFonts w:ascii="Roboto" w:eastAsia="Times New Roman" w:hAnsi="Roboto" w:cs="Times New Roman"/>
          <w:color w:val="1D2125"/>
          <w:kern w:val="0"/>
          <w:sz w:val="23"/>
          <w:szCs w:val="23"/>
          <w14:ligatures w14:val="none"/>
        </w:rPr>
        <w:t xml:space="preserve"> 50-80 years old, with a 20 pack-year smoking history, and currently smoke or have ceased smoking within the last 15 years (USPSTF, 2021). The recommendation is for annual screening for lung cancer with </w:t>
      </w:r>
      <w:proofErr w:type="gramStart"/>
      <w:r w:rsidRPr="008E7838">
        <w:rPr>
          <w:rFonts w:ascii="Roboto" w:eastAsia="Times New Roman" w:hAnsi="Roboto" w:cs="Times New Roman"/>
          <w:color w:val="1D2125"/>
          <w:kern w:val="0"/>
          <w:sz w:val="23"/>
          <w:szCs w:val="23"/>
          <w14:ligatures w14:val="none"/>
        </w:rPr>
        <w:t>low-dose</w:t>
      </w:r>
      <w:proofErr w:type="gramEnd"/>
      <w:r w:rsidRPr="008E7838">
        <w:rPr>
          <w:rFonts w:ascii="Roboto" w:eastAsia="Times New Roman" w:hAnsi="Roboto" w:cs="Times New Roman"/>
          <w:color w:val="1D2125"/>
          <w:kern w:val="0"/>
          <w:sz w:val="23"/>
          <w:szCs w:val="23"/>
          <w14:ligatures w14:val="none"/>
        </w:rPr>
        <w:t xml:space="preserve"> computed tomography (LDCT) of the stated population (USPSTF, 2021). The screenings should be discontinued once a person has not </w:t>
      </w:r>
      <w:r w:rsidRPr="008E7838">
        <w:rPr>
          <w:rFonts w:ascii="Roboto" w:eastAsia="Times New Roman" w:hAnsi="Roboto" w:cs="Times New Roman"/>
          <w:color w:val="1D2125"/>
          <w:kern w:val="0"/>
          <w:sz w:val="23"/>
          <w:szCs w:val="23"/>
          <w14:ligatures w14:val="none"/>
        </w:rPr>
        <w:lastRenderedPageBreak/>
        <w:t>smoked for 15 years or develops a health problem that substantially limits life expectancy or the ability or willingness to seek curative lung surgery (USPSTF, 2021). The 2021 recommendations updated the population acknowledged for benefits from screening to include women, racial and ethnic minorities, and individuals of lower socio-economic status (</w:t>
      </w:r>
      <w:proofErr w:type="spellStart"/>
      <w:r w:rsidRPr="008E7838">
        <w:rPr>
          <w:rFonts w:ascii="Roboto" w:eastAsia="Times New Roman" w:hAnsi="Roboto" w:cs="Times New Roman"/>
          <w:color w:val="1D2125"/>
          <w:kern w:val="0"/>
          <w:sz w:val="23"/>
          <w:szCs w:val="23"/>
          <w14:ligatures w14:val="none"/>
        </w:rPr>
        <w:t>Ritzwoller</w:t>
      </w:r>
      <w:proofErr w:type="spellEnd"/>
      <w:r w:rsidRPr="008E7838">
        <w:rPr>
          <w:rFonts w:ascii="Roboto" w:eastAsia="Times New Roman" w:hAnsi="Roboto" w:cs="Times New Roman"/>
          <w:color w:val="1D2125"/>
          <w:kern w:val="0"/>
          <w:sz w:val="23"/>
          <w:szCs w:val="23"/>
          <w14:ligatures w14:val="none"/>
        </w:rPr>
        <w:t>, et al. 2021).</w:t>
      </w:r>
      <w:r w:rsidRPr="008E7838">
        <w:rPr>
          <w:rFonts w:ascii="Roboto" w:eastAsia="Times New Roman" w:hAnsi="Roboto" w:cs="Times New Roman"/>
          <w:color w:val="1D2125"/>
          <w:kern w:val="0"/>
          <w:sz w:val="23"/>
          <w:szCs w:val="23"/>
          <w14:ligatures w14:val="none"/>
        </w:rPr>
        <w:br/>
      </w:r>
      <w:r w:rsidRPr="008E7838">
        <w:rPr>
          <w:rFonts w:ascii="Roboto" w:eastAsia="Times New Roman" w:hAnsi="Roboto" w:cs="Times New Roman"/>
          <w:b/>
          <w:bCs/>
          <w:color w:val="1D2125"/>
          <w:kern w:val="0"/>
          <w:sz w:val="23"/>
          <w:szCs w:val="23"/>
          <w14:ligatures w14:val="none"/>
        </w:rPr>
        <w:t>Describe the Grade (after July 2018) for Lung Cancer: Screening December 2021</w:t>
      </w:r>
      <w:r w:rsidRPr="008E7838">
        <w:rPr>
          <w:rFonts w:ascii="Roboto" w:eastAsia="Times New Roman" w:hAnsi="Roboto" w:cs="Times New Roman"/>
          <w:color w:val="1D2125"/>
          <w:kern w:val="0"/>
          <w:sz w:val="23"/>
          <w:szCs w:val="23"/>
          <w14:ligatures w14:val="none"/>
        </w:rPr>
        <w:br/>
        <w:t>The grade assigned to the lung cancer screening recommendations is a "B". According to the USPSTF a grade of "B" indicated that the services are most highly recommended for implementation for preventive care that is also relevant for implementing the Affordable Care Act.</w:t>
      </w:r>
      <w:r w:rsidRPr="008E7838">
        <w:rPr>
          <w:rFonts w:ascii="Roboto" w:eastAsia="Times New Roman" w:hAnsi="Roboto" w:cs="Times New Roman"/>
          <w:color w:val="1D2125"/>
          <w:kern w:val="0"/>
          <w:sz w:val="23"/>
          <w:szCs w:val="23"/>
          <w14:ligatures w14:val="none"/>
        </w:rPr>
        <w:br/>
      </w:r>
      <w:r w:rsidRPr="008E7838">
        <w:rPr>
          <w:rFonts w:ascii="Roboto" w:eastAsia="Times New Roman" w:hAnsi="Roboto" w:cs="Times New Roman"/>
          <w:b/>
          <w:bCs/>
          <w:color w:val="1D2125"/>
          <w:kern w:val="0"/>
          <w:sz w:val="23"/>
          <w:szCs w:val="23"/>
          <w14:ligatures w14:val="none"/>
        </w:rPr>
        <w:t>Describe what the Grade means and suggestions for practice.</w:t>
      </w:r>
      <w:r w:rsidRPr="008E7838">
        <w:rPr>
          <w:rFonts w:ascii="Roboto" w:eastAsia="Times New Roman" w:hAnsi="Roboto" w:cs="Times New Roman"/>
          <w:color w:val="1D2125"/>
          <w:kern w:val="0"/>
          <w:sz w:val="23"/>
          <w:szCs w:val="23"/>
          <w14:ligatures w14:val="none"/>
        </w:rPr>
        <w:br/>
        <w:t>The USPSTF assigned a high or moderate net benefit for the preventive services that are recommended. Recommendations with a grade of "A" or "B" are included in the preventive services mandate for insurance coverage and patients must receive the services without copay or insurance deductible charges (Elmore, et al. 2020). The USPSTF found the recommendation has sufficient sensitivity and specificity for the detection of early-stage lung cancer (USPSTF, 2021). The benefit of early detection followed with interventions and treatment prevents a substantial number of deaths related to lung cancer (USPSTF, 2021). The USPSTF considers the risk of harm to individuals when developing recommendations. The risks of harm identified in the recommendation for lung cancer screening are false-positive results that may lead to unnecessary tests and invasive procedures, incidental findings, increased distress due to inconclusive results, over diagnosis, and radiation exposure (USPSTF, 2021). Recognizing in the USPSTF that African American Black men and Caucasian women have higher risk allows for more detailed assessments for other risk factors in the screening process. Early interventions with surgery, chemotherapy, radiation therapy, targeted therapies, immunotherapies, or combinations with surgical resection being the current treatment choice for patient with stage I or II non-small cell lung cancer (NSCLC) according to the USPSTF (2021). Patient education and resources for smoking cessation is another initiative to prevent lung cancer. The American Cancer Society recommends continued screenings beyond the 15 quit-year recommendation by the USPSTF due to study findings that populations with increased age have an absolute lung cancer risk requiring continued screenings beyond age 80 (Landy, et al. 2024). The healthcare practitioner must weigh all evidence in developing treatment plans with their patients.</w:t>
      </w:r>
      <w:r w:rsidRPr="008E7838">
        <w:rPr>
          <w:rFonts w:ascii="Roboto" w:eastAsia="Times New Roman" w:hAnsi="Roboto" w:cs="Times New Roman"/>
          <w:color w:val="1D2125"/>
          <w:kern w:val="0"/>
          <w:sz w:val="23"/>
          <w:szCs w:val="23"/>
          <w14:ligatures w14:val="none"/>
        </w:rPr>
        <w:br/>
      </w:r>
      <w:r w:rsidRPr="008E7838">
        <w:rPr>
          <w:rFonts w:ascii="Roboto" w:eastAsia="Times New Roman" w:hAnsi="Roboto" w:cs="Times New Roman"/>
          <w:b/>
          <w:bCs/>
          <w:color w:val="1D2125"/>
          <w:kern w:val="0"/>
          <w:sz w:val="23"/>
          <w:szCs w:val="23"/>
          <w14:ligatures w14:val="none"/>
        </w:rPr>
        <w:t>Provide the Levels and description of the Certainty Regarding Net Benefit and discuss the meaning.</w:t>
      </w:r>
      <w:r w:rsidRPr="008E7838">
        <w:rPr>
          <w:rFonts w:ascii="Roboto" w:eastAsia="Times New Roman" w:hAnsi="Roboto" w:cs="Times New Roman"/>
          <w:color w:val="1D2125"/>
          <w:kern w:val="0"/>
          <w:sz w:val="23"/>
          <w:szCs w:val="23"/>
          <w14:ligatures w14:val="none"/>
        </w:rPr>
        <w:br/>
        <w:t>Certainty levels are assigned based on the cumulative evidence available for review by the USPSTF (Elmore, et al. 2020). The level is determined based on the net benefit minus the harm of the service as implemented in general and primary care populations (Elmore, et al. 2020).The moderate net benefit of screenings is dependent on limiting screening to persons at high risk, the accuracy of image interpretation is similar to or better than clinical trials, and the resolution of most false-positive results with follow-up imaging and not invasive procedures (USPSTF, 2021). Based on age,</w:t>
      </w:r>
      <w:r w:rsidRPr="008E7838">
        <w:rPr>
          <w:rFonts w:ascii="Roboto" w:eastAsia="Times New Roman" w:hAnsi="Roboto" w:cs="Times New Roman"/>
          <w:color w:val="1D2125"/>
          <w:kern w:val="0"/>
          <w:sz w:val="23"/>
          <w:szCs w:val="23"/>
          <w14:ligatures w14:val="none"/>
        </w:rPr>
        <w:br/>
        <w:t xml:space="preserve">the total cumulative exposure to tobacco smoke, and years since quitting smoking the USPSTF concluded with moderate certainty that annual screenings with LDCT is of moderate net benefit for the identified population (USPSTF, 2021). Reviewing the USPSTF </w:t>
      </w:r>
      <w:r w:rsidRPr="008E7838">
        <w:rPr>
          <w:rFonts w:ascii="Roboto" w:eastAsia="Times New Roman" w:hAnsi="Roboto" w:cs="Times New Roman"/>
          <w:color w:val="1D2125"/>
          <w:kern w:val="0"/>
          <w:sz w:val="23"/>
          <w:szCs w:val="23"/>
          <w14:ligatures w14:val="none"/>
        </w:rPr>
        <w:lastRenderedPageBreak/>
        <w:t xml:space="preserve">recommendations provides healthcare practitioners with important information for avoiding screening modalities </w:t>
      </w:r>
      <w:proofErr w:type="gramStart"/>
      <w:r w:rsidRPr="008E7838">
        <w:rPr>
          <w:rFonts w:ascii="Roboto" w:eastAsia="Times New Roman" w:hAnsi="Roboto" w:cs="Times New Roman"/>
          <w:color w:val="1D2125"/>
          <w:kern w:val="0"/>
          <w:sz w:val="23"/>
          <w:szCs w:val="23"/>
          <w14:ligatures w14:val="none"/>
        </w:rPr>
        <w:t>( sputum</w:t>
      </w:r>
      <w:proofErr w:type="gramEnd"/>
      <w:r w:rsidRPr="008E7838">
        <w:rPr>
          <w:rFonts w:ascii="Roboto" w:eastAsia="Times New Roman" w:hAnsi="Roboto" w:cs="Times New Roman"/>
          <w:color w:val="1D2125"/>
          <w:kern w:val="0"/>
          <w:sz w:val="23"/>
          <w:szCs w:val="23"/>
          <w14:ligatures w14:val="none"/>
        </w:rPr>
        <w:t xml:space="preserve"> cytology, chest radiography, measuring biomarker levels), that are not beneficial, lengthen time to determination and add to the preventive healthcare costs and go directly to LDCT screening.</w:t>
      </w:r>
    </w:p>
    <w:p w14:paraId="7E3E565C" w14:textId="77777777" w:rsidR="008E7838" w:rsidRDefault="008E7838" w:rsidP="008E7838">
      <w:pPr>
        <w:shd w:val="clear" w:color="auto" w:fill="FFFFFF"/>
        <w:spacing w:after="0" w:line="240" w:lineRule="auto"/>
        <w:rPr>
          <w:rFonts w:ascii="Roboto" w:eastAsia="Times New Roman" w:hAnsi="Roboto" w:cs="Times New Roman"/>
          <w:color w:val="1D2125"/>
          <w:kern w:val="0"/>
          <w:sz w:val="23"/>
          <w:szCs w:val="23"/>
          <w14:ligatures w14:val="none"/>
        </w:rPr>
      </w:pPr>
    </w:p>
    <w:p w14:paraId="3A67CAD8" w14:textId="77777777" w:rsidR="008E7838" w:rsidRDefault="008E7838" w:rsidP="008E7838">
      <w:pPr>
        <w:shd w:val="clear" w:color="auto" w:fill="FFFFFF"/>
        <w:spacing w:after="0" w:line="240" w:lineRule="auto"/>
        <w:rPr>
          <w:rFonts w:ascii="Roboto" w:eastAsia="Times New Roman" w:hAnsi="Roboto" w:cs="Times New Roman"/>
          <w:color w:val="1D2125"/>
          <w:kern w:val="0"/>
          <w:sz w:val="23"/>
          <w:szCs w:val="23"/>
          <w14:ligatures w14:val="none"/>
        </w:rPr>
      </w:pPr>
    </w:p>
    <w:p w14:paraId="6029F61C" w14:textId="3883FC03" w:rsidR="008E7838" w:rsidRPr="008E7838" w:rsidRDefault="008E7838" w:rsidP="008E7838">
      <w:pPr>
        <w:shd w:val="clear" w:color="auto" w:fill="FFFFFF"/>
        <w:spacing w:after="0" w:line="240" w:lineRule="auto"/>
        <w:rPr>
          <w:rFonts w:ascii="Roboto" w:eastAsia="Times New Roman" w:hAnsi="Roboto" w:cs="Times New Roman"/>
          <w:color w:val="1D2125"/>
          <w:kern w:val="0"/>
          <w:sz w:val="23"/>
          <w:szCs w:val="23"/>
          <w14:ligatures w14:val="none"/>
        </w:rPr>
      </w:pPr>
      <w:r w:rsidRPr="008E7838">
        <w:rPr>
          <w:rFonts w:ascii="Roboto" w:eastAsia="Times New Roman" w:hAnsi="Roboto" w:cs="Times New Roman"/>
          <w:color w:val="1D2125"/>
          <w:kern w:val="0"/>
          <w:sz w:val="23"/>
          <w:szCs w:val="23"/>
          <w14:ligatures w14:val="none"/>
        </w:rPr>
        <w:br/>
        <w:t>References</w:t>
      </w:r>
      <w:r w:rsidRPr="008E7838">
        <w:rPr>
          <w:rFonts w:ascii="Roboto" w:eastAsia="Times New Roman" w:hAnsi="Roboto" w:cs="Times New Roman"/>
          <w:color w:val="1D2125"/>
          <w:kern w:val="0"/>
          <w:sz w:val="23"/>
          <w:szCs w:val="23"/>
          <w14:ligatures w14:val="none"/>
        </w:rPr>
        <w:br/>
        <w:t>Elmore, J., Wild, D., Nelson, H., &amp; Katz, D. (2020). Jekel's epidemiology, biostatistics, preventive medicine and public health. (5th ed.). Elsevier, St. Louis, MO.</w:t>
      </w:r>
      <w:r w:rsidRPr="008E7838">
        <w:rPr>
          <w:rFonts w:ascii="Roboto" w:eastAsia="Times New Roman" w:hAnsi="Roboto" w:cs="Times New Roman"/>
          <w:color w:val="1D2125"/>
          <w:kern w:val="0"/>
          <w:sz w:val="23"/>
          <w:szCs w:val="23"/>
          <w14:ligatures w14:val="none"/>
        </w:rPr>
        <w:br/>
        <w:t xml:space="preserve">Landy, R., Cheung, L., Young, C., Chaturvedi, A., &amp; </w:t>
      </w:r>
      <w:proofErr w:type="spellStart"/>
      <w:r w:rsidRPr="008E7838">
        <w:rPr>
          <w:rFonts w:ascii="Roboto" w:eastAsia="Times New Roman" w:hAnsi="Roboto" w:cs="Times New Roman"/>
          <w:color w:val="1D2125"/>
          <w:kern w:val="0"/>
          <w:sz w:val="23"/>
          <w:szCs w:val="23"/>
          <w14:ligatures w14:val="none"/>
        </w:rPr>
        <w:t>Katki</w:t>
      </w:r>
      <w:proofErr w:type="spellEnd"/>
      <w:r w:rsidRPr="008E7838">
        <w:rPr>
          <w:rFonts w:ascii="Roboto" w:eastAsia="Times New Roman" w:hAnsi="Roboto" w:cs="Times New Roman"/>
          <w:color w:val="1D2125"/>
          <w:kern w:val="0"/>
          <w:sz w:val="23"/>
          <w:szCs w:val="23"/>
          <w14:ligatures w14:val="none"/>
        </w:rPr>
        <w:t xml:space="preserve">, H. (2024). Absolute lung cancer risk increases among individuals with &gt;15 </w:t>
      </w:r>
      <w:proofErr w:type="gramStart"/>
      <w:r w:rsidRPr="008E7838">
        <w:rPr>
          <w:rFonts w:ascii="Roboto" w:eastAsia="Times New Roman" w:hAnsi="Roboto" w:cs="Times New Roman"/>
          <w:color w:val="1D2125"/>
          <w:kern w:val="0"/>
          <w:sz w:val="23"/>
          <w:szCs w:val="23"/>
          <w14:ligatures w14:val="none"/>
        </w:rPr>
        <w:t>quit-years</w:t>
      </w:r>
      <w:proofErr w:type="gramEnd"/>
      <w:r w:rsidRPr="008E7838">
        <w:rPr>
          <w:rFonts w:ascii="Roboto" w:eastAsia="Times New Roman" w:hAnsi="Roboto" w:cs="Times New Roman"/>
          <w:color w:val="1D2125"/>
          <w:kern w:val="0"/>
          <w:sz w:val="23"/>
          <w:szCs w:val="23"/>
          <w14:ligatures w14:val="none"/>
        </w:rPr>
        <w:t>: Analyses to inform the update of the American Cancer Society lung cancer screening guidelines. Cancer, 130:201-215. https://doi: 10.1002/cncr.34758.</w:t>
      </w:r>
      <w:r w:rsidRPr="008E7838">
        <w:rPr>
          <w:rFonts w:ascii="Roboto" w:eastAsia="Times New Roman" w:hAnsi="Roboto" w:cs="Times New Roman"/>
          <w:color w:val="1D2125"/>
          <w:kern w:val="0"/>
          <w:sz w:val="23"/>
          <w:szCs w:val="23"/>
          <w14:ligatures w14:val="none"/>
        </w:rPr>
        <w:br/>
      </w:r>
      <w:proofErr w:type="spellStart"/>
      <w:r w:rsidRPr="008E7838">
        <w:rPr>
          <w:rFonts w:ascii="Roboto" w:eastAsia="Times New Roman" w:hAnsi="Roboto" w:cs="Times New Roman"/>
          <w:color w:val="1D2125"/>
          <w:kern w:val="0"/>
          <w:sz w:val="23"/>
          <w:szCs w:val="23"/>
          <w14:ligatures w14:val="none"/>
        </w:rPr>
        <w:t>Ritzwoller</w:t>
      </w:r>
      <w:proofErr w:type="spellEnd"/>
      <w:r w:rsidRPr="008E7838">
        <w:rPr>
          <w:rFonts w:ascii="Roboto" w:eastAsia="Times New Roman" w:hAnsi="Roboto" w:cs="Times New Roman"/>
          <w:color w:val="1D2125"/>
          <w:kern w:val="0"/>
          <w:sz w:val="23"/>
          <w:szCs w:val="23"/>
          <w14:ligatures w14:val="none"/>
        </w:rPr>
        <w:t xml:space="preserve">, D., Meza, R., Carroll, N…et al. </w:t>
      </w:r>
      <w:proofErr w:type="spellStart"/>
      <w:r w:rsidRPr="008E7838">
        <w:rPr>
          <w:rFonts w:ascii="Roboto" w:eastAsia="Times New Roman" w:hAnsi="Roboto" w:cs="Times New Roman"/>
          <w:color w:val="1D2125"/>
          <w:kern w:val="0"/>
          <w:sz w:val="23"/>
          <w:szCs w:val="23"/>
          <w14:ligatures w14:val="none"/>
        </w:rPr>
        <w:t>Vachani</w:t>
      </w:r>
      <w:proofErr w:type="spellEnd"/>
      <w:r w:rsidRPr="008E7838">
        <w:rPr>
          <w:rFonts w:ascii="Roboto" w:eastAsia="Times New Roman" w:hAnsi="Roboto" w:cs="Times New Roman"/>
          <w:color w:val="1D2125"/>
          <w:kern w:val="0"/>
          <w:sz w:val="23"/>
          <w:szCs w:val="23"/>
          <w14:ligatures w14:val="none"/>
        </w:rPr>
        <w:t>, A. (2021). Evaluations of population-level changes associated with the 2021 US Preventive Services Task Force lung cancer screening recommendations in community-based health care systems. Journal of the American Medical Association, 4(10</w:t>
      </w:r>
      <w:proofErr w:type="gramStart"/>
      <w:r w:rsidRPr="008E7838">
        <w:rPr>
          <w:rFonts w:ascii="Roboto" w:eastAsia="Times New Roman" w:hAnsi="Roboto" w:cs="Times New Roman"/>
          <w:color w:val="1D2125"/>
          <w:kern w:val="0"/>
          <w:sz w:val="23"/>
          <w:szCs w:val="23"/>
          <w14:ligatures w14:val="none"/>
        </w:rPr>
        <w:t>):e2128176.doi</w:t>
      </w:r>
      <w:proofErr w:type="gramEnd"/>
      <w:r w:rsidRPr="008E7838">
        <w:rPr>
          <w:rFonts w:ascii="Roboto" w:eastAsia="Times New Roman" w:hAnsi="Roboto" w:cs="Times New Roman"/>
          <w:color w:val="1D2125"/>
          <w:kern w:val="0"/>
          <w:sz w:val="23"/>
          <w:szCs w:val="23"/>
          <w14:ligatures w14:val="none"/>
        </w:rPr>
        <w:t>:10.1001/jamanetworkopen.2021.28176.</w:t>
      </w:r>
      <w:r w:rsidRPr="008E7838">
        <w:rPr>
          <w:rFonts w:ascii="Roboto" w:eastAsia="Times New Roman" w:hAnsi="Roboto" w:cs="Times New Roman"/>
          <w:color w:val="1D2125"/>
          <w:kern w:val="0"/>
          <w:sz w:val="23"/>
          <w:szCs w:val="23"/>
          <w14:ligatures w14:val="none"/>
        </w:rPr>
        <w:br/>
        <w:t>U.S. Preventive Services Task Force: https://www.uspreventiveservicestaskforce.org/uspstf/recommendation/lung-cancer-screening</w:t>
      </w:r>
    </w:p>
    <w:p w14:paraId="6D8EB318" w14:textId="77777777" w:rsidR="008E7838" w:rsidRDefault="008E7838"/>
    <w:sectPr w:rsidR="008E78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838"/>
    <w:rsid w:val="008E7838"/>
    <w:rsid w:val="00AD7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580496"/>
  <w15:chartTrackingRefBased/>
  <w15:docId w15:val="{0DE554C8-E922-45BE-A22C-7C0273FDC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78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78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78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78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78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78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78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78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78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78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78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78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78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78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78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78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78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7838"/>
    <w:rPr>
      <w:rFonts w:eastAsiaTheme="majorEastAsia" w:cstheme="majorBidi"/>
      <w:color w:val="272727" w:themeColor="text1" w:themeTint="D8"/>
    </w:rPr>
  </w:style>
  <w:style w:type="paragraph" w:styleId="Title">
    <w:name w:val="Title"/>
    <w:basedOn w:val="Normal"/>
    <w:next w:val="Normal"/>
    <w:link w:val="TitleChar"/>
    <w:uiPriority w:val="10"/>
    <w:qFormat/>
    <w:rsid w:val="008E78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8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8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8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838"/>
    <w:pPr>
      <w:spacing w:before="160"/>
      <w:jc w:val="center"/>
    </w:pPr>
    <w:rPr>
      <w:i/>
      <w:iCs/>
      <w:color w:val="404040" w:themeColor="text1" w:themeTint="BF"/>
    </w:rPr>
  </w:style>
  <w:style w:type="character" w:customStyle="1" w:styleId="QuoteChar">
    <w:name w:val="Quote Char"/>
    <w:basedOn w:val="DefaultParagraphFont"/>
    <w:link w:val="Quote"/>
    <w:uiPriority w:val="29"/>
    <w:rsid w:val="008E7838"/>
    <w:rPr>
      <w:i/>
      <w:iCs/>
      <w:color w:val="404040" w:themeColor="text1" w:themeTint="BF"/>
    </w:rPr>
  </w:style>
  <w:style w:type="paragraph" w:styleId="ListParagraph">
    <w:name w:val="List Paragraph"/>
    <w:basedOn w:val="Normal"/>
    <w:uiPriority w:val="34"/>
    <w:qFormat/>
    <w:rsid w:val="008E7838"/>
    <w:pPr>
      <w:ind w:left="720"/>
      <w:contextualSpacing/>
    </w:pPr>
  </w:style>
  <w:style w:type="character" w:styleId="IntenseEmphasis">
    <w:name w:val="Intense Emphasis"/>
    <w:basedOn w:val="DefaultParagraphFont"/>
    <w:uiPriority w:val="21"/>
    <w:qFormat/>
    <w:rsid w:val="008E7838"/>
    <w:rPr>
      <w:i/>
      <w:iCs/>
      <w:color w:val="0F4761" w:themeColor="accent1" w:themeShade="BF"/>
    </w:rPr>
  </w:style>
  <w:style w:type="paragraph" w:styleId="IntenseQuote">
    <w:name w:val="Intense Quote"/>
    <w:basedOn w:val="Normal"/>
    <w:next w:val="Normal"/>
    <w:link w:val="IntenseQuoteChar"/>
    <w:uiPriority w:val="30"/>
    <w:qFormat/>
    <w:rsid w:val="008E78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7838"/>
    <w:rPr>
      <w:i/>
      <w:iCs/>
      <w:color w:val="0F4761" w:themeColor="accent1" w:themeShade="BF"/>
    </w:rPr>
  </w:style>
  <w:style w:type="character" w:styleId="IntenseReference">
    <w:name w:val="Intense Reference"/>
    <w:basedOn w:val="DefaultParagraphFont"/>
    <w:uiPriority w:val="32"/>
    <w:qFormat/>
    <w:rsid w:val="008E783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5468683">
      <w:bodyDiv w:val="1"/>
      <w:marLeft w:val="0"/>
      <w:marRight w:val="0"/>
      <w:marTop w:val="0"/>
      <w:marBottom w:val="0"/>
      <w:divBdr>
        <w:top w:val="none" w:sz="0" w:space="0" w:color="auto"/>
        <w:left w:val="none" w:sz="0" w:space="0" w:color="auto"/>
        <w:bottom w:val="none" w:sz="0" w:space="0" w:color="auto"/>
        <w:right w:val="none" w:sz="0" w:space="0" w:color="auto"/>
      </w:divBdr>
      <w:divsChild>
        <w:div w:id="2125877519">
          <w:marLeft w:val="0"/>
          <w:marRight w:val="0"/>
          <w:marTop w:val="0"/>
          <w:marBottom w:val="0"/>
          <w:divBdr>
            <w:top w:val="none" w:sz="0" w:space="0" w:color="auto"/>
            <w:left w:val="none" w:sz="0" w:space="0" w:color="auto"/>
            <w:bottom w:val="none" w:sz="0" w:space="0" w:color="auto"/>
            <w:right w:val="none" w:sz="0" w:space="0" w:color="auto"/>
          </w:divBdr>
          <w:divsChild>
            <w:div w:id="1513688335">
              <w:marLeft w:val="0"/>
              <w:marRight w:val="0"/>
              <w:marTop w:val="0"/>
              <w:marBottom w:val="0"/>
              <w:divBdr>
                <w:top w:val="none" w:sz="0" w:space="0" w:color="auto"/>
                <w:left w:val="none" w:sz="0" w:space="0" w:color="auto"/>
                <w:bottom w:val="none" w:sz="0" w:space="0" w:color="auto"/>
                <w:right w:val="none" w:sz="0" w:space="0" w:color="auto"/>
              </w:divBdr>
            </w:div>
          </w:divsChild>
        </w:div>
        <w:div w:id="1244147816">
          <w:marLeft w:val="0"/>
          <w:marRight w:val="0"/>
          <w:marTop w:val="0"/>
          <w:marBottom w:val="0"/>
          <w:divBdr>
            <w:top w:val="none" w:sz="0" w:space="0" w:color="auto"/>
            <w:left w:val="none" w:sz="0" w:space="0" w:color="auto"/>
            <w:bottom w:val="none" w:sz="0" w:space="0" w:color="auto"/>
            <w:right w:val="none" w:sz="0" w:space="0" w:color="auto"/>
          </w:divBdr>
          <w:divsChild>
            <w:div w:id="559172562">
              <w:marLeft w:val="0"/>
              <w:marRight w:val="0"/>
              <w:marTop w:val="0"/>
              <w:marBottom w:val="0"/>
              <w:divBdr>
                <w:top w:val="none" w:sz="0" w:space="0" w:color="auto"/>
                <w:left w:val="none" w:sz="0" w:space="0" w:color="auto"/>
                <w:bottom w:val="none" w:sz="0" w:space="0" w:color="auto"/>
                <w:right w:val="none" w:sz="0" w:space="0" w:color="auto"/>
              </w:divBdr>
              <w:divsChild>
                <w:div w:id="110318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633577">
      <w:bodyDiv w:val="1"/>
      <w:marLeft w:val="0"/>
      <w:marRight w:val="0"/>
      <w:marTop w:val="0"/>
      <w:marBottom w:val="0"/>
      <w:divBdr>
        <w:top w:val="none" w:sz="0" w:space="0" w:color="auto"/>
        <w:left w:val="none" w:sz="0" w:space="0" w:color="auto"/>
        <w:bottom w:val="none" w:sz="0" w:space="0" w:color="auto"/>
        <w:right w:val="none" w:sz="0" w:space="0" w:color="auto"/>
      </w:divBdr>
      <w:divsChild>
        <w:div w:id="356857056">
          <w:marLeft w:val="0"/>
          <w:marRight w:val="0"/>
          <w:marTop w:val="0"/>
          <w:marBottom w:val="0"/>
          <w:divBdr>
            <w:top w:val="none" w:sz="0" w:space="0" w:color="auto"/>
            <w:left w:val="none" w:sz="0" w:space="0" w:color="auto"/>
            <w:bottom w:val="none" w:sz="0" w:space="0" w:color="auto"/>
            <w:right w:val="none" w:sz="0" w:space="0" w:color="auto"/>
          </w:divBdr>
          <w:divsChild>
            <w:div w:id="1394550073">
              <w:marLeft w:val="0"/>
              <w:marRight w:val="0"/>
              <w:marTop w:val="0"/>
              <w:marBottom w:val="0"/>
              <w:divBdr>
                <w:top w:val="none" w:sz="0" w:space="0" w:color="auto"/>
                <w:left w:val="none" w:sz="0" w:space="0" w:color="auto"/>
                <w:bottom w:val="none" w:sz="0" w:space="0" w:color="auto"/>
                <w:right w:val="none" w:sz="0" w:space="0" w:color="auto"/>
              </w:divBdr>
            </w:div>
          </w:divsChild>
        </w:div>
        <w:div w:id="2121610542">
          <w:marLeft w:val="0"/>
          <w:marRight w:val="0"/>
          <w:marTop w:val="0"/>
          <w:marBottom w:val="0"/>
          <w:divBdr>
            <w:top w:val="none" w:sz="0" w:space="0" w:color="auto"/>
            <w:left w:val="none" w:sz="0" w:space="0" w:color="auto"/>
            <w:bottom w:val="none" w:sz="0" w:space="0" w:color="auto"/>
            <w:right w:val="none" w:sz="0" w:space="0" w:color="auto"/>
          </w:divBdr>
          <w:divsChild>
            <w:div w:id="481850733">
              <w:marLeft w:val="0"/>
              <w:marRight w:val="0"/>
              <w:marTop w:val="0"/>
              <w:marBottom w:val="0"/>
              <w:divBdr>
                <w:top w:val="none" w:sz="0" w:space="0" w:color="auto"/>
                <w:left w:val="none" w:sz="0" w:space="0" w:color="auto"/>
                <w:bottom w:val="none" w:sz="0" w:space="0" w:color="auto"/>
                <w:right w:val="none" w:sz="0" w:space="0" w:color="auto"/>
              </w:divBdr>
              <w:divsChild>
                <w:div w:id="16189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93/abm/kaz063" TargetMode="External"/><Relationship Id="rId3" Type="http://schemas.openxmlformats.org/officeDocument/2006/relationships/webSettings" Target="webSettings.xml"/><Relationship Id="rId7" Type="http://schemas.openxmlformats.org/officeDocument/2006/relationships/hyperlink" Target="https://www.uspreventiveservicestaskforce.org/uspstf/recommendation/lung-cancer-screeni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spreventiveservicestaskforce.org/uspstf/about-uspstf/methods-and-processes/grade-definitions" TargetMode="External"/><Relationship Id="rId11" Type="http://schemas.openxmlformats.org/officeDocument/2006/relationships/theme" Target="theme/theme1.xml"/><Relationship Id="rId5" Type="http://schemas.openxmlformats.org/officeDocument/2006/relationships/hyperlink" Target="https://doi.org/10.1001/jamaoncol.2022.2952" TargetMode="External"/><Relationship Id="rId10" Type="http://schemas.openxmlformats.org/officeDocument/2006/relationships/fontTable" Target="fontTable.xml"/><Relationship Id="rId4" Type="http://schemas.openxmlformats.org/officeDocument/2006/relationships/hyperlink" Target="https://myonline.regiscollege.edu/user/view.php?id=6760&amp;course=5630" TargetMode="External"/><Relationship Id="rId9" Type="http://schemas.openxmlformats.org/officeDocument/2006/relationships/hyperlink" Target="https://myonline.regiscollege.edu/user/view.php?id=7997&amp;course=56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1609</Words>
  <Characters>9770</Characters>
  <Application>Microsoft Office Word</Application>
  <DocSecurity>0</DocSecurity>
  <Lines>158</Lines>
  <Paragraphs>9</Paragraphs>
  <ScaleCrop>false</ScaleCrop>
  <Company/>
  <LinksUpToDate>false</LinksUpToDate>
  <CharactersWithSpaces>11372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2024-06-06T21:25:00Z</dcterms:created>
  <dcterms:modified xsi:type="dcterms:W3CDTF">2024-06-06T21:27:00Z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c643fdb6-bc60-4b83-9dd9-dbca494bee90</vt:lpwstr>
  </property>
</Properties>
</file>