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9.0 -->
  <w:body>
    <w:p w:rsidR="00B47DF6" w:rsidP="00B47DF6" w14:paraId="3C3074D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DF6" w:rsidP="00B47DF6" w14:paraId="62913A4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DF6" w:rsidP="00B47DF6" w14:paraId="6B1B1FB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DF6" w:rsidP="00B47DF6" w14:paraId="6033CFD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DF6" w:rsidP="00B47DF6" w14:paraId="7601210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7E66" w:rsidP="00B47DF6" w14:paraId="2B83B70F" w14:textId="245BE54D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7DF6">
        <w:rPr>
          <w:rFonts w:ascii="Times New Roman" w:hAnsi="Times New Roman" w:cs="Times New Roman"/>
          <w:b/>
          <w:bCs/>
          <w:sz w:val="24"/>
          <w:szCs w:val="24"/>
        </w:rPr>
        <w:t>NR 718</w:t>
      </w:r>
      <w:r w:rsidRPr="00B47D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7DF6" w:rsidR="0079305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47DF6" w:rsidR="00E60C6F">
        <w:rPr>
          <w:rFonts w:ascii="Times New Roman" w:hAnsi="Times New Roman" w:cs="Times New Roman"/>
          <w:b/>
          <w:bCs/>
          <w:sz w:val="24"/>
          <w:szCs w:val="24"/>
        </w:rPr>
        <w:t>ee</w:t>
      </w:r>
      <w:r w:rsidRPr="00B47DF6" w:rsidR="00793050">
        <w:rPr>
          <w:rFonts w:ascii="Times New Roman" w:hAnsi="Times New Roman" w:cs="Times New Roman"/>
          <w:b/>
          <w:bCs/>
          <w:sz w:val="24"/>
          <w:szCs w:val="24"/>
        </w:rPr>
        <w:t>k 7 Discussion</w:t>
      </w:r>
      <w:r w:rsidRPr="00B47DF6" w:rsidR="00E60C6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7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Maryland’s Scope of Practice</w:t>
      </w:r>
    </w:p>
    <w:p w:rsidR="00B47DF6" w:rsidRPr="00B47DF6" w:rsidP="00B47DF6" w14:paraId="74788ED1" w14:textId="3E233A75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Name</w:t>
      </w:r>
    </w:p>
    <w:p w:rsidR="00B47DF6" w:rsidRPr="00B47DF6" w:rsidP="00B47DF6" w14:paraId="07E506B9" w14:textId="065F0D9E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Institution</w:t>
      </w:r>
    </w:p>
    <w:p w:rsidR="00B47DF6" w:rsidRPr="00B47DF6" w:rsidP="00B47DF6" w14:paraId="1DACAA8A" w14:textId="2AB2E536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Course</w:t>
      </w:r>
    </w:p>
    <w:p w:rsidR="00B47DF6" w:rsidRPr="00B47DF6" w:rsidP="00B47DF6" w14:paraId="43EDFC4F" w14:textId="50F2BF54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Instructor</w:t>
      </w:r>
    </w:p>
    <w:p w:rsidR="00B47DF6" w:rsidRPr="00B47DF6" w:rsidP="00B47DF6" w14:paraId="2FBB2CC8" w14:textId="186C491A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</w:t>
      </w:r>
    </w:p>
    <w:p w:rsidR="00B47DF6" w14:paraId="01F9FAE3" w14:textId="7777777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:rsidR="00B47DF6" w:rsidRPr="00B47DF6" w:rsidP="00B47DF6" w14:paraId="5EAF89E3" w14:textId="0B9F869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Maryland’s Scope of Practice</w:t>
      </w:r>
    </w:p>
    <w:p w:rsidR="00287E66" w:rsidRPr="00B47DF6" w:rsidP="00B47DF6" w14:paraId="32020636" w14:textId="1DD435B1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Advanced practice registered nurses (APRNs)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play a pivotal role in providing healthcare services including preventive services. APRNs including nurse practitioners </w:t>
      </w:r>
      <w:r w:rsidRPr="00B47DF6" w:rsidR="00697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(NPs) 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clinical nurse specialists </w:t>
      </w:r>
      <w:r w:rsidRPr="00B47DF6" w:rsidR="006971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(CNSs) significantly contribute to me</w:t>
      </w:r>
      <w:r w:rsidRPr="00B47DF6" w:rsidR="00284D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eting health needs. In the State of Maryland, </w:t>
      </w:r>
      <w:r w:rsidRPr="00B47DF6" w:rsidR="008A0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NPs are recognized as primary care providers within state policy where they are </w:t>
      </w:r>
      <w:r w:rsidRPr="00B47DF6" w:rsidR="00DD37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certified</w:t>
      </w:r>
      <w:r w:rsidRPr="00B47DF6" w:rsidR="008A0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various areas of specialization such as adult, pediatric, geriatric, family or school nurse</w:t>
      </w:r>
      <w:r w:rsidRPr="00B47DF6" w:rsidR="00DD37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B47DF6" w:rsidR="002865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Maryland, n.d.).</w:t>
      </w:r>
      <w:r w:rsidRPr="00B47DF6" w:rsidR="008A0C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47DF6" w:rsidR="00DD37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NPs can independently prescribe or dispense drugs, devices and </w:t>
      </w:r>
      <w:r w:rsidRPr="00B47DF6" w:rsidR="003327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Schedules II-V controlled substances</w:t>
      </w:r>
      <w:r w:rsidRPr="00B47DF6" w:rsidR="0033270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Besides, NPs for the first 18 months must have a mentorship with a physician or NP with full practice authority. The mentorship </w:t>
      </w:r>
      <w:r w:rsidRPr="00B47DF6" w:rsidR="00260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crucial for advice, consultation and collaboration as needed. </w:t>
      </w:r>
      <w:r w:rsidRPr="00B47DF6" w:rsidR="00EA3E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NP is </w:t>
      </w:r>
      <w:r w:rsidRPr="00B47DF6" w:rsidR="00EA3E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B47DF6" w:rsidR="00EA3E5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uthorized to sign medical records for life-sustaining medical forms. </w:t>
      </w:r>
      <w:r w:rsidRPr="00B47DF6" w:rsidR="00260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certified nurse midwife</w:t>
      </w:r>
      <w:r w:rsidRPr="00B47DF6" w:rsidR="00193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(CNM)</w:t>
      </w:r>
      <w:r w:rsidRPr="00B47DF6" w:rsidR="00260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independently manage </w:t>
      </w:r>
      <w:r w:rsidRPr="00B47DF6" w:rsidR="00193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clients</w:t>
      </w:r>
      <w:r w:rsidRPr="00B47DF6" w:rsidR="00260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47DF6" w:rsidR="00193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appropriate</w:t>
      </w:r>
      <w:r w:rsidRPr="00B47DF6" w:rsidR="002604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</w:t>
      </w:r>
      <w:r w:rsidRPr="00B47DF6" w:rsidR="00193A2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skill and education preparation adhering to their </w:t>
      </w:r>
      <w:r w:rsidRPr="00B47DF6" w:rsidR="00194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clinical practice guidelines. CNMs may consult or collaborate with a physician as needed and refer clients with complications beyond their cope to a licensed physician (</w:t>
      </w:r>
      <w:r w:rsidRPr="00B47DF6" w:rsidR="002865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Maryland</w:t>
      </w:r>
      <w:r w:rsidRPr="00B47DF6" w:rsidR="002865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B47DF6" w:rsidR="002865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n.d.).</w:t>
      </w:r>
    </w:p>
    <w:p w:rsidR="004210F6" w:rsidRPr="00B47DF6" w:rsidP="00B47DF6" w14:paraId="4E9755B3" w14:textId="65DDC5C4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states with full practice authority, </w:t>
      </w:r>
      <w:r w:rsidRPr="00B47DF6" w:rsidR="00FA50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B47DF6" w:rsidR="00FA50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dvanced practice registered nurses (APRNs)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permitted to evaluate patients, diagnose conditions, order and interpret tests and initiate </w:t>
      </w:r>
      <w:r w:rsidRPr="00B47DF6" w:rsidR="000764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manage treatments such as medication and controlled substances prescription under lic</w:t>
      </w:r>
      <w:r w:rsidRPr="00B47DF6" w:rsidR="000871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</w:t>
      </w:r>
      <w:r w:rsidRPr="00B47DF6" w:rsidR="000764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sure </w:t>
      </w:r>
      <w:r w:rsidRPr="00B47DF6" w:rsidR="000871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authority</w:t>
      </w:r>
      <w:r w:rsidRPr="00B47DF6" w:rsidR="000764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of the state board of nursing</w:t>
      </w:r>
      <w:r w:rsidRPr="00B47DF6" w:rsidR="006917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Kleinpell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2023</w:t>
      </w:r>
      <w:r w:rsidRPr="00B47DF6" w:rsidR="006917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B47DF6" w:rsidR="000764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47DF6" w:rsidR="000871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reduced practice states, NPs' roles are reduced </w:t>
      </w:r>
      <w:r w:rsidRPr="00B47DF6" w:rsidR="006917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under practice and licensure laws to engage in at least one element of NP practice. </w:t>
      </w:r>
      <w:r w:rsidRPr="00B47DF6" w:rsidR="005B146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Maryland states have full practice authority with transition to practice requirements. </w:t>
      </w:r>
      <w:r w:rsidRPr="00B47DF6" w:rsidR="00364D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Federal</w:t>
      </w:r>
      <w:r w:rsidRPr="00B47DF6" w:rsidR="00035A8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state regulatory barriers </w:t>
      </w:r>
      <w:r w:rsidRPr="00B47DF6" w:rsidR="00364D3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related to roles and authority inhibit APRN-provided care and services including </w:t>
      </w:r>
      <w:r w:rsidRPr="00B47DF6" w:rsidR="00945F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issues with provider credentialing, limited clinical, admitting and staff privileges, insurance and reimbursement issues (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Kleinpell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2023</w:t>
      </w:r>
      <w:r w:rsidRPr="00B47DF6" w:rsidR="00945F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47DF6" w:rsidR="00001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Restrictions related to physician </w:t>
      </w:r>
      <w:r w:rsidRPr="00B47DF6" w:rsidR="0077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co-signature</w:t>
      </w:r>
      <w:r w:rsidRPr="00B47DF6" w:rsidR="00001C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prescriptive and capabilities in hospital </w:t>
      </w:r>
      <w:r w:rsidRPr="00B47DF6" w:rsidR="0077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admission</w:t>
      </w:r>
      <w:r w:rsidRPr="00B47DF6" w:rsidR="005F57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limit NPs' ability to carry their patient panels, interfere with their ability to offer follow-up care, </w:t>
      </w:r>
      <w:r w:rsidRPr="00B47DF6" w:rsidR="0077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inhibit patients' choice of providers and NPs' visibility of care. A </w:t>
      </w:r>
      <w:r w:rsidRPr="00B47DF6" w:rsidR="0077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reduced or restricted practice</w:t>
      </w:r>
      <w:r w:rsidRPr="00B47DF6" w:rsidR="0077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authority </w:t>
      </w:r>
      <w:r w:rsidRPr="00B47DF6" w:rsidR="007A1E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through a career-long collaborative practice agreement limits NPs' requirement for direct payment and another economic burdens such as </w:t>
      </w:r>
      <w:r w:rsidRPr="00B47DF6" w:rsidR="00D8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agreement fees that often exceed </w:t>
      </w:r>
      <w:r w:rsidRPr="00B47DF6" w:rsidR="00D8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$6,000 and up to $50,000 annually</w:t>
      </w:r>
      <w:r w:rsidRPr="00B47DF6" w:rsidR="00D868C2">
        <w:rPr>
          <w:rFonts w:ascii="Times New Roman" w:hAnsi="Times New Roman" w:cs="Times New Roman"/>
          <w:sz w:val="24"/>
          <w:szCs w:val="24"/>
        </w:rPr>
        <w:t xml:space="preserve"> </w:t>
      </w:r>
      <w:r w:rsidRPr="00B47DF6" w:rsidR="00D8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APRN-managed private clinics</w:t>
      </w:r>
      <w:r w:rsidRPr="00B47DF6" w:rsidR="00D8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Kleinpell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2023</w:t>
      </w:r>
      <w:r w:rsidRPr="00B47DF6" w:rsidR="00D868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:rsidR="007018E5" w:rsidRPr="00B47DF6" w:rsidP="00B47DF6" w14:paraId="3270FC60" w14:textId="3C3F2905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APRNs due to regulatory barriers face constraints in their ability to practice and commensurate their level of education and experiences. APRNs </w:t>
      </w:r>
      <w:r w:rsidRPr="00B47DF6" w:rsidR="00FA50F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work in 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nsupportive practice environments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to 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 scope-of-practice regulations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leading to poor or lower-rated quality of care in primary care due to healthcare professional shortage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Kleinpell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2023</w:t>
      </w:r>
      <w:r w:rsidRPr="00B47DF6" w:rsidR="00752F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B47DF6" w:rsidR="005031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B47DF6" w:rsidR="009D55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Scope of practice regulations leads to adverse effects in practice setting leading to additional costs and administrative burdens associated with obtaining and documentation of supervision. </w:t>
      </w:r>
      <w:r w:rsidRPr="00B47DF6" w:rsidR="00C97CE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NP scope of practice regulatory barriers in turn affect patient care and outcomes due to poor working environment</w:t>
      </w:r>
      <w:r w:rsidRPr="00B47DF6" w:rsidR="001F6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due to lack of needed support and collegial relationships with administration to facilitate effective patient care (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Poghosyan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et al., 2022</w:t>
      </w:r>
      <w:r w:rsidRPr="00B47DF6" w:rsidR="001F64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:rsidR="002865C8" w:rsidRPr="00B47DF6" w:rsidP="00B47DF6" w14:paraId="57CB3374" w14:textId="0FD837EB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restriction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APRN practice reduce their 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productivity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capacity due to reduced types and amount of healthcare services that can be provided 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</w:t>
      </w:r>
      <w:r w:rsidRP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people 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who need care. Lack of full practice authority has significant implications in addressing disparities in 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healthcare linked to higher numbers of NPs in rural </w:t>
      </w:r>
      <w:r w:rsidRPr="00B47DF6" w:rsidR="00BA2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areas</w:t>
      </w:r>
      <w:r w:rsidRPr="00B47DF6" w:rsidR="00EC68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compared to shortages of physicians in primary care settings. </w:t>
      </w:r>
      <w:r w:rsidRPr="00B47DF6" w:rsidR="00BA2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Full practice authority may increase access to ca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Pr="00B47DF6" w:rsidR="00BA2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 and utilization of care services, lower costs of care and improve the quality of care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Poghosyan et al., 2022</w:t>
      </w:r>
      <w:r w:rsidRPr="00B47DF6" w:rsidR="00B47D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 w:rsidRPr="00B47DF6" w:rsidR="00BA26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:rsidR="00B47DF6" w14:paraId="65453086" w14:textId="77777777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:rsidR="002865C8" w:rsidRPr="00B47DF6" w:rsidP="00B47DF6" w14:paraId="71FF6A68" w14:textId="5649B8D9">
      <w:pPr>
        <w:shd w:val="clear" w:color="auto" w:fill="FFFFFF"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47D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References</w:t>
      </w:r>
    </w:p>
    <w:p w:rsidR="00B47DF6" w:rsidRPr="00B47DF6" w:rsidP="00B47DF6" w14:paraId="23A05EC0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Kleinpell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, R., Myers, C. R., &amp; Schorn, M. N. (2023). Addressing Barriers to APRN Practice: policy and regulatory implications during COVID-19. 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Nursing Regulation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14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(1), 13-20.</w:t>
      </w:r>
      <w:r w:rsidRPr="00B47DF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47D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https://doi.org/10.1016%2FS2155-8256(23)00064-9</w:t>
        </w:r>
      </w:hyperlink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47DF6" w:rsidRPr="00B47DF6" w:rsidP="00B47DF6" w14:paraId="5A5FC42A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DF6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Maryland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(n.d.). 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Scope of Practice Policy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hyperlink r:id="rId5" w:history="1">
        <w:r w:rsidRPr="00B47D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https://scopeofpracticepolicy.org/states/md/</w:t>
        </w:r>
      </w:hyperlink>
    </w:p>
    <w:p w:rsidR="00B47DF6" w:rsidRPr="00B47DF6" w:rsidP="00B47DF6" w14:paraId="26F565FD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Poghosyan, L., Stein, J. H., Liu, J., Spetz, J., Osakwe, Z. T., &amp; Martsolf, G. (2022). State‐level scope of practice regulations for nurse practitioners impact work environments: Six state investigation. 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Research in nursing &amp; health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B47D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45</w:t>
      </w:r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>(5), 516-524.</w:t>
      </w:r>
      <w:r w:rsidRPr="00B47DF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47DF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https://doi.org/10.1002%2Fnur.22253</w:t>
        </w:r>
      </w:hyperlink>
      <w:r w:rsidRPr="00B47D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734328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B47DF6" w:rsidRPr="00B47DF6" w14:paraId="0BE782BE" w14:textId="57AC8A8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47D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47DF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47D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47DF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47DF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B47DF6" w14:paraId="069706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E66D7D"/>
    <w:multiLevelType w:val="multilevel"/>
    <w:tmpl w:val="2B524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50"/>
    <w:rsid w:val="00001C02"/>
    <w:rsid w:val="00017299"/>
    <w:rsid w:val="00035A83"/>
    <w:rsid w:val="000764B5"/>
    <w:rsid w:val="000871B7"/>
    <w:rsid w:val="00087AED"/>
    <w:rsid w:val="00193A2E"/>
    <w:rsid w:val="00194725"/>
    <w:rsid w:val="001A2746"/>
    <w:rsid w:val="001F64CE"/>
    <w:rsid w:val="0026049F"/>
    <w:rsid w:val="00284D6B"/>
    <w:rsid w:val="002865C8"/>
    <w:rsid w:val="00287E66"/>
    <w:rsid w:val="002C179A"/>
    <w:rsid w:val="00332708"/>
    <w:rsid w:val="00350173"/>
    <w:rsid w:val="00364D36"/>
    <w:rsid w:val="00380F8A"/>
    <w:rsid w:val="004210F6"/>
    <w:rsid w:val="005031DB"/>
    <w:rsid w:val="005B1467"/>
    <w:rsid w:val="005F57A5"/>
    <w:rsid w:val="0069173F"/>
    <w:rsid w:val="0069716A"/>
    <w:rsid w:val="007018E5"/>
    <w:rsid w:val="00752FE5"/>
    <w:rsid w:val="007768C2"/>
    <w:rsid w:val="00793050"/>
    <w:rsid w:val="007A1E7B"/>
    <w:rsid w:val="008A0C96"/>
    <w:rsid w:val="00945F90"/>
    <w:rsid w:val="009D5509"/>
    <w:rsid w:val="00B47DF6"/>
    <w:rsid w:val="00BA2620"/>
    <w:rsid w:val="00C97CEE"/>
    <w:rsid w:val="00D868C2"/>
    <w:rsid w:val="00DD37D7"/>
    <w:rsid w:val="00E60C6F"/>
    <w:rsid w:val="00EA3E57"/>
    <w:rsid w:val="00EC6893"/>
    <w:rsid w:val="00F60729"/>
    <w:rsid w:val="00FA27FD"/>
    <w:rsid w:val="00FA50F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9232DB6"/>
  <w15:chartTrackingRefBased/>
  <w15:docId w15:val="{3F9594AB-39AB-4582-A9B7-7CEA9213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865C8"/>
    <w:rPr>
      <w:i/>
      <w:iCs/>
    </w:rPr>
  </w:style>
  <w:style w:type="character" w:styleId="Hyperlink">
    <w:name w:val="Hyperlink"/>
    <w:basedOn w:val="DefaultParagraphFont"/>
    <w:uiPriority w:val="99"/>
    <w:unhideWhenUsed/>
    <w:rsid w:val="002865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F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F6"/>
  </w:style>
  <w:style w:type="paragraph" w:styleId="Footer">
    <w:name w:val="footer"/>
    <w:basedOn w:val="Normal"/>
    <w:link w:val="FooterChar"/>
    <w:uiPriority w:val="99"/>
    <w:unhideWhenUsed/>
    <w:rsid w:val="00B47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16%2FS2155-8256(23)00064-9" TargetMode="External" /><Relationship Id="rId5" Type="http://schemas.openxmlformats.org/officeDocument/2006/relationships/hyperlink" Target="https://scopeofpracticepolicy.org/states/md/" TargetMode="External" /><Relationship Id="rId6" Type="http://schemas.openxmlformats.org/officeDocument/2006/relationships/hyperlink" Target="https://doi.org/10.1002%2Fnur.22253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Onyima, Doris</dc:creator>
  <cp:lastModifiedBy>Lenovo</cp:lastModifiedBy>
  <cp:revision>5</cp:revision>
  <dcterms:created xsi:type="dcterms:W3CDTF">2024-06-19T02:22:00Z</dcterms:created>
  <dcterms:modified xsi:type="dcterms:W3CDTF">2024-06-19T03:24:00Z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498373ef-bf9a-4d5a-ba6e-92049529297d</vt:lpwstr>
  </property>
</Properties>
</file>