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CA96" w14:textId="77F3F06C" w:rsidR="00D05E46" w:rsidRPr="00D05E46" w:rsidRDefault="00D05E46" w:rsidP="00D05E46">
      <w:pPr>
        <w:spacing w:after="0" w:line="480" w:lineRule="auto"/>
        <w:ind w:left="720" w:hanging="720"/>
        <w:rPr>
          <w:rFonts w:eastAsia="Calibri" w:cs="Times New Roman"/>
          <w:i/>
          <w:iCs/>
          <w:kern w:val="0"/>
          <w:sz w:val="24"/>
          <w:szCs w:val="24"/>
          <w14:ligatures w14:val="none"/>
        </w:rPr>
      </w:pPr>
      <w:r w:rsidRPr="00D05E46">
        <w:rPr>
          <w:rFonts w:eastAsia="Calibri" w:cs="Times New Roman"/>
          <w:i/>
          <w:iCs/>
          <w:kern w:val="0"/>
          <w:sz w:val="24"/>
          <w:szCs w:val="24"/>
          <w14:ligatures w14:val="none"/>
        </w:rPr>
        <w:t>Johns Hopkins Individual Evidence Summary Tool</w:t>
      </w:r>
      <w:r w:rsidR="003B6E58">
        <w:rPr>
          <w:rFonts w:cs="Times New Roman"/>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720"/>
        <w:gridCol w:w="2034"/>
        <w:gridCol w:w="2266"/>
        <w:gridCol w:w="1879"/>
        <w:gridCol w:w="1485"/>
        <w:gridCol w:w="1012"/>
        <w:gridCol w:w="1009"/>
      </w:tblGrid>
      <w:tr w:rsidR="00D05E46" w:rsidRPr="00D05E46" w14:paraId="060B7189" w14:textId="77777777" w:rsidTr="00A1009B">
        <w:trPr>
          <w:trHeight w:val="594"/>
        </w:trPr>
        <w:tc>
          <w:tcPr>
            <w:tcW w:w="363" w:type="pct"/>
          </w:tcPr>
          <w:p w14:paraId="056CB8A8"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c>
          <w:tcPr>
            <w:tcW w:w="4345" w:type="pct"/>
            <w:gridSpan w:val="9"/>
          </w:tcPr>
          <w:p w14:paraId="36F4C88B"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p w14:paraId="67BE4938" w14:textId="77777777" w:rsidR="00D05E46" w:rsidRPr="00D05E46" w:rsidRDefault="00D05E46" w:rsidP="00D05E46">
            <w:pPr>
              <w:widowControl w:val="0"/>
              <w:autoSpaceDE w:val="0"/>
              <w:autoSpaceDN w:val="0"/>
              <w:spacing w:after="0" w:line="240" w:lineRule="auto"/>
              <w:ind w:left="107"/>
              <w:rPr>
                <w:rFonts w:eastAsia="Times New Roman" w:cs="Times New Roman"/>
                <w:b/>
                <w:kern w:val="0"/>
                <w:sz w:val="22"/>
                <w14:ligatures w14:val="none"/>
              </w:rPr>
            </w:pPr>
            <w:r w:rsidRPr="00D05E46">
              <w:rPr>
                <w:rFonts w:eastAsia="Times New Roman" w:cs="Times New Roman"/>
                <w:b/>
                <w:kern w:val="0"/>
                <w:sz w:val="22"/>
                <w14:ligatures w14:val="none"/>
              </w:rPr>
              <w:t xml:space="preserve">EBP Project Practice </w:t>
            </w:r>
            <w:r w:rsidRPr="00D05E46">
              <w:rPr>
                <w:rFonts w:eastAsia="Times New Roman" w:cs="Times New Roman"/>
                <w:b/>
                <w:spacing w:val="-2"/>
                <w:kern w:val="0"/>
                <w:sz w:val="22"/>
                <w14:ligatures w14:val="none"/>
              </w:rPr>
              <w:t>Question:</w:t>
            </w:r>
          </w:p>
        </w:tc>
        <w:tc>
          <w:tcPr>
            <w:tcW w:w="292" w:type="pct"/>
          </w:tcPr>
          <w:p w14:paraId="0A0BE98D"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r>
      <w:tr w:rsidR="00D05E46" w:rsidRPr="00D05E46" w14:paraId="30D1E721" w14:textId="77777777" w:rsidTr="00A1009B">
        <w:trPr>
          <w:trHeight w:val="809"/>
        </w:trPr>
        <w:tc>
          <w:tcPr>
            <w:tcW w:w="363" w:type="pct"/>
            <w:vAlign w:val="center"/>
          </w:tcPr>
          <w:p w14:paraId="000F47CD" w14:textId="77777777" w:rsidR="00D05E46" w:rsidRPr="00D05E46" w:rsidRDefault="00D05E46" w:rsidP="00D05E46">
            <w:pPr>
              <w:widowControl w:val="0"/>
              <w:autoSpaceDE w:val="0"/>
              <w:autoSpaceDN w:val="0"/>
              <w:spacing w:after="0" w:line="240" w:lineRule="auto"/>
              <w:ind w:right="33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Reviewer Name(s)</w:t>
            </w:r>
          </w:p>
        </w:tc>
        <w:tc>
          <w:tcPr>
            <w:tcW w:w="339" w:type="pct"/>
            <w:vAlign w:val="center"/>
          </w:tcPr>
          <w:p w14:paraId="65422B55" w14:textId="77777777" w:rsidR="00D05E46" w:rsidRPr="00D05E46" w:rsidRDefault="00D05E46" w:rsidP="00D05E46">
            <w:pPr>
              <w:widowControl w:val="0"/>
              <w:autoSpaceDE w:val="0"/>
              <w:autoSpaceDN w:val="0"/>
              <w:spacing w:after="0" w:line="240" w:lineRule="auto"/>
              <w:ind w:right="9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Article Number</w:t>
            </w:r>
          </w:p>
        </w:tc>
        <w:tc>
          <w:tcPr>
            <w:tcW w:w="633" w:type="pct"/>
          </w:tcPr>
          <w:p w14:paraId="36854DFF"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Author, Date, and Title</w:t>
            </w:r>
          </w:p>
        </w:tc>
        <w:tc>
          <w:tcPr>
            <w:tcW w:w="363" w:type="pct"/>
            <w:vAlign w:val="center"/>
          </w:tcPr>
          <w:p w14:paraId="330E0941"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Type of Evidence</w:t>
            </w:r>
          </w:p>
        </w:tc>
        <w:tc>
          <w:tcPr>
            <w:tcW w:w="498" w:type="pct"/>
            <w:vAlign w:val="center"/>
          </w:tcPr>
          <w:p w14:paraId="3C85BF61"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Population, </w:t>
            </w:r>
            <w:r w:rsidRPr="00D05E46">
              <w:rPr>
                <w:rFonts w:eastAsia="Times New Roman" w:cs="Times New Roman"/>
                <w:b/>
                <w:kern w:val="0"/>
                <w:sz w:val="20"/>
                <w:szCs w:val="20"/>
                <w14:ligatures w14:val="none"/>
              </w:rPr>
              <w:t xml:space="preserve">size, and </w:t>
            </w:r>
            <w:r w:rsidRPr="00D05E46">
              <w:rPr>
                <w:rFonts w:eastAsia="Times New Roman" w:cs="Times New Roman"/>
                <w:b/>
                <w:spacing w:val="-2"/>
                <w:kern w:val="0"/>
                <w:sz w:val="20"/>
                <w:szCs w:val="20"/>
                <w14:ligatures w14:val="none"/>
              </w:rPr>
              <w:t>setting</w:t>
            </w:r>
          </w:p>
        </w:tc>
        <w:tc>
          <w:tcPr>
            <w:tcW w:w="589" w:type="pct"/>
            <w:vAlign w:val="center"/>
          </w:tcPr>
          <w:p w14:paraId="720BD1FD" w14:textId="77777777" w:rsidR="00D05E46" w:rsidRPr="00D05E46" w:rsidRDefault="00D05E46" w:rsidP="00D05E46">
            <w:pPr>
              <w:widowControl w:val="0"/>
              <w:autoSpaceDE w:val="0"/>
              <w:autoSpaceDN w:val="0"/>
              <w:spacing w:after="0" w:line="240" w:lineRule="auto"/>
              <w:ind w:right="93"/>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Intervention</w:t>
            </w:r>
          </w:p>
        </w:tc>
        <w:tc>
          <w:tcPr>
            <w:tcW w:w="656" w:type="pct"/>
            <w:vAlign w:val="center"/>
          </w:tcPr>
          <w:p w14:paraId="4A83CA60" w14:textId="77777777" w:rsidR="00D05E46" w:rsidRPr="00D05E46" w:rsidRDefault="00D05E46" w:rsidP="00D05E46">
            <w:pPr>
              <w:widowControl w:val="0"/>
              <w:autoSpaceDE w:val="0"/>
              <w:autoSpaceDN w:val="0"/>
              <w:spacing w:after="0" w:line="240" w:lineRule="auto"/>
              <w:ind w:right="111"/>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Findings </w:t>
            </w:r>
            <w:r w:rsidRPr="00D05E46">
              <w:rPr>
                <w:rFonts w:eastAsia="Times New Roman" w:cs="Times New Roman"/>
                <w:b/>
                <w:kern w:val="0"/>
                <w:sz w:val="20"/>
                <w:szCs w:val="20"/>
                <w14:ligatures w14:val="none"/>
              </w:rPr>
              <w:t>that help answer</w:t>
            </w:r>
            <w:r w:rsidRPr="00D05E46">
              <w:rPr>
                <w:rFonts w:eastAsia="Times New Roman" w:cs="Times New Roman"/>
                <w:b/>
                <w:spacing w:val="-14"/>
                <w:kern w:val="0"/>
                <w:sz w:val="20"/>
                <w:szCs w:val="20"/>
                <w14:ligatures w14:val="none"/>
              </w:rPr>
              <w:t xml:space="preserve"> </w:t>
            </w:r>
            <w:r w:rsidRPr="00D05E46">
              <w:rPr>
                <w:rFonts w:eastAsia="Times New Roman" w:cs="Times New Roman"/>
                <w:b/>
                <w:kern w:val="0"/>
                <w:sz w:val="20"/>
                <w:szCs w:val="20"/>
                <w14:ligatures w14:val="none"/>
              </w:rPr>
              <w:t xml:space="preserve">the </w:t>
            </w:r>
            <w:r w:rsidRPr="00D05E46">
              <w:rPr>
                <w:rFonts w:eastAsia="Times New Roman" w:cs="Times New Roman"/>
                <w:b/>
                <w:spacing w:val="-4"/>
                <w:kern w:val="0"/>
                <w:sz w:val="20"/>
                <w:szCs w:val="20"/>
                <w14:ligatures w14:val="none"/>
              </w:rPr>
              <w:t xml:space="preserve">EBP </w:t>
            </w:r>
            <w:r w:rsidRPr="00D05E46">
              <w:rPr>
                <w:rFonts w:eastAsia="Times New Roman" w:cs="Times New Roman"/>
                <w:b/>
                <w:spacing w:val="-2"/>
                <w:kern w:val="0"/>
                <w:sz w:val="20"/>
                <w:szCs w:val="20"/>
                <w14:ligatures w14:val="none"/>
              </w:rPr>
              <w:t>question</w:t>
            </w:r>
          </w:p>
        </w:tc>
        <w:tc>
          <w:tcPr>
            <w:tcW w:w="544" w:type="pct"/>
            <w:vAlign w:val="center"/>
          </w:tcPr>
          <w:p w14:paraId="3CF79B45" w14:textId="77777777" w:rsidR="00D05E46" w:rsidRPr="00D05E46" w:rsidRDefault="00D05E46" w:rsidP="00D05E46">
            <w:pPr>
              <w:widowControl w:val="0"/>
              <w:autoSpaceDE w:val="0"/>
              <w:autoSpaceDN w:val="0"/>
              <w:spacing w:after="0" w:line="240" w:lineRule="auto"/>
              <w:ind w:right="215"/>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Measures </w:t>
            </w:r>
            <w:r w:rsidRPr="00D05E46">
              <w:rPr>
                <w:rFonts w:eastAsia="Times New Roman" w:cs="Times New Roman"/>
                <w:b/>
                <w:spacing w:val="-4"/>
                <w:kern w:val="0"/>
                <w:sz w:val="20"/>
                <w:szCs w:val="20"/>
                <w14:ligatures w14:val="none"/>
              </w:rPr>
              <w:t>used</w:t>
            </w:r>
          </w:p>
        </w:tc>
        <w:tc>
          <w:tcPr>
            <w:tcW w:w="430" w:type="pct"/>
            <w:vAlign w:val="center"/>
          </w:tcPr>
          <w:p w14:paraId="020C6A1B"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Limitations</w:t>
            </w:r>
          </w:p>
        </w:tc>
        <w:tc>
          <w:tcPr>
            <w:tcW w:w="293" w:type="pct"/>
            <w:vAlign w:val="center"/>
          </w:tcPr>
          <w:p w14:paraId="314F3E97"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Evidence </w:t>
            </w:r>
            <w:r w:rsidRPr="00D05E46">
              <w:rPr>
                <w:rFonts w:eastAsia="Times New Roman" w:cs="Times New Roman"/>
                <w:b/>
                <w:kern w:val="0"/>
                <w:sz w:val="20"/>
                <w:szCs w:val="20"/>
                <w14:ligatures w14:val="none"/>
              </w:rPr>
              <w:t xml:space="preserve">level &amp; </w:t>
            </w:r>
            <w:r w:rsidRPr="00D05E46">
              <w:rPr>
                <w:rFonts w:eastAsia="Times New Roman" w:cs="Times New Roman"/>
                <w:b/>
                <w:spacing w:val="-2"/>
                <w:kern w:val="0"/>
                <w:sz w:val="20"/>
                <w:szCs w:val="20"/>
                <w14:ligatures w14:val="none"/>
              </w:rPr>
              <w:t>quality</w:t>
            </w:r>
          </w:p>
        </w:tc>
        <w:tc>
          <w:tcPr>
            <w:tcW w:w="292" w:type="pct"/>
          </w:tcPr>
          <w:p w14:paraId="4820E3D9"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spacing w:val="-2"/>
                <w:kern w:val="0"/>
                <w:sz w:val="20"/>
                <w:szCs w:val="20"/>
                <w14:ligatures w14:val="none"/>
              </w:rPr>
            </w:pPr>
            <w:r w:rsidRPr="00D05E46">
              <w:rPr>
                <w:rFonts w:eastAsia="Times New Roman" w:cs="Times New Roman"/>
                <w:b/>
                <w:spacing w:val="-2"/>
                <w:kern w:val="0"/>
                <w:sz w:val="20"/>
                <w:szCs w:val="20"/>
                <w14:ligatures w14:val="none"/>
              </w:rPr>
              <w:t>Notes to Team</w:t>
            </w:r>
          </w:p>
        </w:tc>
      </w:tr>
      <w:tr w:rsidR="00D05E46" w:rsidRPr="00D05E46" w14:paraId="29E6208C" w14:textId="77777777" w:rsidTr="00D05E46">
        <w:trPr>
          <w:trHeight w:val="659"/>
        </w:trPr>
        <w:tc>
          <w:tcPr>
            <w:tcW w:w="363" w:type="pct"/>
            <w:shd w:val="clear" w:color="auto" w:fill="C6D9F1"/>
          </w:tcPr>
          <w:p w14:paraId="7F9CBB05"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kern w:val="0"/>
                <w:sz w:val="18"/>
                <w:szCs w:val="18"/>
                <w14:ligatures w14:val="none"/>
              </w:rPr>
            </w:pPr>
          </w:p>
        </w:tc>
        <w:tc>
          <w:tcPr>
            <w:tcW w:w="339" w:type="pct"/>
            <w:shd w:val="clear" w:color="auto" w:fill="C6D9F1"/>
          </w:tcPr>
          <w:p w14:paraId="3ABFAD72"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666DC75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1</w:t>
            </w:r>
          </w:p>
          <w:p w14:paraId="1C85B8D7"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33" w:type="pct"/>
            <w:shd w:val="clear" w:color="auto" w:fill="C6D9F1"/>
          </w:tcPr>
          <w:p w14:paraId="5110CE38"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CC42A71"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 xml:space="preserve">Michaud, T.L., </w:t>
            </w:r>
            <w:proofErr w:type="spellStart"/>
            <w:r w:rsidRPr="00D05E46">
              <w:rPr>
                <w:rFonts w:ascii="Calibri" w:eastAsia="MS Mincho" w:hAnsi="Calibri" w:cs="Times New Roman"/>
                <w:kern w:val="0"/>
                <w:sz w:val="18"/>
                <w:szCs w:val="18"/>
                <w14:ligatures w14:val="none"/>
              </w:rPr>
              <w:t>Siahpush</w:t>
            </w:r>
            <w:proofErr w:type="spellEnd"/>
            <w:r w:rsidRPr="00D05E46">
              <w:rPr>
                <w:rFonts w:ascii="Calibri" w:eastAsia="MS Mincho" w:hAnsi="Calibri" w:cs="Times New Roman"/>
                <w:kern w:val="0"/>
                <w:sz w:val="18"/>
                <w:szCs w:val="18"/>
                <w14:ligatures w14:val="none"/>
              </w:rPr>
              <w:t xml:space="preserve">, M., Schwab, R. J., Eiland, L. A., DeVany, M., Hansen, G., Slachetka, T. S., Boilesen, E., Tak, H. J., Wilson, F. A., Wang, H., Pagán, J. A., &amp; Su, D. (2018). Remote patient monitoring and clinical outcomes for post-discharge patients with type 2 diabetes. </w:t>
            </w:r>
            <w:r w:rsidRPr="00D05E46">
              <w:rPr>
                <w:rFonts w:ascii="Calibri" w:eastAsia="MS Mincho" w:hAnsi="Calibri" w:cs="Times New Roman"/>
                <w:i/>
                <w:iCs/>
                <w:kern w:val="0"/>
                <w:sz w:val="18"/>
                <w:szCs w:val="18"/>
                <w14:ligatures w14:val="none"/>
              </w:rPr>
              <w:t>Population Health Management, 21</w:t>
            </w:r>
            <w:r w:rsidRPr="00D05E46">
              <w:rPr>
                <w:rFonts w:ascii="Calibri" w:eastAsia="MS Mincho" w:hAnsi="Calibri" w:cs="Times New Roman"/>
                <w:kern w:val="0"/>
                <w:sz w:val="18"/>
                <w:szCs w:val="18"/>
                <w14:ligatures w14:val="none"/>
              </w:rPr>
              <w:t xml:space="preserve">(5), 387–394. </w:t>
            </w:r>
            <w:hyperlink r:id="rId9" w:history="1">
              <w:r w:rsidRPr="00D05E46">
                <w:rPr>
                  <w:rFonts w:ascii="Calibri" w:eastAsia="MS Mincho" w:hAnsi="Calibri" w:cs="Times New Roman"/>
                  <w:color w:val="0000FF"/>
                  <w:kern w:val="0"/>
                  <w:sz w:val="18"/>
                  <w:szCs w:val="18"/>
                  <w:u w:val="single"/>
                  <w14:ligatures w14:val="none"/>
                </w:rPr>
                <w:t>https://doi.org/10.1089/pop.2017.0175</w:t>
              </w:r>
            </w:hyperlink>
          </w:p>
          <w:p w14:paraId="5C9CDA56"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p>
          <w:p w14:paraId="0870F24F"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Permalink</w:t>
            </w:r>
          </w:p>
          <w:p w14:paraId="700C64BD" w14:textId="77777777" w:rsidR="00D05E46" w:rsidRPr="00D05E46" w:rsidRDefault="005B0CF9" w:rsidP="00D05E46">
            <w:pPr>
              <w:spacing w:after="0" w:line="240" w:lineRule="auto"/>
              <w:contextualSpacing/>
              <w:rPr>
                <w:rFonts w:ascii="Calibri" w:eastAsia="MS Mincho" w:hAnsi="Calibri" w:cs="Times New Roman"/>
                <w:kern w:val="0"/>
                <w:sz w:val="22"/>
                <w14:ligatures w14:val="none"/>
              </w:rPr>
            </w:pPr>
            <w:hyperlink r:id="rId10" w:history="1">
              <w:r w:rsidR="00D05E46" w:rsidRPr="00D05E46">
                <w:rPr>
                  <w:rFonts w:ascii="Calibri" w:eastAsia="MS Mincho" w:hAnsi="Calibri" w:cs="Times New Roman"/>
                  <w:color w:val="0000FF"/>
                  <w:kern w:val="0"/>
                  <w:sz w:val="18"/>
                  <w:szCs w:val="18"/>
                  <w:u w:val="single"/>
                  <w14:ligatures w14:val="none"/>
                </w:rPr>
                <w:t>https://chamberlain.primo.exlibrisgroup.com/permalink/01CUCON_INST/f6kb8f/cdi_proquest_miscellaneous_2019041682</w:t>
              </w:r>
            </w:hyperlink>
          </w:p>
        </w:tc>
        <w:tc>
          <w:tcPr>
            <w:tcW w:w="363" w:type="pct"/>
            <w:shd w:val="clear" w:color="auto" w:fill="C6D9F1"/>
          </w:tcPr>
          <w:p w14:paraId="26818EAA"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534AC7B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Quantitative research with a retrospective, observational design.</w:t>
            </w:r>
          </w:p>
        </w:tc>
        <w:tc>
          <w:tcPr>
            <w:tcW w:w="498" w:type="pct"/>
            <w:shd w:val="clear" w:color="auto" w:fill="C6D9F1"/>
          </w:tcPr>
          <w:p w14:paraId="76DD1EB5"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1BEFF46D"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Sample/size = 955 patients 19 years of age and older with T2D that were discharged from the inpatient setting within 30 days</w:t>
            </w:r>
          </w:p>
          <w:p w14:paraId="5F80B803"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682030B1"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 xml:space="preserve">Sample Size = 955 </w:t>
            </w:r>
          </w:p>
          <w:p w14:paraId="35F8DBD4"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27163294"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bCs/>
                <w:kern w:val="0"/>
                <w:sz w:val="18"/>
                <w:szCs w:val="18"/>
                <w14:ligatures w14:val="none"/>
              </w:rPr>
              <w:t xml:space="preserve">Setting = Nebraska </w:t>
            </w:r>
          </w:p>
        </w:tc>
        <w:tc>
          <w:tcPr>
            <w:tcW w:w="589" w:type="pct"/>
            <w:shd w:val="clear" w:color="auto" w:fill="C6D9F1"/>
          </w:tcPr>
          <w:p w14:paraId="199F141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6D24BF0"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This study looked at the effects of utilizing a remote patient monitoring system on the health outcomes of patients with T2D.</w:t>
            </w:r>
          </w:p>
        </w:tc>
        <w:tc>
          <w:tcPr>
            <w:tcW w:w="656" w:type="pct"/>
            <w:shd w:val="clear" w:color="auto" w:fill="C6D9F1"/>
          </w:tcPr>
          <w:p w14:paraId="4CB7F5A7"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4857DBB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After the study, 69% of those who began the study with an HbA1c of &gt;9% ended the study with an HbA1c of ≤9%. Similarly, from baseline to the end of the study, patients’ mean weight had decreased from 225lb to 222lb, and mean BMI had decreased from 35.59 to 35.23. Patient activation scores rose from 63.37 at baseline to 69.17 at the end of the study.</w:t>
            </w:r>
          </w:p>
        </w:tc>
        <w:tc>
          <w:tcPr>
            <w:tcW w:w="544" w:type="pct"/>
            <w:shd w:val="clear" w:color="auto" w:fill="C6D9F1"/>
          </w:tcPr>
          <w:p w14:paraId="6D95B3DB"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321BC5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The researchers measured HbA1c, weight, BMI, BP, and patient activation scores.</w:t>
            </w:r>
          </w:p>
        </w:tc>
        <w:tc>
          <w:tcPr>
            <w:tcW w:w="430" w:type="pct"/>
            <w:shd w:val="clear" w:color="auto" w:fill="C6D9F1"/>
          </w:tcPr>
          <w:p w14:paraId="6044138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EADF06B"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One limitation is inconsistent devices used, as some patients could use their glucometer rather than the one provided in the study. Other limitations include that there was no expectation to complete measurements on the weekends.</w:t>
            </w:r>
          </w:p>
        </w:tc>
        <w:tc>
          <w:tcPr>
            <w:tcW w:w="293" w:type="pct"/>
            <w:shd w:val="clear" w:color="auto" w:fill="C6D9F1"/>
          </w:tcPr>
          <w:p w14:paraId="61ED128F"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5EEDE20C"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 xml:space="preserve">Level III, </w:t>
            </w:r>
          </w:p>
          <w:p w14:paraId="6705C7F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Quality C</w:t>
            </w:r>
          </w:p>
        </w:tc>
        <w:tc>
          <w:tcPr>
            <w:tcW w:w="292" w:type="pct"/>
            <w:shd w:val="clear" w:color="auto" w:fill="C6D9F1"/>
          </w:tcPr>
          <w:p w14:paraId="63D628BF"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b/>
                <w:bCs/>
                <w:kern w:val="0"/>
                <w:sz w:val="18"/>
                <w:szCs w:val="18"/>
                <w14:ligatures w14:val="none"/>
              </w:rPr>
            </w:pPr>
          </w:p>
        </w:tc>
      </w:tr>
      <w:tr w:rsidR="00D05E46" w:rsidRPr="00D05E46" w14:paraId="53885646" w14:textId="77777777" w:rsidTr="00A1009B">
        <w:trPr>
          <w:trHeight w:val="662"/>
        </w:trPr>
        <w:tc>
          <w:tcPr>
            <w:tcW w:w="363" w:type="pct"/>
          </w:tcPr>
          <w:p w14:paraId="7C7B69AE"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bookmarkStart w:id="0" w:name="_Hlk140067709"/>
            <w:bookmarkStart w:id="1" w:name="_Hlk140067720"/>
          </w:p>
        </w:tc>
        <w:tc>
          <w:tcPr>
            <w:tcW w:w="339" w:type="pct"/>
          </w:tcPr>
          <w:p w14:paraId="25923BB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7609869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7C2D2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44DD58A2"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7A9E176A"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1DF5322C"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629294C7"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2C628B7B"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5B8DCAD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69AAABA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tr w:rsidR="00D05E46" w:rsidRPr="00D05E46" w14:paraId="01B8FAD2" w14:textId="77777777" w:rsidTr="00A1009B">
        <w:trPr>
          <w:trHeight w:val="661"/>
        </w:trPr>
        <w:tc>
          <w:tcPr>
            <w:tcW w:w="363" w:type="pct"/>
          </w:tcPr>
          <w:p w14:paraId="30629A2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39" w:type="pct"/>
          </w:tcPr>
          <w:p w14:paraId="51C0215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52CB93F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F76B2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3CD59E0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6A1BCEC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47D9760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7C919F1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799035A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2C681A4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30C49C9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bookmarkEnd w:id="0"/>
      <w:tr w:rsidR="003B6E58" w:rsidRPr="00D05E46" w14:paraId="23A4EE7F"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6B6D7C6"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80954D"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2ECAB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C69EF5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710384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4C84F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95CA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B95CB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0CA212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0A2816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54B450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FE74A18"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095E51C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02734E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C8CDD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31042A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1D9FB2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285C68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11D6F4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142BF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8BB46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379B27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0EC03CC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bookmarkEnd w:id="1"/>
      <w:tr w:rsidR="003B6E58" w:rsidRPr="00D05E46" w14:paraId="0476F399"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795A985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39300B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598E846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B7A58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2F94D0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B04DE7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4D676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293E52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6EC9D6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503285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D26617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CB44504"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626BD95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5E7EF2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4728C11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018414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305E79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9395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3CD0CE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19E3EE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1EE0B6C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DCFEDD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CE448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47F64802"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2AC8AA2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33A19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2ACBAD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2CD9F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571160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E6651F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6391F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4E3F9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38E6154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DCC51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5266AC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A6D924E"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E3543B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C73151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5FD4F9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1E29F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DFBCD9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00A47D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4571AE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52D6C7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AA65CE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B47F8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2316BD6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65EAAFF1"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1D8C19E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2CA041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B0BAC0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9D3D2A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E4419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594C6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677E074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8E94D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953435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A4A7EF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46F5FCA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11A2E44"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776C948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1B89FE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7F6E0B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75173AC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1737830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47AB1C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A66D81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267D41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E346C6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C2E9FF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3BC12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bl>
    <w:p w14:paraId="2210897B" w14:textId="77777777"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60C8FD7C" w14:textId="4F105349"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79775919" w14:textId="645B57A4" w:rsidR="00394F2B" w:rsidRDefault="003B6E58" w:rsidP="00D05E46">
      <w:pPr>
        <w:spacing w:after="200" w:line="276" w:lineRule="auto"/>
      </w:pPr>
      <w:r w:rsidRPr="007A7B41">
        <w:rPr>
          <w:rFonts w:cs="Times New Roman"/>
          <w:sz w:val="20"/>
        </w:rPr>
        <w:t>© 2021 Johns Hopkins Health System/Johns Hopkins School of Nursing</w:t>
      </w:r>
      <w:r>
        <w:rPr>
          <w:rFonts w:cs="Times New Roman"/>
          <w:sz w:val="20"/>
        </w:rPr>
        <w:tab/>
      </w:r>
    </w:p>
    <w:sectPr w:rsidR="00394F2B" w:rsidSect="00A80059">
      <w:footerReference w:type="default" r:id="rId11"/>
      <w:footerReference w:type="first" r:id="rId12"/>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7B60" w14:textId="77777777" w:rsidR="00947D37" w:rsidRDefault="00947D37">
      <w:pPr>
        <w:spacing w:after="0" w:line="240" w:lineRule="auto"/>
      </w:pPr>
      <w:r>
        <w:separator/>
      </w:r>
    </w:p>
  </w:endnote>
  <w:endnote w:type="continuationSeparator" w:id="0">
    <w:p w14:paraId="763AB2EF" w14:textId="77777777" w:rsidR="00947D37" w:rsidRDefault="0094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3F30F79" w14:paraId="0249D1F2" w14:textId="77777777" w:rsidTr="43F30F79">
      <w:tc>
        <w:tcPr>
          <w:tcW w:w="4320" w:type="dxa"/>
        </w:tcPr>
        <w:p w14:paraId="3F061D29" w14:textId="77777777" w:rsidR="00C836A1" w:rsidRDefault="00C836A1" w:rsidP="43F30F79">
          <w:pPr>
            <w:pStyle w:val="Header"/>
            <w:ind w:left="-115"/>
          </w:pPr>
        </w:p>
      </w:tc>
      <w:tc>
        <w:tcPr>
          <w:tcW w:w="4320" w:type="dxa"/>
        </w:tcPr>
        <w:p w14:paraId="68997599" w14:textId="77777777" w:rsidR="00C836A1" w:rsidRDefault="00C836A1" w:rsidP="43F30F79">
          <w:pPr>
            <w:pStyle w:val="Header"/>
            <w:jc w:val="center"/>
          </w:pPr>
        </w:p>
      </w:tc>
      <w:tc>
        <w:tcPr>
          <w:tcW w:w="4320" w:type="dxa"/>
        </w:tcPr>
        <w:p w14:paraId="62416844" w14:textId="77777777" w:rsidR="00C836A1" w:rsidRDefault="00C836A1" w:rsidP="43F30F79">
          <w:pPr>
            <w:pStyle w:val="Header"/>
            <w:ind w:right="-115"/>
            <w:jc w:val="right"/>
          </w:pPr>
        </w:p>
      </w:tc>
    </w:tr>
  </w:tbl>
  <w:p w14:paraId="6507F133" w14:textId="77777777" w:rsidR="00C836A1" w:rsidRDefault="00C836A1" w:rsidP="43F3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3F30F79" w14:paraId="10752D1D" w14:textId="77777777" w:rsidTr="43F30F79">
      <w:tc>
        <w:tcPr>
          <w:tcW w:w="4320" w:type="dxa"/>
        </w:tcPr>
        <w:p w14:paraId="004985B3" w14:textId="77777777" w:rsidR="00C836A1" w:rsidRDefault="00C836A1" w:rsidP="43F30F79">
          <w:pPr>
            <w:pStyle w:val="Header"/>
            <w:ind w:left="-115"/>
          </w:pPr>
        </w:p>
      </w:tc>
      <w:tc>
        <w:tcPr>
          <w:tcW w:w="4320" w:type="dxa"/>
        </w:tcPr>
        <w:p w14:paraId="1F9ADC9A" w14:textId="77777777" w:rsidR="00C836A1" w:rsidRDefault="00C836A1" w:rsidP="43F30F79">
          <w:pPr>
            <w:pStyle w:val="Header"/>
            <w:jc w:val="center"/>
          </w:pPr>
        </w:p>
      </w:tc>
      <w:tc>
        <w:tcPr>
          <w:tcW w:w="4320" w:type="dxa"/>
        </w:tcPr>
        <w:p w14:paraId="130DB8BF" w14:textId="77777777" w:rsidR="00C836A1" w:rsidRDefault="00C836A1" w:rsidP="43F30F79">
          <w:pPr>
            <w:pStyle w:val="Header"/>
            <w:ind w:right="-115"/>
            <w:jc w:val="right"/>
          </w:pPr>
        </w:p>
      </w:tc>
    </w:tr>
  </w:tbl>
  <w:p w14:paraId="7A506E13" w14:textId="77777777" w:rsidR="00C836A1" w:rsidRDefault="00C836A1" w:rsidP="43F3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0F0A" w14:textId="77777777" w:rsidR="00947D37" w:rsidRDefault="00947D37">
      <w:pPr>
        <w:spacing w:after="0" w:line="240" w:lineRule="auto"/>
      </w:pPr>
      <w:r>
        <w:separator/>
      </w:r>
    </w:p>
  </w:footnote>
  <w:footnote w:type="continuationSeparator" w:id="0">
    <w:p w14:paraId="15640894" w14:textId="77777777" w:rsidR="00947D37" w:rsidRDefault="00947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NDA2NTU1NjYxMDIyUdpeDU4uLM/DyQAsNaAIlGynMsAAAA"/>
  </w:docVars>
  <w:rsids>
    <w:rsidRoot w:val="00D05E46"/>
    <w:rsid w:val="00106535"/>
    <w:rsid w:val="00394F2B"/>
    <w:rsid w:val="003B6E58"/>
    <w:rsid w:val="005B0CF9"/>
    <w:rsid w:val="007367AD"/>
    <w:rsid w:val="00947D37"/>
    <w:rsid w:val="00C51630"/>
    <w:rsid w:val="00C836A1"/>
    <w:rsid w:val="00D0507B"/>
    <w:rsid w:val="00D05E46"/>
    <w:rsid w:val="00EB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108E"/>
  <w15:chartTrackingRefBased/>
  <w15:docId w15:val="{95861B2C-FDED-4F55-9968-4BF0DB94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HeaderChar">
    <w:name w:val="Header Char"/>
    <w:basedOn w:val="DefaultParagraphFont"/>
    <w:link w:val="Header"/>
    <w:uiPriority w:val="99"/>
    <w:rsid w:val="00D05E46"/>
    <w:rPr>
      <w:rFonts w:ascii="Calibri" w:eastAsia="MS Mincho" w:hAnsi="Calibri"/>
      <w:kern w:val="0"/>
      <w:sz w:val="22"/>
      <w14:ligatures w14:val="none"/>
    </w:rPr>
  </w:style>
  <w:style w:type="paragraph" w:styleId="Footer">
    <w:name w:val="footer"/>
    <w:basedOn w:val="Normal"/>
    <w:link w:val="Foot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FooterChar">
    <w:name w:val="Footer Char"/>
    <w:basedOn w:val="DefaultParagraphFont"/>
    <w:link w:val="Footer"/>
    <w:uiPriority w:val="99"/>
    <w:rsid w:val="00D05E46"/>
    <w:rPr>
      <w:rFonts w:ascii="Calibri" w:eastAsia="MS Mincho" w:hAnsi="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hamberlain.primo.exlibrisgroup.com/permalink/01CUCON_INST/f6kb8f/cdi_proquest_miscellaneous_2019041682" TargetMode="External"/><Relationship Id="rId4" Type="http://schemas.openxmlformats.org/officeDocument/2006/relationships/styles" Target="styles.xml"/><Relationship Id="rId9" Type="http://schemas.openxmlformats.org/officeDocument/2006/relationships/hyperlink" Target="https://doi.org/10.1089/pop.2017.01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2" ma:contentTypeDescription="Create a new document." ma:contentTypeScope="" ma:versionID="da308872ac4aeb00c590fa41dd74a9f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5cdd8952e897807d9e195f9f40931002"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documentManagement>
</p:properties>
</file>

<file path=customXml/itemProps1.xml><?xml version="1.0" encoding="utf-8"?>
<ds:datastoreItem xmlns:ds="http://schemas.openxmlformats.org/officeDocument/2006/customXml" ds:itemID="{A8B659CA-7A97-4F8C-9D21-6DE8E7F2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C30F3-58B1-4B1C-B25A-742FFBACCA1F}">
  <ds:schemaRefs>
    <ds:schemaRef ds:uri="http://schemas.microsoft.com/sharepoint/v3/contenttype/forms"/>
  </ds:schemaRefs>
</ds:datastoreItem>
</file>

<file path=customXml/itemProps3.xml><?xml version="1.0" encoding="utf-8"?>
<ds:datastoreItem xmlns:ds="http://schemas.openxmlformats.org/officeDocument/2006/customXml" ds:itemID="{AC8FEE83-6D8C-46CB-AB73-2D2DF055681D}">
  <ds:schemaRefs>
    <ds:schemaRef ds:uri="http://schemas.microsoft.com/office/2006/metadata/properties"/>
    <ds:schemaRef ds:uri="http://schemas.microsoft.com/office/infopath/2007/PartnerControls"/>
    <ds:schemaRef ds:uri="b7412cc2-8c54-4109-8bdb-a0d9e879cd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Balevre</dc:creator>
  <cp:keywords/>
  <dc:description/>
  <cp:lastModifiedBy>Esther Ejinaka</cp:lastModifiedBy>
  <cp:revision>2</cp:revision>
  <dcterms:created xsi:type="dcterms:W3CDTF">2024-03-19T13:49:00Z</dcterms:created>
  <dcterms:modified xsi:type="dcterms:W3CDTF">2024-03-19T13:49:00Z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5561d9c7-138c-4699-88d0-b6fcbd62a0c3</vt:lpwstr>
  </property>
  <property fmtid="{D5CDD505-2E9C-101B-9397-08002B2CF9AE}" pid="3" name="ContentTypeId">
    <vt:lpwstr>0x0101005922D65F7A54174E98A28353DA67A368</vt:lpwstr>
  </property>
</Properties>
</file>