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2A744" w14:textId="573F6D25" w:rsidR="00D66F47" w:rsidRPr="00BB2615" w:rsidRDefault="00D66F47" w:rsidP="008C4D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B2615">
        <w:rPr>
          <w:rFonts w:ascii="Times New Roman" w:hAnsi="Times New Roman" w:cs="Times New Roman"/>
          <w:b/>
          <w:bCs/>
          <w:sz w:val="24"/>
          <w:szCs w:val="24"/>
        </w:rPr>
        <w:t>Analyzing Descriptive Statistics</w:t>
      </w:r>
    </w:p>
    <w:bookmarkEnd w:id="0"/>
    <w:p w14:paraId="3C943FEF" w14:textId="77777777" w:rsidR="004F05F4" w:rsidRPr="00BB2615" w:rsidRDefault="00CD0E60" w:rsidP="00B20B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In a</w:t>
      </w:r>
      <w:r w:rsidR="008675A6" w:rsidRPr="00BB2615">
        <w:rPr>
          <w:rFonts w:ascii="Times New Roman" w:hAnsi="Times New Roman" w:cs="Times New Roman"/>
          <w:sz w:val="24"/>
          <w:szCs w:val="24"/>
        </w:rPr>
        <w:t>n</w:t>
      </w:r>
      <w:r w:rsidRPr="00BB2615">
        <w:rPr>
          <w:rFonts w:ascii="Times New Roman" w:hAnsi="Times New Roman" w:cs="Times New Roman"/>
          <w:sz w:val="24"/>
          <w:szCs w:val="24"/>
        </w:rPr>
        <w:t xml:space="preserve">alyzing the descriptive statistics, the paper seeks to </w:t>
      </w:r>
      <w:r w:rsidR="00363412" w:rsidRPr="00BB2615">
        <w:rPr>
          <w:rFonts w:ascii="Times New Roman" w:hAnsi="Times New Roman" w:cs="Times New Roman"/>
          <w:sz w:val="24"/>
          <w:szCs w:val="24"/>
        </w:rPr>
        <w:t>analyze the data set provided</w:t>
      </w:r>
      <w:r w:rsidR="008675A6" w:rsidRPr="00BB2615">
        <w:rPr>
          <w:rFonts w:ascii="Times New Roman" w:hAnsi="Times New Roman" w:cs="Times New Roman"/>
          <w:sz w:val="24"/>
          <w:szCs w:val="24"/>
        </w:rPr>
        <w:t>, derive conclusions</w:t>
      </w:r>
      <w:r w:rsidR="00467F1E" w:rsidRPr="00BB2615">
        <w:rPr>
          <w:rFonts w:ascii="Times New Roman" w:hAnsi="Times New Roman" w:cs="Times New Roman"/>
          <w:sz w:val="24"/>
          <w:szCs w:val="24"/>
        </w:rPr>
        <w:t>,</w:t>
      </w:r>
      <w:r w:rsidR="005735BE" w:rsidRPr="00BB2615">
        <w:rPr>
          <w:rFonts w:ascii="Times New Roman" w:hAnsi="Times New Roman" w:cs="Times New Roman"/>
          <w:sz w:val="24"/>
          <w:szCs w:val="24"/>
        </w:rPr>
        <w:t xml:space="preserve"> and develop recommendations to stakeholders for the diabetes self-management education (DSME) program based on results. </w:t>
      </w:r>
    </w:p>
    <w:p w14:paraId="46CF6849" w14:textId="1738FC19" w:rsidR="00B47466" w:rsidRPr="00BB2615" w:rsidRDefault="00F0446D" w:rsidP="00BB2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>Based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on the data set provided, calculate the average percentage of patients with uncontrolled</w:t>
      </w:r>
      <w:r w:rsidR="006C6829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diabetes (HbA1c7) both pre-implementation and post-implementation.</w:t>
      </w:r>
    </w:p>
    <w:p w14:paraId="2A6B67BC" w14:textId="6ADC0F04" w:rsidR="00235F04" w:rsidRPr="00B20B0F" w:rsidRDefault="0037591A" w:rsidP="00B20B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B0F">
        <w:rPr>
          <w:rFonts w:ascii="Times New Roman" w:hAnsi="Times New Roman" w:cs="Times New Roman"/>
          <w:sz w:val="24"/>
          <w:szCs w:val="24"/>
        </w:rPr>
        <w:t>The pre-intervention</w:t>
      </w:r>
      <w:r w:rsidR="00467F1E" w:rsidRPr="00B20B0F">
        <w:rPr>
          <w:rFonts w:ascii="Times New Roman" w:hAnsi="Times New Roman" w:cs="Times New Roman"/>
          <w:sz w:val="24"/>
          <w:szCs w:val="24"/>
        </w:rPr>
        <w:t xml:space="preserve"> average percentage is 9 divided by 10 multiplied by 100 (9÷10 x 100) = 90% </w:t>
      </w:r>
      <w:r w:rsidR="00B20B0F">
        <w:rPr>
          <w:rFonts w:ascii="Times New Roman" w:hAnsi="Times New Roman" w:cs="Times New Roman"/>
          <w:sz w:val="24"/>
          <w:szCs w:val="24"/>
        </w:rPr>
        <w:t xml:space="preserve">while the </w:t>
      </w:r>
      <w:r w:rsidRPr="00B20B0F">
        <w:rPr>
          <w:rFonts w:ascii="Times New Roman" w:hAnsi="Times New Roman" w:cs="Times New Roman"/>
          <w:sz w:val="24"/>
          <w:szCs w:val="24"/>
        </w:rPr>
        <w:t>p</w:t>
      </w:r>
      <w:r w:rsidR="00467F1E" w:rsidRPr="00B20B0F">
        <w:rPr>
          <w:rFonts w:ascii="Times New Roman" w:hAnsi="Times New Roman" w:cs="Times New Roman"/>
          <w:sz w:val="24"/>
          <w:szCs w:val="24"/>
        </w:rPr>
        <w:t>ost-intervention</w:t>
      </w:r>
      <w:r w:rsidRPr="00B20B0F">
        <w:rPr>
          <w:rFonts w:ascii="Times New Roman" w:hAnsi="Times New Roman" w:cs="Times New Roman"/>
          <w:sz w:val="24"/>
          <w:szCs w:val="24"/>
        </w:rPr>
        <w:t xml:space="preserve"> average percentage is</w:t>
      </w:r>
      <w:r w:rsidR="00467F1E" w:rsidRPr="00B20B0F">
        <w:rPr>
          <w:rFonts w:ascii="Times New Roman" w:hAnsi="Times New Roman" w:cs="Times New Roman"/>
          <w:sz w:val="24"/>
          <w:szCs w:val="24"/>
        </w:rPr>
        <w:t>5 divided by10 multiplied by 100 (5÷10 x 100) = 50%</w:t>
      </w:r>
      <w:r w:rsidR="00B20B0F">
        <w:rPr>
          <w:rFonts w:ascii="Times New Roman" w:hAnsi="Times New Roman" w:cs="Times New Roman"/>
          <w:sz w:val="24"/>
          <w:szCs w:val="24"/>
        </w:rPr>
        <w:t>.</w:t>
      </w:r>
    </w:p>
    <w:p w14:paraId="6DE426DF" w14:textId="2E5151DB" w:rsidR="00483F6F" w:rsidRPr="00BB2615" w:rsidRDefault="0037591A" w:rsidP="00BB26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calculat</w:t>
      </w:r>
      <w:r w:rsidRPr="00BB2615">
        <w:rPr>
          <w:rFonts w:ascii="Times New Roman" w:hAnsi="Times New Roman" w:cs="Times New Roman"/>
          <w:b/>
          <w:bCs/>
          <w:sz w:val="24"/>
          <w:szCs w:val="24"/>
        </w:rPr>
        <w:t>ion of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the mean pre</w:t>
      </w:r>
      <w:r w:rsidR="00235F04" w:rsidRPr="00BB261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235F04" w:rsidRPr="00BB261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post-implementation HbA1c values for patients</w:t>
      </w:r>
      <w:r w:rsidR="006C6829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involved in this practice change project</w:t>
      </w:r>
      <w:r w:rsidR="00483F6F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</w:p>
    <w:p w14:paraId="0B84234D" w14:textId="77777777" w:rsidR="00483F6F" w:rsidRPr="00AF6309" w:rsidRDefault="00483F6F" w:rsidP="00AF63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6309">
        <w:rPr>
          <w:rFonts w:ascii="Times New Roman" w:hAnsi="Times New Roman" w:cs="Times New Roman"/>
          <w:sz w:val="24"/>
          <w:szCs w:val="24"/>
        </w:rPr>
        <w:t>Total number of preintervention outcomes divided by the number of patients</w:t>
      </w:r>
    </w:p>
    <w:p w14:paraId="1C5F5EB6" w14:textId="77777777" w:rsidR="00483F6F" w:rsidRPr="00B20B0F" w:rsidRDefault="00483F6F" w:rsidP="00B20B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B0F">
        <w:rPr>
          <w:rFonts w:ascii="Times New Roman" w:hAnsi="Times New Roman" w:cs="Times New Roman"/>
          <w:sz w:val="24"/>
          <w:szCs w:val="24"/>
        </w:rPr>
        <w:t>7.4+7.8+7.1+6.8+7.4+7.8+7.8+8.2+7.5+11.8÷ 10</w:t>
      </w:r>
    </w:p>
    <w:p w14:paraId="1297517D" w14:textId="77777777" w:rsidR="00B20B0F" w:rsidRDefault="00483F6F" w:rsidP="00B20B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B0F">
        <w:rPr>
          <w:rFonts w:ascii="Times New Roman" w:hAnsi="Times New Roman" w:cs="Times New Roman"/>
          <w:sz w:val="24"/>
          <w:szCs w:val="24"/>
        </w:rPr>
        <w:t>79.6 divided by 10 (79.6÷10) =7.96</w:t>
      </w:r>
      <w:r w:rsidR="004D5AB8" w:rsidRPr="00B20B0F">
        <w:rPr>
          <w:rFonts w:ascii="Times New Roman" w:hAnsi="Times New Roman" w:cs="Times New Roman"/>
          <w:sz w:val="24"/>
          <w:szCs w:val="24"/>
        </w:rPr>
        <w:t xml:space="preserve"> </w:t>
      </w:r>
      <w:r w:rsidR="00AF6309" w:rsidRPr="00B20B0F">
        <w:rPr>
          <w:rFonts w:ascii="Times New Roman" w:hAnsi="Times New Roman" w:cs="Times New Roman"/>
          <w:sz w:val="24"/>
          <w:szCs w:val="24"/>
        </w:rPr>
        <w:t>meaning</w:t>
      </w:r>
      <w:r w:rsidR="004D5AB8" w:rsidRPr="00B20B0F">
        <w:rPr>
          <w:rFonts w:ascii="Times New Roman" w:hAnsi="Times New Roman" w:cs="Times New Roman"/>
          <w:sz w:val="24"/>
          <w:szCs w:val="24"/>
        </w:rPr>
        <w:t xml:space="preserve"> pre-implementation HbA1c </w:t>
      </w:r>
      <w:r w:rsidRPr="00B20B0F">
        <w:rPr>
          <w:rFonts w:ascii="Times New Roman" w:hAnsi="Times New Roman" w:cs="Times New Roman"/>
          <w:sz w:val="24"/>
          <w:szCs w:val="24"/>
        </w:rPr>
        <w:t>Mean is 7.96</w:t>
      </w:r>
    </w:p>
    <w:p w14:paraId="0DD4A496" w14:textId="77777777" w:rsidR="00B20B0F" w:rsidRDefault="004D5AB8" w:rsidP="00B20B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B0F">
        <w:rPr>
          <w:rFonts w:ascii="Times New Roman" w:hAnsi="Times New Roman" w:cs="Times New Roman"/>
          <w:sz w:val="24"/>
          <w:szCs w:val="24"/>
        </w:rPr>
        <w:t xml:space="preserve">The mean postintervention outcomes divided by </w:t>
      </w:r>
      <w:r w:rsidR="00AF6309" w:rsidRPr="00B20B0F">
        <w:rPr>
          <w:rFonts w:ascii="Times New Roman" w:hAnsi="Times New Roman" w:cs="Times New Roman"/>
          <w:sz w:val="24"/>
          <w:szCs w:val="24"/>
        </w:rPr>
        <w:t xml:space="preserve">the </w:t>
      </w:r>
      <w:r w:rsidRPr="00B20B0F">
        <w:rPr>
          <w:rFonts w:ascii="Times New Roman" w:hAnsi="Times New Roman" w:cs="Times New Roman"/>
          <w:sz w:val="24"/>
          <w:szCs w:val="24"/>
        </w:rPr>
        <w:t xml:space="preserve">number of patients  </w:t>
      </w:r>
      <w:r w:rsidR="00B20B0F">
        <w:rPr>
          <w:rFonts w:ascii="Times New Roman" w:hAnsi="Times New Roman" w:cs="Times New Roman"/>
          <w:sz w:val="24"/>
          <w:szCs w:val="24"/>
        </w:rPr>
        <w:t xml:space="preserve"> </w:t>
      </w:r>
      <w:r w:rsidRPr="00B20B0F">
        <w:rPr>
          <w:rFonts w:ascii="Times New Roman" w:hAnsi="Times New Roman" w:cs="Times New Roman"/>
          <w:sz w:val="24"/>
          <w:szCs w:val="24"/>
        </w:rPr>
        <w:t>6.4+6.7+6.7+6.8+6.9+7.1+7.4+7.7+8+11.3 divided by 10</w:t>
      </w:r>
    </w:p>
    <w:p w14:paraId="7E3FE768" w14:textId="00BDFE1A" w:rsidR="004D5AB8" w:rsidRPr="00B20B0F" w:rsidRDefault="004D5AB8" w:rsidP="00B20B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B0F">
        <w:rPr>
          <w:rFonts w:ascii="Times New Roman" w:hAnsi="Times New Roman" w:cs="Times New Roman"/>
          <w:sz w:val="24"/>
          <w:szCs w:val="24"/>
        </w:rPr>
        <w:t>75 divided by 10 (75÷10) = 7.5</w:t>
      </w:r>
      <w:r w:rsidR="00B20B0F">
        <w:rPr>
          <w:rFonts w:ascii="Times New Roman" w:hAnsi="Times New Roman" w:cs="Times New Roman"/>
          <w:sz w:val="24"/>
          <w:szCs w:val="24"/>
        </w:rPr>
        <w:t>;</w:t>
      </w:r>
      <w:r w:rsidR="00AF6309" w:rsidRPr="00B20B0F">
        <w:rPr>
          <w:rFonts w:ascii="Times New Roman" w:hAnsi="Times New Roman" w:cs="Times New Roman"/>
          <w:sz w:val="24"/>
          <w:szCs w:val="24"/>
        </w:rPr>
        <w:t xml:space="preserve"> therefore, t</w:t>
      </w:r>
      <w:r w:rsidR="00AF30FB" w:rsidRPr="00B20B0F">
        <w:rPr>
          <w:rFonts w:ascii="Times New Roman" w:hAnsi="Times New Roman" w:cs="Times New Roman"/>
          <w:sz w:val="24"/>
          <w:szCs w:val="24"/>
        </w:rPr>
        <w:t>he postintervention m</w:t>
      </w:r>
      <w:r w:rsidRPr="00B20B0F">
        <w:rPr>
          <w:rFonts w:ascii="Times New Roman" w:hAnsi="Times New Roman" w:cs="Times New Roman"/>
          <w:sz w:val="24"/>
          <w:szCs w:val="24"/>
        </w:rPr>
        <w:t>ean is 7.5</w:t>
      </w:r>
      <w:r w:rsidR="00AF6309" w:rsidRPr="00B20B0F">
        <w:rPr>
          <w:rFonts w:ascii="Times New Roman" w:hAnsi="Times New Roman" w:cs="Times New Roman"/>
          <w:sz w:val="24"/>
          <w:szCs w:val="24"/>
        </w:rPr>
        <w:t>.</w:t>
      </w:r>
    </w:p>
    <w:p w14:paraId="54E8EF53" w14:textId="6500B202" w:rsidR="00B47466" w:rsidRPr="00BB2615" w:rsidRDefault="004F05F4" w:rsidP="00BB26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C, </w:t>
      </w:r>
      <w:r w:rsidR="00AF30FB" w:rsidRPr="00BB2615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calculat</w:t>
      </w:r>
      <w:r w:rsidR="00AF30FB" w:rsidRPr="00BB2615">
        <w:rPr>
          <w:rFonts w:ascii="Times New Roman" w:hAnsi="Times New Roman" w:cs="Times New Roman"/>
          <w:b/>
          <w:bCs/>
          <w:sz w:val="24"/>
          <w:szCs w:val="24"/>
        </w:rPr>
        <w:t>ion of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the pre-implementation and post-implementation median score of HbA1c levels</w:t>
      </w:r>
      <w:r w:rsidR="004D46EA" w:rsidRPr="00BB26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69917" w14:textId="0560744A" w:rsidR="004D46EA" w:rsidRPr="00BB2615" w:rsidRDefault="004D46EA" w:rsidP="00BB261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 xml:space="preserve">The pre-implementation median score is: 6.8, 7.1, 7.4, 7.4, 7.5, 7.8, 7.8, 7.8, 8.2, 11.8. </w:t>
      </w:r>
    </w:p>
    <w:p w14:paraId="12896060" w14:textId="29A3ABF4" w:rsidR="00AF30FB" w:rsidRPr="00637248" w:rsidRDefault="004D46EA" w:rsidP="0063724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lastRenderedPageBreak/>
        <w:t xml:space="preserve">Median = 7.5+7.8 divided by 2 (7.5+7.8 ÷ 2) = 7.65 </w:t>
      </w:r>
      <w:r w:rsidR="00AF6309">
        <w:rPr>
          <w:rFonts w:ascii="Times New Roman" w:hAnsi="Times New Roman" w:cs="Times New Roman"/>
          <w:sz w:val="24"/>
          <w:szCs w:val="24"/>
        </w:rPr>
        <w:t>meaning t</w:t>
      </w:r>
      <w:r w:rsidRPr="00AF6309">
        <w:rPr>
          <w:rFonts w:ascii="Times New Roman" w:hAnsi="Times New Roman" w:cs="Times New Roman"/>
          <w:sz w:val="24"/>
          <w:szCs w:val="24"/>
        </w:rPr>
        <w:t>he pre-implementation median score is 7.65</w:t>
      </w:r>
      <w:r w:rsidR="00637248">
        <w:rPr>
          <w:rFonts w:ascii="Times New Roman" w:hAnsi="Times New Roman" w:cs="Times New Roman"/>
          <w:sz w:val="24"/>
          <w:szCs w:val="24"/>
        </w:rPr>
        <w:t>. On the other hand, t</w:t>
      </w:r>
      <w:r w:rsidR="00E26119" w:rsidRPr="00637248">
        <w:rPr>
          <w:rFonts w:ascii="Times New Roman" w:hAnsi="Times New Roman" w:cs="Times New Roman"/>
          <w:sz w:val="24"/>
          <w:szCs w:val="24"/>
        </w:rPr>
        <w:t>he post-implementation median score is 6.4, 6.7, 6.7, 6.8, 6.9, 7.1, 7.4, 7.7, 8, 11.3. The median score is 6.9+7.1 divided by 2 (6.9+7.1 ÷ 2) = 7</w:t>
      </w:r>
      <w:r w:rsidR="00637248">
        <w:rPr>
          <w:rFonts w:ascii="Times New Roman" w:hAnsi="Times New Roman" w:cs="Times New Roman"/>
          <w:sz w:val="24"/>
          <w:szCs w:val="24"/>
        </w:rPr>
        <w:t>,</w:t>
      </w:r>
      <w:r w:rsidR="00E26119" w:rsidRPr="00637248">
        <w:rPr>
          <w:rFonts w:ascii="Times New Roman" w:hAnsi="Times New Roman" w:cs="Times New Roman"/>
          <w:sz w:val="24"/>
          <w:szCs w:val="24"/>
        </w:rPr>
        <w:t xml:space="preserve"> </w:t>
      </w:r>
      <w:r w:rsidR="00AF6309" w:rsidRPr="00637248">
        <w:rPr>
          <w:rFonts w:ascii="Times New Roman" w:hAnsi="Times New Roman" w:cs="Times New Roman"/>
          <w:sz w:val="24"/>
          <w:szCs w:val="24"/>
        </w:rPr>
        <w:t>meaning the</w:t>
      </w:r>
      <w:r w:rsidR="00E26119" w:rsidRPr="00637248">
        <w:rPr>
          <w:rFonts w:ascii="Times New Roman" w:hAnsi="Times New Roman" w:cs="Times New Roman"/>
          <w:sz w:val="24"/>
          <w:szCs w:val="24"/>
        </w:rPr>
        <w:t xml:space="preserve"> post-implementation median score is 7</w:t>
      </w:r>
      <w:r w:rsidR="00AF6309" w:rsidRPr="00637248">
        <w:rPr>
          <w:rFonts w:ascii="Times New Roman" w:hAnsi="Times New Roman" w:cs="Times New Roman"/>
          <w:sz w:val="24"/>
          <w:szCs w:val="24"/>
        </w:rPr>
        <w:t>.</w:t>
      </w:r>
    </w:p>
    <w:p w14:paraId="2308A575" w14:textId="1A712F78" w:rsidR="00B47466" w:rsidRPr="00BB2615" w:rsidRDefault="00B47466" w:rsidP="00BB26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>D, Next, calculate the pre-implementation and post-implementation standard deviation of HbA1c levels</w:t>
      </w:r>
      <w:r w:rsidR="006C6829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615">
        <w:rPr>
          <w:rFonts w:ascii="Times New Roman" w:hAnsi="Times New Roman" w:cs="Times New Roman"/>
          <w:b/>
          <w:bCs/>
          <w:sz w:val="24"/>
          <w:szCs w:val="24"/>
        </w:rPr>
        <w:t>of patients involved in the practice change project. The standard deviation will determine the spread of</w:t>
      </w:r>
      <w:r w:rsidR="006C6829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615">
        <w:rPr>
          <w:rFonts w:ascii="Times New Roman" w:hAnsi="Times New Roman" w:cs="Times New Roman"/>
          <w:b/>
          <w:bCs/>
          <w:sz w:val="24"/>
          <w:szCs w:val="24"/>
        </w:rPr>
        <w:t>increase or decrease in HbA1c levels.</w:t>
      </w:r>
    </w:p>
    <w:p w14:paraId="613B20BE" w14:textId="2A451DA4" w:rsidR="004F05F4" w:rsidRPr="00BB2615" w:rsidRDefault="003C5157" w:rsidP="00BB2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Standard deviation is the average gap between each data point and</w:t>
      </w:r>
      <w:r w:rsidR="004F05F4" w:rsidRPr="00BB2615">
        <w:rPr>
          <w:rFonts w:ascii="Times New Roman" w:hAnsi="Times New Roman" w:cs="Times New Roman"/>
          <w:sz w:val="24"/>
          <w:szCs w:val="24"/>
        </w:rPr>
        <w:t xml:space="preserve"> the mean of the data</w:t>
      </w:r>
      <w:r w:rsidRPr="00BB2615">
        <w:rPr>
          <w:rFonts w:ascii="Times New Roman" w:hAnsi="Times New Roman" w:cs="Times New Roman"/>
          <w:sz w:val="24"/>
          <w:szCs w:val="24"/>
        </w:rPr>
        <w:t xml:space="preserve">. It is </w:t>
      </w:r>
      <w:r w:rsidR="004F05F4" w:rsidRPr="00BB2615">
        <w:rPr>
          <w:rFonts w:ascii="Times New Roman" w:hAnsi="Times New Roman" w:cs="Times New Roman"/>
          <w:sz w:val="24"/>
          <w:szCs w:val="24"/>
        </w:rPr>
        <w:t xml:space="preserve">calculated by taking the square root of the sum of all numbers </w:t>
      </w:r>
      <w:r w:rsidRPr="00BB2615">
        <w:rPr>
          <w:rFonts w:ascii="Times New Roman" w:hAnsi="Times New Roman" w:cs="Times New Roman"/>
          <w:sz w:val="24"/>
          <w:szCs w:val="24"/>
        </w:rPr>
        <w:t>minus</w:t>
      </w:r>
      <w:r w:rsidR="004F05F4" w:rsidRPr="00BB2615">
        <w:rPr>
          <w:rFonts w:ascii="Times New Roman" w:hAnsi="Times New Roman" w:cs="Times New Roman"/>
          <w:sz w:val="24"/>
          <w:szCs w:val="24"/>
        </w:rPr>
        <w:t xml:space="preserve"> the mean squared and dividing by one less than the number of values</w:t>
      </w:r>
      <w:r w:rsidR="00BB2615">
        <w:rPr>
          <w:rFonts w:ascii="Times New Roman" w:hAnsi="Times New Roman" w:cs="Times New Roman"/>
          <w:sz w:val="24"/>
          <w:szCs w:val="24"/>
        </w:rPr>
        <w:t xml:space="preserve"> (</w:t>
      </w:r>
      <w:r w:rsidR="00BB2615" w:rsidRPr="00BB2615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BB2615" w:rsidRPr="00BB2615">
        <w:rPr>
          <w:rFonts w:ascii="Times New Roman" w:hAnsi="Times New Roman" w:cs="Times New Roman"/>
          <w:sz w:val="24"/>
          <w:szCs w:val="24"/>
        </w:rPr>
        <w:t>Omda</w:t>
      </w:r>
      <w:proofErr w:type="spellEnd"/>
      <w:r w:rsidR="00BB2615">
        <w:rPr>
          <w:rFonts w:ascii="Times New Roman" w:hAnsi="Times New Roman" w:cs="Times New Roman"/>
          <w:sz w:val="24"/>
          <w:szCs w:val="24"/>
        </w:rPr>
        <w:t xml:space="preserve"> </w:t>
      </w:r>
      <w:r w:rsidR="00BB2615" w:rsidRPr="00BB2615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BB2615" w:rsidRPr="00BB2615">
        <w:rPr>
          <w:rFonts w:ascii="Times New Roman" w:hAnsi="Times New Roman" w:cs="Times New Roman"/>
          <w:sz w:val="24"/>
          <w:szCs w:val="24"/>
        </w:rPr>
        <w:t>Sergent</w:t>
      </w:r>
      <w:proofErr w:type="spellEnd"/>
      <w:r w:rsidR="00BB2615" w:rsidRPr="00BB2615">
        <w:rPr>
          <w:rFonts w:ascii="Times New Roman" w:hAnsi="Times New Roman" w:cs="Times New Roman"/>
          <w:sz w:val="24"/>
          <w:szCs w:val="24"/>
        </w:rPr>
        <w:t>, 2021</w:t>
      </w:r>
      <w:r w:rsidR="00BB2615">
        <w:rPr>
          <w:rFonts w:ascii="Times New Roman" w:hAnsi="Times New Roman" w:cs="Times New Roman"/>
          <w:sz w:val="24"/>
          <w:szCs w:val="24"/>
        </w:rPr>
        <w:t>)</w:t>
      </w:r>
      <w:r w:rsidRPr="00BB26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72C24" w14:textId="455EC6BC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>Preintervention Standard deviation</w:t>
      </w:r>
      <w:r w:rsidRPr="00BB2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55764" w14:textId="435F35C5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Number of patients =10</w:t>
      </w:r>
    </w:p>
    <w:p w14:paraId="318669E6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Sum, (</w:t>
      </w:r>
      <w:proofErr w:type="spellStart"/>
      <w:r w:rsidRPr="00BB2615">
        <w:rPr>
          <w:rFonts w:ascii="Times New Roman" w:hAnsi="Times New Roman" w:cs="Times New Roman"/>
          <w:sz w:val="24"/>
          <w:szCs w:val="24"/>
        </w:rPr>
        <w:t>Σx</w:t>
      </w:r>
      <w:proofErr w:type="spellEnd"/>
      <w:r w:rsidRPr="00BB2615">
        <w:rPr>
          <w:rFonts w:ascii="Times New Roman" w:hAnsi="Times New Roman" w:cs="Times New Roman"/>
          <w:sz w:val="24"/>
          <w:szCs w:val="24"/>
        </w:rPr>
        <w:t>) =79.6</w:t>
      </w:r>
    </w:p>
    <w:p w14:paraId="0C997CD7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Mean, (x̄) = 7.96</w:t>
      </w:r>
    </w:p>
    <w:p w14:paraId="7757073D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Variance, (s</w:t>
      </w:r>
      <w:proofErr w:type="gramStart"/>
      <w:r w:rsidRPr="00BB261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B261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B2615">
        <w:rPr>
          <w:rFonts w:ascii="Times New Roman" w:hAnsi="Times New Roman" w:cs="Times New Roman"/>
          <w:sz w:val="24"/>
          <w:szCs w:val="24"/>
        </w:rPr>
        <w:t xml:space="preserve"> = 1.978222222222</w:t>
      </w:r>
    </w:p>
    <w:p w14:paraId="668D6515" w14:textId="57B1924E" w:rsidR="009236CC" w:rsidRPr="00BB2615" w:rsidRDefault="009236CC" w:rsidP="00BB2615">
      <w:pPr>
        <w:pStyle w:val="NormalWeb"/>
        <w:shd w:val="clear" w:color="auto" w:fill="FFFFFF"/>
        <w:spacing w:before="75" w:beforeAutospacing="0" w:after="0" w:afterAutospacing="0" w:line="480" w:lineRule="auto"/>
        <w:rPr>
          <w:color w:val="000000"/>
        </w:rPr>
      </w:pPr>
      <w:r w:rsidRPr="00BB2615">
        <w:rPr>
          <w:noProof/>
          <w:color w:val="000000"/>
        </w:rPr>
        <w:drawing>
          <wp:inline distT="0" distB="0" distL="0" distR="0" wp14:anchorId="05D4993D" wp14:editId="4AF943F9">
            <wp:extent cx="2038350" cy="571500"/>
            <wp:effectExtent l="0" t="0" r="0" b="0"/>
            <wp:docPr id="2" name="Picture 2" descr="sample standard deviation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 standard deviation equ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156"/>
        <w:gridCol w:w="1581"/>
        <w:gridCol w:w="1596"/>
      </w:tblGrid>
      <w:tr w:rsidR="009236CC" w:rsidRPr="00BB2615" w14:paraId="71BF8598" w14:textId="77777777" w:rsidTr="009236CC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BD3C2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Where;</w:t>
            </w:r>
          </w:p>
          <w:p w14:paraId="18A7A05B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x</w:t>
            </w:r>
            <w:r w:rsidRPr="00BB2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GB" w:eastAsia="en-GB"/>
              </w:rPr>
              <w:t>i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is one sample value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BB2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x̄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is the sample mean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BB2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is the sample size</w:t>
            </w:r>
          </w:p>
        </w:tc>
      </w:tr>
      <w:tr w:rsidR="009236CC" w:rsidRPr="00BB2615" w14:paraId="75010C56" w14:textId="77777777" w:rsidTr="009236CC">
        <w:tblPrEx>
          <w:jc w:val="left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22BE78A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9236CC" w:rsidRPr="00BB2615" w14:paraId="1684B6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5E6CE7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Σ(</w:t>
                  </w:r>
                  <w:proofErr w:type="gramEnd"/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x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val="en-GB" w:eastAsia="en-GB"/>
                    </w:rPr>
                    <w:t>i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 - x̄)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GB" w:eastAsia="en-GB"/>
                    </w:rPr>
                    <w:t>2</w:t>
                  </w:r>
                </w:p>
              </w:tc>
            </w:tr>
            <w:tr w:rsidR="009236CC" w:rsidRPr="00BB2615" w14:paraId="42EDA20A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7C5E263B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9236CC" w:rsidRPr="00BB2615" w14:paraId="6C20F5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6E362C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lastRenderedPageBreak/>
                    <w:t>N - 1</w:t>
                  </w:r>
                </w:p>
              </w:tc>
            </w:tr>
          </w:tbl>
          <w:p w14:paraId="47892FF1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136A8BDE" w14:textId="77777777" w:rsidTr="009236CC">
        <w:tblPrEx>
          <w:jc w:val="left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432CA3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1"/>
            </w:tblGrid>
            <w:tr w:rsidR="009236CC" w:rsidRPr="00BB2615" w14:paraId="057CB4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144A8C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(6.8 - 7.96)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GB" w:eastAsia="en-GB"/>
                    </w:rPr>
                    <w:t>2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 + ... + (11.8 - 7.96)</w:t>
                  </w: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GB" w:eastAsia="en-GB"/>
                    </w:rPr>
                    <w:t>2</w:t>
                  </w:r>
                </w:p>
              </w:tc>
            </w:tr>
            <w:tr w:rsidR="009236CC" w:rsidRPr="00BB2615" w14:paraId="414ECF27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1C31E5EF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9236CC" w:rsidRPr="00BB2615" w14:paraId="1AD273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6DD008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10 - 1</w:t>
                  </w:r>
                </w:p>
              </w:tc>
            </w:tr>
          </w:tbl>
          <w:p w14:paraId="16AA0410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05F6D7FF" w14:textId="77777777" w:rsidTr="009236CC">
        <w:tblPrEx>
          <w:jc w:val="left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48402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9236CC" w:rsidRPr="00BB2615" w14:paraId="22F7DA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C9420D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17.804</w:t>
                  </w:r>
                </w:p>
              </w:tc>
            </w:tr>
            <w:tr w:rsidR="009236CC" w:rsidRPr="00BB2615" w14:paraId="6607D6F1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198031EB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9236CC" w:rsidRPr="00BB2615" w14:paraId="50ABC3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CDBBD5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BB26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/>
                    </w:rPr>
                    <w:t>9</w:t>
                  </w:r>
                </w:p>
              </w:tc>
            </w:tr>
          </w:tbl>
          <w:p w14:paraId="68865EFC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76378C4B" w14:textId="77777777" w:rsidTr="009236CC">
        <w:tblPrEx>
          <w:jc w:val="left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C8FB12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54CC89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1.9782222222222</w:t>
            </w:r>
          </w:p>
        </w:tc>
      </w:tr>
    </w:tbl>
    <w:p w14:paraId="4C0E01FF" w14:textId="77777777" w:rsidR="009236CC" w:rsidRPr="00BB2615" w:rsidRDefault="009236CC" w:rsidP="00BB2615">
      <w:pP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en-GB"/>
        </w:rPr>
      </w:pP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64"/>
        <w:gridCol w:w="1947"/>
      </w:tblGrid>
      <w:tr w:rsidR="009236CC" w:rsidRPr="00BB2615" w14:paraId="085D572A" w14:textId="77777777" w:rsidTr="009236CC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F6B14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 =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BB721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√1.9782222222222</w:t>
            </w:r>
          </w:p>
        </w:tc>
      </w:tr>
      <w:tr w:rsidR="009236CC" w:rsidRPr="00BB2615" w14:paraId="7F0D8A04" w14:textId="77777777" w:rsidTr="009236C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5A87E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DD97E" w14:textId="77777777" w:rsidR="009236CC" w:rsidRPr="00BB2615" w:rsidRDefault="009236CC" w:rsidP="00BB26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1.4064928802601</w:t>
            </w:r>
          </w:p>
        </w:tc>
      </w:tr>
    </w:tbl>
    <w:p w14:paraId="4574B416" w14:textId="47FCABFF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Preintervention Standard deviation </w:t>
      </w:r>
    </w:p>
    <w:p w14:paraId="292D9AEB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Count (No of patients) = 10</w:t>
      </w:r>
    </w:p>
    <w:p w14:paraId="559CE490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Sum (</w:t>
      </w:r>
      <w:proofErr w:type="spellStart"/>
      <w:r w:rsidRPr="00BB2615">
        <w:rPr>
          <w:rFonts w:ascii="Times New Roman" w:hAnsi="Times New Roman" w:cs="Times New Roman"/>
          <w:sz w:val="24"/>
          <w:szCs w:val="24"/>
        </w:rPr>
        <w:t>Σx</w:t>
      </w:r>
      <w:proofErr w:type="spellEnd"/>
      <w:r w:rsidRPr="00BB2615">
        <w:rPr>
          <w:rFonts w:ascii="Times New Roman" w:hAnsi="Times New Roman" w:cs="Times New Roman"/>
          <w:sz w:val="24"/>
          <w:szCs w:val="24"/>
        </w:rPr>
        <w:t>) = 75</w:t>
      </w:r>
    </w:p>
    <w:p w14:paraId="7EF9552E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Mean (x̄) = 7.5</w:t>
      </w:r>
    </w:p>
    <w:p w14:paraId="3E45C2FE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Variance, (s</w:t>
      </w:r>
      <w:r w:rsidRPr="00BB26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B2615">
        <w:rPr>
          <w:rFonts w:ascii="Times New Roman" w:hAnsi="Times New Roman" w:cs="Times New Roman"/>
          <w:sz w:val="24"/>
          <w:szCs w:val="24"/>
        </w:rPr>
        <w:t>) = 2.0266666666667</w:t>
      </w:r>
    </w:p>
    <w:p w14:paraId="155658BA" w14:textId="1FD0C3BC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B2615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4807752D" wp14:editId="65D7B893">
            <wp:extent cx="20383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891"/>
      </w:tblGrid>
      <w:tr w:rsidR="009236CC" w:rsidRPr="00BB2615" w14:paraId="60855055" w14:textId="77777777" w:rsidTr="009236CC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C9691DE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B26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9236CC" w:rsidRPr="00BB2615" w14:paraId="29AB39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66B144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gramStart"/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Σ(</w:t>
                  </w:r>
                  <w:proofErr w:type="gramEnd"/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x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GB"/>
                    </w:rPr>
                    <w:t>i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 - x̄)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2</w:t>
                  </w:r>
                </w:p>
              </w:tc>
            </w:tr>
            <w:tr w:rsidR="009236CC" w:rsidRPr="00BB2615" w14:paraId="7BDA3612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28C3D54A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236CC" w:rsidRPr="00BB2615" w14:paraId="651CAA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594799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N - 1</w:t>
                  </w:r>
                </w:p>
              </w:tc>
            </w:tr>
          </w:tbl>
          <w:p w14:paraId="17C7A157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4606E160" w14:textId="77777777" w:rsidTr="009236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67C2E3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1"/>
            </w:tblGrid>
            <w:tr w:rsidR="009236CC" w:rsidRPr="00BB2615" w14:paraId="7CFFD2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AC81E4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(6.4 - 7.5)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2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 + ... + (11.3 - 7.5)</w:t>
                  </w: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GB"/>
                    </w:rPr>
                    <w:t>2</w:t>
                  </w:r>
                </w:p>
              </w:tc>
            </w:tr>
            <w:tr w:rsidR="009236CC" w:rsidRPr="00BB2615" w14:paraId="39D09997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7D36C92C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236CC" w:rsidRPr="00BB2615" w14:paraId="484B6C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A11265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10 - 1</w:t>
                  </w:r>
                </w:p>
              </w:tc>
            </w:tr>
          </w:tbl>
          <w:p w14:paraId="10952DB3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1F9F934B" w14:textId="77777777" w:rsidTr="009236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01064E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9236CC" w:rsidRPr="00BB2615" w14:paraId="28B336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5B9D6C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18.24</w:t>
                  </w:r>
                </w:p>
              </w:tc>
            </w:tr>
            <w:tr w:rsidR="009236CC" w:rsidRPr="00BB2615" w14:paraId="7A8903F5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7E32B650" w14:textId="77777777" w:rsidR="009236CC" w:rsidRPr="00BB2615" w:rsidRDefault="009236CC" w:rsidP="00BB2615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236CC" w:rsidRPr="00BB2615" w14:paraId="78CD85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69D998" w14:textId="77777777" w:rsidR="009236CC" w:rsidRPr="00BB2615" w:rsidRDefault="009236CC" w:rsidP="00BB2615">
                  <w:pPr>
                    <w:spacing w:after="0"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B26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9</w:t>
                  </w:r>
                </w:p>
              </w:tc>
            </w:tr>
          </w:tbl>
          <w:p w14:paraId="7F8154CF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CC" w:rsidRPr="00BB2615" w14:paraId="4D282744" w14:textId="77777777" w:rsidTr="009236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E27518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2F32F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2.0266666666667</w:t>
            </w:r>
          </w:p>
        </w:tc>
      </w:tr>
    </w:tbl>
    <w:p w14:paraId="187749B3" w14:textId="77777777" w:rsidR="009236CC" w:rsidRPr="00BB2615" w:rsidRDefault="009236CC" w:rsidP="00BB2615">
      <w:pPr>
        <w:spacing w:after="0" w:line="480" w:lineRule="auto"/>
        <w:rPr>
          <w:rFonts w:ascii="Times New Roman" w:hAnsi="Times New Roman" w:cs="Times New Roman"/>
          <w:vanish/>
          <w:sz w:val="24"/>
          <w:szCs w:val="24"/>
          <w:lang w:val="en-GB"/>
        </w:rPr>
      </w:pP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64"/>
        <w:gridCol w:w="1947"/>
      </w:tblGrid>
      <w:tr w:rsidR="009236CC" w:rsidRPr="00BB2615" w14:paraId="0F1725DD" w14:textId="77777777" w:rsidTr="009236CC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32461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 =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77A9A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√2.0266666666667</w:t>
            </w:r>
          </w:p>
        </w:tc>
      </w:tr>
      <w:tr w:rsidR="009236CC" w:rsidRPr="00BB2615" w14:paraId="54FD1C5E" w14:textId="77777777" w:rsidTr="009236C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44071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8E885" w14:textId="77777777" w:rsidR="009236CC" w:rsidRPr="00BB2615" w:rsidRDefault="009236CC" w:rsidP="00BB261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6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1.4236104336042</w:t>
            </w:r>
          </w:p>
        </w:tc>
      </w:tr>
    </w:tbl>
    <w:p w14:paraId="74925C6D" w14:textId="3F726972" w:rsidR="00B47466" w:rsidRPr="00BB2615" w:rsidRDefault="00D25BE5" w:rsidP="00BB26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61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alculat</w:t>
      </w:r>
      <w:r w:rsidRPr="00BB2615">
        <w:rPr>
          <w:rFonts w:ascii="Times New Roman" w:hAnsi="Times New Roman" w:cs="Times New Roman"/>
          <w:b/>
          <w:bCs/>
          <w:sz w:val="24"/>
          <w:szCs w:val="24"/>
        </w:rPr>
        <w:t>ion of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the pre-implementation and post-implementation range of HbA1c levels</w:t>
      </w:r>
      <w:r w:rsidR="007222E6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f no</w:t>
      </w:r>
      <w:r w:rsidR="006C6829" w:rsidRPr="00BB2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66" w:rsidRPr="00BB2615">
        <w:rPr>
          <w:rFonts w:ascii="Times New Roman" w:hAnsi="Times New Roman" w:cs="Times New Roman"/>
          <w:b/>
          <w:bCs/>
          <w:sz w:val="24"/>
          <w:szCs w:val="24"/>
        </w:rPr>
        <w:t>outliers exist, the range will determine how close together HbA1c levels are in the patients involved.</w:t>
      </w:r>
    </w:p>
    <w:p w14:paraId="7EBEA47A" w14:textId="09024185" w:rsidR="009236CC" w:rsidRPr="00BB2615" w:rsidRDefault="00D25BE5" w:rsidP="00BB2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If no outliers exist, the range of HbA1c levels is;</w:t>
      </w:r>
      <w:r w:rsidR="00637248">
        <w:rPr>
          <w:rFonts w:ascii="Times New Roman" w:hAnsi="Times New Roman" w:cs="Times New Roman"/>
          <w:sz w:val="24"/>
          <w:szCs w:val="24"/>
        </w:rPr>
        <w:t xml:space="preserve"> </w:t>
      </w:r>
      <w:r w:rsidR="00D66F47">
        <w:rPr>
          <w:rFonts w:ascii="Times New Roman" w:hAnsi="Times New Roman" w:cs="Times New Roman"/>
          <w:sz w:val="24"/>
          <w:szCs w:val="24"/>
        </w:rPr>
        <w:t>therefore,</w:t>
      </w:r>
      <w:r w:rsidR="00637248">
        <w:rPr>
          <w:rFonts w:ascii="Times New Roman" w:hAnsi="Times New Roman" w:cs="Times New Roman"/>
          <w:sz w:val="24"/>
          <w:szCs w:val="24"/>
        </w:rPr>
        <w:t xml:space="preserve"> the p</w:t>
      </w:r>
      <w:r w:rsidRPr="00BB2615">
        <w:rPr>
          <w:rFonts w:ascii="Times New Roman" w:hAnsi="Times New Roman" w:cs="Times New Roman"/>
          <w:sz w:val="24"/>
          <w:szCs w:val="24"/>
        </w:rPr>
        <w:t>reintervention range = 11.8 – 6.8 = 5</w:t>
      </w:r>
      <w:r w:rsidR="00637248">
        <w:rPr>
          <w:rFonts w:ascii="Times New Roman" w:hAnsi="Times New Roman" w:cs="Times New Roman"/>
          <w:sz w:val="24"/>
          <w:szCs w:val="24"/>
        </w:rPr>
        <w:t xml:space="preserve"> and p</w:t>
      </w:r>
      <w:r w:rsidRPr="00BB2615">
        <w:rPr>
          <w:rFonts w:ascii="Times New Roman" w:hAnsi="Times New Roman" w:cs="Times New Roman"/>
          <w:sz w:val="24"/>
          <w:szCs w:val="24"/>
        </w:rPr>
        <w:t>ostintervention range = 11.3 – 6.4 = 4.9</w:t>
      </w:r>
    </w:p>
    <w:p w14:paraId="2CC00A16" w14:textId="449C9DD2" w:rsidR="00B47466" w:rsidRPr="00BB2615" w:rsidRDefault="00B47466" w:rsidP="00BB26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 xml:space="preserve">Based on </w:t>
      </w:r>
      <w:r w:rsidR="007222E6" w:rsidRPr="00BB2615">
        <w:rPr>
          <w:rFonts w:ascii="Times New Roman" w:hAnsi="Times New Roman" w:cs="Times New Roman"/>
          <w:sz w:val="24"/>
          <w:szCs w:val="24"/>
        </w:rPr>
        <w:t>descriptive statistics analysis</w:t>
      </w:r>
      <w:r w:rsidRPr="00BB2615">
        <w:rPr>
          <w:rFonts w:ascii="Times New Roman" w:hAnsi="Times New Roman" w:cs="Times New Roman"/>
          <w:sz w:val="24"/>
          <w:szCs w:val="24"/>
        </w:rPr>
        <w:t xml:space="preserve">, </w:t>
      </w:r>
      <w:r w:rsidR="007222E6" w:rsidRPr="00BB2615">
        <w:rPr>
          <w:rFonts w:ascii="Times New Roman" w:hAnsi="Times New Roman" w:cs="Times New Roman"/>
          <w:sz w:val="24"/>
          <w:szCs w:val="24"/>
        </w:rPr>
        <w:t>the</w:t>
      </w:r>
      <w:r w:rsidRPr="00BB2615">
        <w:rPr>
          <w:rFonts w:ascii="Times New Roman" w:hAnsi="Times New Roman" w:cs="Times New Roman"/>
          <w:sz w:val="24"/>
          <w:szCs w:val="24"/>
        </w:rPr>
        <w:t xml:space="preserve"> determinations related to the mean HbA1c</w:t>
      </w:r>
      <w:r w:rsidR="006C6829" w:rsidRPr="00BB2615">
        <w:rPr>
          <w:rFonts w:ascii="Times New Roman" w:hAnsi="Times New Roman" w:cs="Times New Roman"/>
          <w:sz w:val="24"/>
          <w:szCs w:val="24"/>
        </w:rPr>
        <w:t xml:space="preserve"> </w:t>
      </w:r>
      <w:r w:rsidRPr="00BB2615">
        <w:rPr>
          <w:rFonts w:ascii="Times New Roman" w:hAnsi="Times New Roman" w:cs="Times New Roman"/>
          <w:sz w:val="24"/>
          <w:szCs w:val="24"/>
        </w:rPr>
        <w:t xml:space="preserve">levels following implementation of the evidence-based intervention </w:t>
      </w:r>
      <w:r w:rsidR="007A244C" w:rsidRPr="00BB2615">
        <w:rPr>
          <w:rFonts w:ascii="Times New Roman" w:hAnsi="Times New Roman" w:cs="Times New Roman"/>
          <w:sz w:val="24"/>
          <w:szCs w:val="24"/>
        </w:rPr>
        <w:t>reduced</w:t>
      </w:r>
      <w:r w:rsidR="00824EEE" w:rsidRPr="00BB2615">
        <w:rPr>
          <w:rFonts w:ascii="Times New Roman" w:hAnsi="Times New Roman" w:cs="Times New Roman"/>
          <w:sz w:val="24"/>
          <w:szCs w:val="24"/>
        </w:rPr>
        <w:t xml:space="preserve"> from 7.96 to 7.5</w:t>
      </w:r>
      <w:r w:rsidR="007A244C" w:rsidRPr="00BB2615">
        <w:rPr>
          <w:rFonts w:ascii="Times New Roman" w:hAnsi="Times New Roman" w:cs="Times New Roman"/>
          <w:sz w:val="24"/>
          <w:szCs w:val="24"/>
        </w:rPr>
        <w:t>,</w:t>
      </w:r>
      <w:r w:rsidR="00AA670D" w:rsidRPr="00BB2615">
        <w:rPr>
          <w:rFonts w:ascii="Times New Roman" w:hAnsi="Times New Roman" w:cs="Times New Roman"/>
          <w:sz w:val="24"/>
          <w:szCs w:val="24"/>
        </w:rPr>
        <w:t xml:space="preserve"> depicting the intervention </w:t>
      </w:r>
      <w:r w:rsidR="007A244C" w:rsidRPr="00BB2615">
        <w:rPr>
          <w:rFonts w:ascii="Times New Roman" w:hAnsi="Times New Roman" w:cs="Times New Roman"/>
          <w:sz w:val="24"/>
          <w:szCs w:val="24"/>
        </w:rPr>
        <w:t>successfully</w:t>
      </w:r>
      <w:r w:rsidR="00AA670D" w:rsidRPr="00BB2615">
        <w:rPr>
          <w:rFonts w:ascii="Times New Roman" w:hAnsi="Times New Roman" w:cs="Times New Roman"/>
          <w:sz w:val="24"/>
          <w:szCs w:val="24"/>
        </w:rPr>
        <w:t xml:space="preserve"> decreasing the number of patients </w:t>
      </w:r>
      <w:r w:rsidR="007A244C" w:rsidRPr="00BB2615">
        <w:rPr>
          <w:rFonts w:ascii="Times New Roman" w:hAnsi="Times New Roman" w:cs="Times New Roman"/>
          <w:sz w:val="24"/>
          <w:szCs w:val="24"/>
        </w:rPr>
        <w:t xml:space="preserve">with uncontrolled HbA1c levels. </w:t>
      </w:r>
    </w:p>
    <w:p w14:paraId="71FABEF3" w14:textId="2E18ADC6" w:rsidR="00B47466" w:rsidRPr="00BB2615" w:rsidRDefault="007A244C" w:rsidP="00BB26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sz w:val="24"/>
          <w:szCs w:val="24"/>
        </w:rPr>
        <w:t>Reflecting on</w:t>
      </w:r>
      <w:r w:rsidR="00B47466" w:rsidRPr="00BB2615">
        <w:rPr>
          <w:rFonts w:ascii="Times New Roman" w:hAnsi="Times New Roman" w:cs="Times New Roman"/>
          <w:sz w:val="24"/>
          <w:szCs w:val="24"/>
        </w:rPr>
        <w:t xml:space="preserve"> HbA1c levels, </w:t>
      </w:r>
      <w:r w:rsidR="00353BDD" w:rsidRPr="00BB2615">
        <w:rPr>
          <w:rFonts w:ascii="Times New Roman" w:hAnsi="Times New Roman" w:cs="Times New Roman"/>
          <w:sz w:val="24"/>
          <w:szCs w:val="24"/>
        </w:rPr>
        <w:t>patient #10 HbA1c levels are an outlier,</w:t>
      </w:r>
      <w:r w:rsidR="00513D86" w:rsidRPr="00BB2615">
        <w:rPr>
          <w:rFonts w:ascii="Times New Roman" w:hAnsi="Times New Roman" w:cs="Times New Roman"/>
          <w:sz w:val="24"/>
          <w:szCs w:val="24"/>
        </w:rPr>
        <w:t xml:space="preserve"> </w:t>
      </w:r>
      <w:r w:rsidR="00353BDD" w:rsidRPr="00BB2615">
        <w:rPr>
          <w:rFonts w:ascii="Times New Roman" w:hAnsi="Times New Roman" w:cs="Times New Roman"/>
          <w:sz w:val="24"/>
          <w:szCs w:val="24"/>
        </w:rPr>
        <w:t xml:space="preserve">meaning that data in the preintervention range in HbA1c levels ranges </w:t>
      </w:r>
      <w:r w:rsidR="00513D86" w:rsidRPr="00BB2615">
        <w:rPr>
          <w:rFonts w:ascii="Times New Roman" w:hAnsi="Times New Roman" w:cs="Times New Roman"/>
          <w:sz w:val="24"/>
          <w:szCs w:val="24"/>
        </w:rPr>
        <w:t>from 6.7 to 8.2</w:t>
      </w:r>
      <w:r w:rsidR="00D3012E" w:rsidRPr="00BB2615">
        <w:rPr>
          <w:rFonts w:ascii="Times New Roman" w:hAnsi="Times New Roman" w:cs="Times New Roman"/>
          <w:sz w:val="24"/>
          <w:szCs w:val="24"/>
        </w:rPr>
        <w:t xml:space="preserve">, and patient 10 score is 11.8, leading to a small change </w:t>
      </w:r>
      <w:r w:rsidR="00C9722D" w:rsidRPr="00BB2615">
        <w:rPr>
          <w:rFonts w:ascii="Times New Roman" w:hAnsi="Times New Roman" w:cs="Times New Roman"/>
          <w:sz w:val="24"/>
          <w:szCs w:val="24"/>
        </w:rPr>
        <w:t>in</w:t>
      </w:r>
      <w:r w:rsidR="00D3012E" w:rsidRPr="00BB2615">
        <w:rPr>
          <w:rFonts w:ascii="Times New Roman" w:hAnsi="Times New Roman" w:cs="Times New Roman"/>
          <w:sz w:val="24"/>
          <w:szCs w:val="24"/>
        </w:rPr>
        <w:t xml:space="preserve"> averages.</w:t>
      </w:r>
      <w:r w:rsidR="00943706" w:rsidRPr="00BB2615">
        <w:rPr>
          <w:rFonts w:ascii="Times New Roman" w:hAnsi="Times New Roman" w:cs="Times New Roman"/>
          <w:sz w:val="24"/>
          <w:szCs w:val="24"/>
        </w:rPr>
        <w:t xml:space="preserve"> An outlier refers to </w:t>
      </w:r>
      <w:r w:rsidR="00353BDD" w:rsidRPr="00BB2615">
        <w:rPr>
          <w:rFonts w:ascii="Times New Roman" w:hAnsi="Times New Roman" w:cs="Times New Roman"/>
          <w:sz w:val="24"/>
          <w:szCs w:val="24"/>
        </w:rPr>
        <w:t xml:space="preserve">a data value different from other </w:t>
      </w:r>
      <w:r w:rsidR="00C9722D" w:rsidRPr="00BB2615">
        <w:rPr>
          <w:rFonts w:ascii="Times New Roman" w:hAnsi="Times New Roman" w:cs="Times New Roman"/>
          <w:sz w:val="24"/>
          <w:szCs w:val="24"/>
        </w:rPr>
        <w:t>sample values</w:t>
      </w:r>
      <w:r w:rsidR="00353BDD" w:rsidRPr="00BB2615">
        <w:rPr>
          <w:rFonts w:ascii="Times New Roman" w:hAnsi="Times New Roman" w:cs="Times New Roman"/>
          <w:sz w:val="24"/>
          <w:szCs w:val="24"/>
        </w:rPr>
        <w:t>,</w:t>
      </w:r>
      <w:r w:rsidR="00943706" w:rsidRPr="00BB2615">
        <w:rPr>
          <w:rFonts w:ascii="Times New Roman" w:hAnsi="Times New Roman" w:cs="Times New Roman"/>
          <w:sz w:val="24"/>
          <w:szCs w:val="24"/>
        </w:rPr>
        <w:t xml:space="preserve"> leading to </w:t>
      </w:r>
      <w:r w:rsidR="00C9722D" w:rsidRPr="00BB2615">
        <w:rPr>
          <w:rFonts w:ascii="Times New Roman" w:hAnsi="Times New Roman" w:cs="Times New Roman"/>
          <w:sz w:val="24"/>
          <w:szCs w:val="24"/>
        </w:rPr>
        <w:t>inappropriate</w:t>
      </w:r>
      <w:r w:rsidR="00943706" w:rsidRPr="00BB2615">
        <w:rPr>
          <w:rFonts w:ascii="Times New Roman" w:hAnsi="Times New Roman" w:cs="Times New Roman"/>
          <w:sz w:val="24"/>
          <w:szCs w:val="24"/>
        </w:rPr>
        <w:t xml:space="preserve"> estimation</w:t>
      </w:r>
      <w:r w:rsidR="00C9722D" w:rsidRPr="00BB2615">
        <w:rPr>
          <w:rFonts w:ascii="Times New Roman" w:hAnsi="Times New Roman" w:cs="Times New Roman"/>
          <w:sz w:val="24"/>
          <w:szCs w:val="24"/>
        </w:rPr>
        <w:t xml:space="preserve"> (</w:t>
      </w:r>
      <w:r w:rsidR="00BB2615" w:rsidRPr="00BB2615">
        <w:rPr>
          <w:rFonts w:ascii="Times New Roman" w:hAnsi="Times New Roman" w:cs="Times New Roman"/>
          <w:sz w:val="24"/>
          <w:szCs w:val="24"/>
        </w:rPr>
        <w:t>Adams et al., 2019</w:t>
      </w:r>
      <w:r w:rsidR="00C9722D" w:rsidRPr="00BB2615">
        <w:rPr>
          <w:rFonts w:ascii="Times New Roman" w:hAnsi="Times New Roman" w:cs="Times New Roman"/>
          <w:sz w:val="24"/>
          <w:szCs w:val="24"/>
        </w:rPr>
        <w:t>)</w:t>
      </w:r>
      <w:r w:rsidR="00353BDD" w:rsidRPr="00BB2615">
        <w:rPr>
          <w:rFonts w:ascii="Times New Roman" w:hAnsi="Times New Roman" w:cs="Times New Roman"/>
          <w:sz w:val="24"/>
          <w:szCs w:val="24"/>
        </w:rPr>
        <w:t>. The range</w:t>
      </w:r>
      <w:r w:rsidR="0069554C" w:rsidRPr="00BB2615">
        <w:rPr>
          <w:rFonts w:ascii="Times New Roman" w:hAnsi="Times New Roman" w:cs="Times New Roman"/>
          <w:sz w:val="24"/>
          <w:szCs w:val="24"/>
        </w:rPr>
        <w:t xml:space="preserve"> boundaries assist in error identification and show spread. </w:t>
      </w:r>
      <w:r w:rsidR="00353BDD" w:rsidRPr="00BB2615">
        <w:rPr>
          <w:rFonts w:ascii="Times New Roman" w:hAnsi="Times New Roman" w:cs="Times New Roman"/>
          <w:sz w:val="24"/>
          <w:szCs w:val="24"/>
        </w:rPr>
        <w:t>T</w:t>
      </w:r>
      <w:r w:rsidR="0069554C" w:rsidRPr="00BB2615">
        <w:rPr>
          <w:rFonts w:ascii="Times New Roman" w:hAnsi="Times New Roman" w:cs="Times New Roman"/>
          <w:sz w:val="24"/>
          <w:szCs w:val="24"/>
        </w:rPr>
        <w:t>herefore</w:t>
      </w:r>
      <w:r w:rsidR="00353BDD" w:rsidRPr="00BB2615">
        <w:rPr>
          <w:rFonts w:ascii="Times New Roman" w:hAnsi="Times New Roman" w:cs="Times New Roman"/>
          <w:sz w:val="24"/>
          <w:szCs w:val="24"/>
        </w:rPr>
        <w:t xml:space="preserve">, the data reveals the extent </w:t>
      </w:r>
      <w:r w:rsidR="00C9722D" w:rsidRPr="00BB2615">
        <w:rPr>
          <w:rFonts w:ascii="Times New Roman" w:hAnsi="Times New Roman" w:cs="Times New Roman"/>
          <w:sz w:val="24"/>
          <w:szCs w:val="24"/>
        </w:rPr>
        <w:t>of</w:t>
      </w:r>
      <w:r w:rsidR="00353BDD" w:rsidRPr="00BB2615">
        <w:rPr>
          <w:rFonts w:ascii="Times New Roman" w:hAnsi="Times New Roman" w:cs="Times New Roman"/>
          <w:sz w:val="24"/>
          <w:szCs w:val="24"/>
        </w:rPr>
        <w:t xml:space="preserve"> </w:t>
      </w:r>
      <w:r w:rsidR="00BB2615" w:rsidRPr="00BB2615">
        <w:rPr>
          <w:rFonts w:ascii="Times New Roman" w:hAnsi="Times New Roman" w:cs="Times New Roman"/>
          <w:sz w:val="24"/>
          <w:szCs w:val="24"/>
        </w:rPr>
        <w:t>majority</w:t>
      </w:r>
      <w:r w:rsidR="00C9722D" w:rsidRPr="00BB2615">
        <w:rPr>
          <w:rFonts w:ascii="Times New Roman" w:hAnsi="Times New Roman" w:cs="Times New Roman"/>
          <w:sz w:val="24"/>
          <w:szCs w:val="24"/>
        </w:rPr>
        <w:t xml:space="preserve"> data points observed and indicates the coding error, measurement, and variability.</w:t>
      </w:r>
    </w:p>
    <w:p w14:paraId="26F8344E" w14:textId="77777777" w:rsidR="00637248" w:rsidRDefault="006372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E2252F" w14:textId="0B646EB8" w:rsidR="00C9722D" w:rsidRPr="00BB2615" w:rsidRDefault="00C9722D" w:rsidP="00BB261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81FE2C2" w14:textId="77777777" w:rsidR="00BB2615" w:rsidRPr="00BB2615" w:rsidRDefault="00BB2615" w:rsidP="00BB261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26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Adams, J., Hayunga, D., Mansi, S., Reeb, D., &amp; Verardi, V. (2019). Identifying and treating outliers in finance. </w:t>
      </w:r>
      <w:r w:rsidRPr="00BB26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Financial Management</w:t>
      </w:r>
      <w:r w:rsidRPr="00BB26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B26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BB26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345-384.</w:t>
      </w:r>
      <w:r w:rsidRPr="00BB261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B261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https://doi.org/10.1111/fima.12269</w:t>
        </w:r>
      </w:hyperlink>
      <w:r w:rsidRPr="00BB26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A4ADF21" w14:textId="77777777" w:rsidR="00BB2615" w:rsidRPr="00BB2615" w:rsidRDefault="00BB2615" w:rsidP="00BB261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proofErr w:type="spellStart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>Omda</w:t>
      </w:r>
      <w:proofErr w:type="spellEnd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Sergent, S. R. (2021). Standard deviation. In: </w:t>
      </w:r>
      <w:proofErr w:type="spellStart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Publishing; </w:t>
      </w:r>
      <w:hyperlink r:id="rId7" w:history="1">
        <w:r w:rsidRPr="00BB261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https://www.ncbi.nlm.nih.gov/books/NBK574574/</w:t>
        </w:r>
      </w:hyperlink>
      <w:r w:rsidRPr="00BB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BB2615" w:rsidRPr="00BB2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82E96"/>
    <w:multiLevelType w:val="hybridMultilevel"/>
    <w:tmpl w:val="9F1C6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66"/>
    <w:rsid w:val="00235F04"/>
    <w:rsid w:val="00353BDD"/>
    <w:rsid w:val="00363412"/>
    <w:rsid w:val="0037591A"/>
    <w:rsid w:val="003C5157"/>
    <w:rsid w:val="00467F1E"/>
    <w:rsid w:val="00483F6F"/>
    <w:rsid w:val="004D46EA"/>
    <w:rsid w:val="004D5AB8"/>
    <w:rsid w:val="004E469A"/>
    <w:rsid w:val="004F05F4"/>
    <w:rsid w:val="00513D86"/>
    <w:rsid w:val="005735BE"/>
    <w:rsid w:val="00594354"/>
    <w:rsid w:val="00637248"/>
    <w:rsid w:val="0069554C"/>
    <w:rsid w:val="006C6829"/>
    <w:rsid w:val="007222E6"/>
    <w:rsid w:val="007A244C"/>
    <w:rsid w:val="00824EEE"/>
    <w:rsid w:val="008675A6"/>
    <w:rsid w:val="008C4D9F"/>
    <w:rsid w:val="009236CC"/>
    <w:rsid w:val="00943706"/>
    <w:rsid w:val="00AA670D"/>
    <w:rsid w:val="00AF30FB"/>
    <w:rsid w:val="00AF6309"/>
    <w:rsid w:val="00B20B0F"/>
    <w:rsid w:val="00B47466"/>
    <w:rsid w:val="00BB2615"/>
    <w:rsid w:val="00C9722D"/>
    <w:rsid w:val="00CD0E60"/>
    <w:rsid w:val="00D25BE5"/>
    <w:rsid w:val="00D3012E"/>
    <w:rsid w:val="00D66F47"/>
    <w:rsid w:val="00E26119"/>
    <w:rsid w:val="00F0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DA9FC"/>
  <w15:chartTrackingRefBased/>
  <w15:docId w15:val="{742A71C7-F95D-49D5-9BAB-2007F126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9236CC"/>
    <w:rPr>
      <w:i/>
      <w:iCs/>
    </w:rPr>
  </w:style>
  <w:style w:type="character" w:styleId="Hyperlink">
    <w:name w:val="Hyperlink"/>
    <w:basedOn w:val="DefaultParagraphFont"/>
    <w:uiPriority w:val="99"/>
    <w:unhideWhenUsed/>
    <w:rsid w:val="00594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745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fima.1226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2</cp:revision>
  <dcterms:created xsi:type="dcterms:W3CDTF">2024-03-25T10:14:00Z</dcterms:created>
  <dcterms:modified xsi:type="dcterms:W3CDTF">2024-03-25T10:14:00Z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a866fc66-7a5a-423b-84da-6fc6ec28a4f8</vt:lpwstr>
  </property>
</Properties>
</file>