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F4E1" w14:textId="77777777" w:rsidR="00766031" w:rsidRDefault="00766031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5885CE59" w14:textId="77777777" w:rsidR="00766031" w:rsidRDefault="00766031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</w:p>
    <w:p w14:paraId="33D4CA96" w14:textId="6C461AFA" w:rsidR="00D05E46" w:rsidRPr="00D05E46" w:rsidRDefault="00D05E46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D05E46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Johns Hopkins Individual Evidence Summary Tool</w:t>
      </w:r>
      <w:r w:rsidR="003B6E58">
        <w:rPr>
          <w:rFonts w:cs="Times New Roman"/>
          <w:sz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72"/>
        <w:gridCol w:w="2189"/>
        <w:gridCol w:w="1255"/>
        <w:gridCol w:w="1722"/>
        <w:gridCol w:w="2037"/>
        <w:gridCol w:w="2268"/>
        <w:gridCol w:w="1881"/>
        <w:gridCol w:w="1487"/>
        <w:gridCol w:w="1013"/>
        <w:gridCol w:w="1010"/>
      </w:tblGrid>
      <w:tr w:rsidR="00D05E46" w:rsidRPr="00D05E46" w14:paraId="060B7189" w14:textId="77777777" w:rsidTr="00A1009B">
        <w:trPr>
          <w:trHeight w:val="594"/>
        </w:trPr>
        <w:tc>
          <w:tcPr>
            <w:tcW w:w="363" w:type="pct"/>
          </w:tcPr>
          <w:p w14:paraId="056CB8A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45" w:type="pct"/>
            <w:gridSpan w:val="9"/>
          </w:tcPr>
          <w:p w14:paraId="36F4C88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  <w:p w14:paraId="67BE493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2"/>
                <w14:ligatures w14:val="none"/>
              </w:rPr>
              <w:t>Question:</w:t>
            </w:r>
          </w:p>
        </w:tc>
        <w:tc>
          <w:tcPr>
            <w:tcW w:w="292" w:type="pct"/>
          </w:tcPr>
          <w:p w14:paraId="0A0BE98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</w:tr>
      <w:tr w:rsidR="00D05E46" w:rsidRPr="00D05E46" w14:paraId="30D1E721" w14:textId="77777777" w:rsidTr="00A1009B">
        <w:trPr>
          <w:trHeight w:val="809"/>
        </w:trPr>
        <w:tc>
          <w:tcPr>
            <w:tcW w:w="363" w:type="pct"/>
            <w:vAlign w:val="center"/>
          </w:tcPr>
          <w:p w14:paraId="000F47C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Reviewer Name(s)</w:t>
            </w:r>
          </w:p>
        </w:tc>
        <w:tc>
          <w:tcPr>
            <w:tcW w:w="339" w:type="pct"/>
            <w:vAlign w:val="center"/>
          </w:tcPr>
          <w:p w14:paraId="65422B5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Article Number</w:t>
            </w:r>
          </w:p>
        </w:tc>
        <w:tc>
          <w:tcPr>
            <w:tcW w:w="633" w:type="pct"/>
          </w:tcPr>
          <w:p w14:paraId="36854DF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14:paraId="330E094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Type of Evidence</w:t>
            </w:r>
          </w:p>
        </w:tc>
        <w:tc>
          <w:tcPr>
            <w:tcW w:w="498" w:type="pct"/>
            <w:vAlign w:val="center"/>
          </w:tcPr>
          <w:p w14:paraId="3C85BF6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589" w:type="pct"/>
            <w:vAlign w:val="center"/>
          </w:tcPr>
          <w:p w14:paraId="720BD1F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Intervention</w:t>
            </w:r>
          </w:p>
        </w:tc>
        <w:tc>
          <w:tcPr>
            <w:tcW w:w="656" w:type="pct"/>
            <w:vAlign w:val="center"/>
          </w:tcPr>
          <w:p w14:paraId="4A83CA60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question</w:t>
            </w:r>
          </w:p>
        </w:tc>
        <w:tc>
          <w:tcPr>
            <w:tcW w:w="544" w:type="pct"/>
            <w:vAlign w:val="center"/>
          </w:tcPr>
          <w:p w14:paraId="3CF79B4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>used</w:t>
            </w:r>
          </w:p>
        </w:tc>
        <w:tc>
          <w:tcPr>
            <w:tcW w:w="430" w:type="pct"/>
            <w:vAlign w:val="center"/>
          </w:tcPr>
          <w:p w14:paraId="020C6A1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293" w:type="pct"/>
            <w:vAlign w:val="center"/>
          </w:tcPr>
          <w:p w14:paraId="314F3E9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292" w:type="pct"/>
          </w:tcPr>
          <w:p w14:paraId="4820E3D9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Notes to Team</w:t>
            </w:r>
          </w:p>
        </w:tc>
      </w:tr>
      <w:tr w:rsidR="00D05E46" w:rsidRPr="00D05E46" w14:paraId="29E6208C" w14:textId="77777777" w:rsidTr="00D05E46">
        <w:trPr>
          <w:trHeight w:val="659"/>
        </w:trPr>
        <w:tc>
          <w:tcPr>
            <w:tcW w:w="363" w:type="pct"/>
            <w:shd w:val="clear" w:color="auto" w:fill="C6D9F1"/>
          </w:tcPr>
          <w:p w14:paraId="7F9CBB0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" w:type="pct"/>
            <w:shd w:val="clear" w:color="auto" w:fill="C6D9F1"/>
          </w:tcPr>
          <w:p w14:paraId="1C85B8D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3" w:type="pct"/>
            <w:shd w:val="clear" w:color="auto" w:fill="C6D9F1"/>
          </w:tcPr>
          <w:p w14:paraId="700C64BD" w14:textId="321D6E77" w:rsidR="00D05E46" w:rsidRPr="00D05E46" w:rsidRDefault="00D05E46" w:rsidP="00D05E46">
            <w:pPr>
              <w:spacing w:after="0" w:line="240" w:lineRule="auto"/>
              <w:contextualSpacing/>
              <w:rPr>
                <w:rFonts w:ascii="Calibri" w:eastAsia="MS Mincho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shd w:val="clear" w:color="auto" w:fill="C6D9F1"/>
          </w:tcPr>
          <w:p w14:paraId="534AC7BA" w14:textId="1C4C31C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8" w:type="pct"/>
            <w:shd w:val="clear" w:color="auto" w:fill="C6D9F1"/>
          </w:tcPr>
          <w:p w14:paraId="27163294" w14:textId="17406415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9" w:type="pct"/>
            <w:shd w:val="clear" w:color="auto" w:fill="C6D9F1"/>
          </w:tcPr>
          <w:p w14:paraId="06D24BF0" w14:textId="1F4AE503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6" w:type="pct"/>
            <w:shd w:val="clear" w:color="auto" w:fill="C6D9F1"/>
          </w:tcPr>
          <w:p w14:paraId="4857DBBD" w14:textId="4A0790CD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4" w:type="pct"/>
            <w:shd w:val="clear" w:color="auto" w:fill="C6D9F1"/>
          </w:tcPr>
          <w:p w14:paraId="2321BC5D" w14:textId="60DAEEC9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" w:type="pct"/>
            <w:shd w:val="clear" w:color="auto" w:fill="C6D9F1"/>
          </w:tcPr>
          <w:p w14:paraId="2EADF06B" w14:textId="4713E23C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" w:type="pct"/>
            <w:shd w:val="clear" w:color="auto" w:fill="C6D9F1"/>
          </w:tcPr>
          <w:p w14:paraId="6705C7FD" w14:textId="15610BF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" w:type="pct"/>
            <w:shd w:val="clear" w:color="auto" w:fill="C6D9F1"/>
          </w:tcPr>
          <w:p w14:paraId="63D628B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5E46" w:rsidRPr="00D05E46" w14:paraId="53885646" w14:textId="77777777" w:rsidTr="00A1009B">
        <w:trPr>
          <w:trHeight w:val="662"/>
        </w:trPr>
        <w:tc>
          <w:tcPr>
            <w:tcW w:w="363" w:type="pct"/>
          </w:tcPr>
          <w:p w14:paraId="7C7B69AE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1" w:name="_Hlk140067709"/>
            <w:bookmarkStart w:id="2" w:name="_Hlk140067720"/>
          </w:p>
        </w:tc>
        <w:tc>
          <w:tcPr>
            <w:tcW w:w="339" w:type="pct"/>
          </w:tcPr>
          <w:p w14:paraId="25923BB6" w14:textId="64EE0A71" w:rsidR="00D05E46" w:rsidRPr="00D05E46" w:rsidRDefault="00DC02CF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633" w:type="pct"/>
          </w:tcPr>
          <w:p w14:paraId="76098690" w14:textId="147D88F4" w:rsidR="00D05E46" w:rsidRPr="00D05E46" w:rsidRDefault="006B34D8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Motrico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Bina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R.,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Kassianos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 P., Le, H. N.,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Mateus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V.,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Oztekin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D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Conejo-Cerón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S. (2023). Effectiveness of interventions to prevent perinatal depression: An umbrella review of systematic reviews and meta-analysis.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General hospital psychiatry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47-61.</w:t>
            </w:r>
            <w:r w:rsidR="007F5E2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="007F5E23" w:rsidRPr="000D0C2A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https://doi.org/10.1016/j.genhosppsych.2023.03.007</w:t>
              </w:r>
            </w:hyperlink>
            <w:r w:rsidR="007F5E2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3" w:type="pct"/>
          </w:tcPr>
          <w:p w14:paraId="667C2D29" w14:textId="58C4DDBB" w:rsidR="00D05E46" w:rsidRPr="00D05E46" w:rsidRDefault="009A5A4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Quantitative research with systematic reviews and meta a</w:t>
            </w:r>
            <w:r w:rsidR="00AA5565">
              <w:rPr>
                <w:rFonts w:eastAsia="Times New Roman" w:cs="Times New Roman"/>
                <w:kern w:val="0"/>
                <w:sz w:val="22"/>
                <w14:ligatures w14:val="none"/>
              </w:rPr>
              <w:t>nalyse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 </w:t>
            </w:r>
          </w:p>
        </w:tc>
        <w:tc>
          <w:tcPr>
            <w:tcW w:w="498" w:type="pct"/>
          </w:tcPr>
          <w:p w14:paraId="44DD58A2" w14:textId="0129FFA7" w:rsidR="00D05E46" w:rsidRPr="00D05E46" w:rsidRDefault="00F01A2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01A20">
              <w:rPr>
                <w:rFonts w:eastAsia="Times New Roman" w:cs="Times New Roman"/>
                <w:kern w:val="0"/>
                <w:sz w:val="22"/>
                <w14:ligatures w14:val="none"/>
              </w:rPr>
              <w:t>19 SRs and MAs evaluated</w:t>
            </w:r>
            <w:r w:rsidR="00AF42C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AF42CB" w:rsidRPr="00AF42CB">
              <w:rPr>
                <w:rFonts w:eastAsia="Times New Roman" w:cs="Times New Roman"/>
                <w:kern w:val="0"/>
                <w:sz w:val="22"/>
                <w14:ligatures w14:val="none"/>
              </w:rPr>
              <w:t>152 unique RCTs</w:t>
            </w:r>
            <w:r w:rsidR="006B5BC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which included </w:t>
            </w:r>
            <w:r w:rsidR="00156E16" w:rsidRPr="00156E16">
              <w:rPr>
                <w:rFonts w:eastAsia="Times New Roman" w:cs="Times New Roman"/>
                <w:kern w:val="0"/>
                <w:sz w:val="22"/>
                <w14:ligatures w14:val="none"/>
              </w:rPr>
              <w:t>83,408 women from 26 countries and five continents</w:t>
            </w:r>
          </w:p>
        </w:tc>
        <w:tc>
          <w:tcPr>
            <w:tcW w:w="589" w:type="pct"/>
          </w:tcPr>
          <w:p w14:paraId="7A9E176A" w14:textId="32DB69E0" w:rsidR="00D05E46" w:rsidRPr="00D05E46" w:rsidRDefault="00564DD1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This study looked at various interventions to determine their effectiveness. Such interventions include </w:t>
            </w:r>
            <w:r w:rsidR="00F13B55">
              <w:rPr>
                <w:rFonts w:eastAsia="Times New Roman" w:cs="Times New Roman"/>
                <w:kern w:val="0"/>
                <w:sz w:val="22"/>
                <w14:ligatures w14:val="none"/>
              </w:rPr>
              <w:t>physical activ</w:t>
            </w:r>
            <w:r w:rsidR="00244EE2">
              <w:rPr>
                <w:rFonts w:eastAsia="Times New Roman" w:cs="Times New Roman"/>
                <w:kern w:val="0"/>
                <w:sz w:val="22"/>
                <w14:ligatures w14:val="none"/>
              </w:rPr>
              <w:t>ity psychological interventions, pharmacological interventions and dietary supplements</w:t>
            </w:r>
          </w:p>
        </w:tc>
        <w:tc>
          <w:tcPr>
            <w:tcW w:w="656" w:type="pct"/>
          </w:tcPr>
          <w:p w14:paraId="1DF5322C" w14:textId="4B09A338" w:rsidR="00D05E46" w:rsidRPr="00D05E46" w:rsidRDefault="00644E9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indicate an insufficient evidence to </w:t>
            </w:r>
            <w:r w:rsidR="001E0842">
              <w:rPr>
                <w:rFonts w:eastAsia="Times New Roman" w:cs="Times New Roman"/>
                <w:kern w:val="0"/>
                <w:sz w:val="22"/>
                <w14:ligatures w14:val="none"/>
              </w:rPr>
              <w:t>conclude that pharmacological interventions and dietary supplements are effective in preventing PPD</w:t>
            </w:r>
          </w:p>
        </w:tc>
        <w:tc>
          <w:tcPr>
            <w:tcW w:w="544" w:type="pct"/>
          </w:tcPr>
          <w:p w14:paraId="629294C7" w14:textId="61257896" w:rsidR="00D05E46" w:rsidRPr="00D05E46" w:rsidRDefault="003C7DEE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researchers used </w:t>
            </w:r>
            <w:r w:rsidRPr="003C7DEE">
              <w:rPr>
                <w:sz w:val="22"/>
              </w:rPr>
              <w:t>A Measurement Tool to Assess Systematic Reviews’ version 2 (AMSTAR 2)</w:t>
            </w:r>
          </w:p>
        </w:tc>
        <w:tc>
          <w:tcPr>
            <w:tcW w:w="430" w:type="pct"/>
          </w:tcPr>
          <w:p w14:paraId="2C628B7B" w14:textId="7A13DCC2" w:rsidR="00D05E46" w:rsidRPr="00D05E46" w:rsidRDefault="00AE779F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One limitation is that some RC</w:t>
            </w:r>
            <w:r w:rsidR="003A5051">
              <w:rPr>
                <w:rFonts w:eastAsia="Times New Roman" w:cs="Times New Roman"/>
                <w:kern w:val="0"/>
                <w:sz w:val="22"/>
                <w14:ligatures w14:val="none"/>
              </w:rPr>
              <w:t>Ts were included more than once. Another limitation is that most of the RCT were conducted in high income regions</w:t>
            </w:r>
            <w:r w:rsidR="003A21C6">
              <w:rPr>
                <w:rFonts w:eastAsia="Times New Roman" w:cs="Times New Roman"/>
                <w:kern w:val="0"/>
                <w:sz w:val="22"/>
                <w14:ligatures w14:val="none"/>
              </w:rPr>
              <w:t>. There was also a low quality in methodology of the SR &amp; MA.</w:t>
            </w:r>
          </w:p>
        </w:tc>
        <w:tc>
          <w:tcPr>
            <w:tcW w:w="293" w:type="pct"/>
          </w:tcPr>
          <w:p w14:paraId="5B8DCAD1" w14:textId="405A7F9F" w:rsidR="00D05E46" w:rsidRPr="00D05E46" w:rsidRDefault="0096674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 quality A</w:t>
            </w:r>
          </w:p>
        </w:tc>
        <w:tc>
          <w:tcPr>
            <w:tcW w:w="292" w:type="pct"/>
          </w:tcPr>
          <w:p w14:paraId="69AAABA9" w14:textId="04AE7C92" w:rsidR="00D05E46" w:rsidRPr="00D05E46" w:rsidRDefault="00A231CD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This research should be among the first articles to select as it contains various interventions to explore</w:t>
            </w:r>
          </w:p>
        </w:tc>
      </w:tr>
      <w:tr w:rsidR="00D05E46" w:rsidRPr="00D05E46" w14:paraId="01B8FAD2" w14:textId="77777777" w:rsidTr="00A1009B">
        <w:trPr>
          <w:trHeight w:val="661"/>
        </w:trPr>
        <w:tc>
          <w:tcPr>
            <w:tcW w:w="363" w:type="pct"/>
          </w:tcPr>
          <w:p w14:paraId="30629A24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</w:tcPr>
          <w:p w14:paraId="51C02155" w14:textId="0A8A19FE" w:rsidR="00D05E46" w:rsidRPr="00D05E46" w:rsidRDefault="002D1631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282</w:t>
            </w:r>
          </w:p>
        </w:tc>
        <w:tc>
          <w:tcPr>
            <w:tcW w:w="633" w:type="pct"/>
          </w:tcPr>
          <w:p w14:paraId="52CB93F1" w14:textId="7C7BE268" w:rsidR="00D05E46" w:rsidRPr="00D05E46" w:rsidRDefault="00CA38BE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Monks, D. T.,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Ankalagi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B., Singh, P. M., Carter, E.,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Doering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Guard, M.,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Lenze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 (2022). Interventions to treat and prevent postpartum depression: a protocol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for systematic review of the literature and parallel network meta-analyses.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Systematic Reviews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282.</w:t>
            </w:r>
            <w:r w:rsidR="003950C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="006B3812" w:rsidRPr="00A85238">
                <w:rPr>
                  <w:rStyle w:val="Hyperlink"/>
                  <w:rFonts w:ascii="Helvetica" w:hAnsi="Helvetica" w:cs="Helvetica"/>
                  <w:sz w:val="22"/>
                  <w:shd w:val="clear" w:color="auto" w:fill="FFFFFF"/>
                </w:rPr>
                <w:t>https://doi.org/10.1186/s13643-022-02157-2</w:t>
              </w:r>
            </w:hyperlink>
            <w:r w:rsidR="006B3812" w:rsidRPr="00A85238">
              <w:rPr>
                <w:rFonts w:ascii="Helvetica" w:hAnsi="Helvetica" w:cs="Helvetica"/>
                <w:color w:val="22222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363" w:type="pct"/>
          </w:tcPr>
          <w:p w14:paraId="66F76B20" w14:textId="137B404E" w:rsidR="00D05E46" w:rsidRPr="00D05E46" w:rsidRDefault="00AA5565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Quantitative research with systematic review and meta analyses</w:t>
            </w:r>
          </w:p>
        </w:tc>
        <w:tc>
          <w:tcPr>
            <w:tcW w:w="498" w:type="pct"/>
          </w:tcPr>
          <w:p w14:paraId="3CD59E04" w14:textId="22B2DD14" w:rsidR="00D05E46" w:rsidRPr="00D05E46" w:rsidRDefault="0057247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Studies of </w:t>
            </w:r>
            <w:r w:rsidRPr="002F0FD9">
              <w:rPr>
                <w:color w:val="222222"/>
                <w:sz w:val="22"/>
                <w:shd w:val="clear" w:color="auto" w:fill="FFFFFF"/>
              </w:rPr>
              <w:t>multiparous</w:t>
            </w:r>
            <w:r w:rsidRPr="002F0FD9">
              <w:rPr>
                <w:color w:val="222222"/>
                <w:sz w:val="22"/>
                <w:shd w:val="clear" w:color="auto" w:fill="FFFFFF"/>
              </w:rPr>
              <w:t xml:space="preserve"> or </w:t>
            </w:r>
            <w:proofErr w:type="spellStart"/>
            <w:r w:rsidR="00C01654" w:rsidRPr="002F0FD9">
              <w:rPr>
                <w:color w:val="222222"/>
                <w:sz w:val="22"/>
                <w:shd w:val="clear" w:color="auto" w:fill="FFFFFF"/>
              </w:rPr>
              <w:t>primiparous</w:t>
            </w:r>
            <w:proofErr w:type="spellEnd"/>
            <w:r w:rsidR="002F0FD9" w:rsidRPr="002F0FD9">
              <w:rPr>
                <w:color w:val="222222"/>
                <w:sz w:val="22"/>
                <w:shd w:val="clear" w:color="auto" w:fill="FFFFFF"/>
              </w:rPr>
              <w:t xml:space="preserve"> women within 12 months after delivery of their babies or during </w:t>
            </w:r>
            <w:r w:rsidR="002F0FD9" w:rsidRPr="002F0FD9">
              <w:rPr>
                <w:color w:val="222222"/>
                <w:sz w:val="22"/>
                <w:shd w:val="clear" w:color="auto" w:fill="FFFFFF"/>
              </w:rPr>
              <w:lastRenderedPageBreak/>
              <w:t>pregnancy.</w:t>
            </w:r>
          </w:p>
        </w:tc>
        <w:tc>
          <w:tcPr>
            <w:tcW w:w="589" w:type="pct"/>
          </w:tcPr>
          <w:p w14:paraId="6A1BCECD" w14:textId="57F54341" w:rsidR="00D05E46" w:rsidRPr="00D05E46" w:rsidRDefault="000C38B3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This study investigated both non-pharmacological and pharmacological </w:t>
            </w:r>
            <w:r w:rsidR="005300C6">
              <w:rPr>
                <w:rFonts w:eastAsia="Times New Roman" w:cs="Times New Roman"/>
                <w:kern w:val="0"/>
                <w:sz w:val="22"/>
                <w14:ligatures w14:val="none"/>
              </w:rPr>
              <w:t>interventions within 1 year after childbirth</w:t>
            </w:r>
          </w:p>
        </w:tc>
        <w:tc>
          <w:tcPr>
            <w:tcW w:w="656" w:type="pct"/>
          </w:tcPr>
          <w:p w14:paraId="47D97606" w14:textId="7ABC30FB" w:rsidR="00D05E46" w:rsidRPr="00D05E46" w:rsidRDefault="000B32FD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findings suggest that </w:t>
            </w:r>
            <w:r w:rsidR="0070140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patients and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clinicians should </w:t>
            </w:r>
            <w:r w:rsidR="004C732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be provided with a comprehensive </w:t>
            </w:r>
            <w:r w:rsidR="0086033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assessment of the mentioned interventions to confirm their </w:t>
            </w:r>
            <w:r w:rsidR="0086033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effectiveness. </w:t>
            </w:r>
          </w:p>
        </w:tc>
        <w:tc>
          <w:tcPr>
            <w:tcW w:w="544" w:type="pct"/>
          </w:tcPr>
          <w:p w14:paraId="7C919F10" w14:textId="7C25F839" w:rsidR="00D05E46" w:rsidRPr="00D05E46" w:rsidRDefault="006E363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The researchers used the </w:t>
            </w:r>
            <w:r w:rsidRPr="00875ECC">
              <w:rPr>
                <w:color w:val="222222"/>
                <w:sz w:val="22"/>
                <w:shd w:val="clear" w:color="auto" w:fill="FFFFFF"/>
              </w:rPr>
              <w:t>Bayesian hierarchical model</w:t>
            </w:r>
            <w:r w:rsidR="00875ECC" w:rsidRPr="00875ECC">
              <w:rPr>
                <w:color w:val="222222"/>
                <w:sz w:val="22"/>
                <w:shd w:val="clear" w:color="auto" w:fill="FFFFFF"/>
              </w:rPr>
              <w:t xml:space="preserve"> for statistical analysis</w:t>
            </w:r>
          </w:p>
        </w:tc>
        <w:tc>
          <w:tcPr>
            <w:tcW w:w="430" w:type="pct"/>
          </w:tcPr>
          <w:p w14:paraId="799035AD" w14:textId="3C0931DF" w:rsidR="00D05E46" w:rsidRPr="00D05E46" w:rsidRDefault="0031569F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study does not mention any limitation </w:t>
            </w:r>
            <w:r w:rsidR="00464E5B">
              <w:rPr>
                <w:rFonts w:eastAsia="Times New Roman" w:cs="Times New Roman"/>
                <w:kern w:val="0"/>
                <w:sz w:val="22"/>
                <w14:ligatures w14:val="none"/>
              </w:rPr>
              <w:t>as the study was broad and inclusive</w:t>
            </w:r>
          </w:p>
        </w:tc>
        <w:tc>
          <w:tcPr>
            <w:tcW w:w="293" w:type="pct"/>
          </w:tcPr>
          <w:p w14:paraId="2C681A45" w14:textId="5488E771" w:rsidR="00D05E46" w:rsidRPr="00D05E46" w:rsidRDefault="00DF5DB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II quality B</w:t>
            </w:r>
          </w:p>
        </w:tc>
        <w:tc>
          <w:tcPr>
            <w:tcW w:w="292" w:type="pct"/>
          </w:tcPr>
          <w:p w14:paraId="30C49C9D" w14:textId="3D3BB398" w:rsidR="00D05E46" w:rsidRPr="00D05E46" w:rsidRDefault="00A30C9B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research will be utilized to </w:t>
            </w:r>
            <w:r w:rsidR="003B7B5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investigate </w:t>
            </w:r>
            <w:r w:rsidR="00BC2CC1">
              <w:rPr>
                <w:rFonts w:eastAsia="Times New Roman" w:cs="Times New Roman"/>
                <w:kern w:val="0"/>
                <w:sz w:val="22"/>
                <w14:ligatures w14:val="none"/>
              </w:rPr>
              <w:t>various interventio</w:t>
            </w:r>
            <w:r w:rsidR="00BC2CC1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ns </w:t>
            </w:r>
            <w:r w:rsidR="00CC1E44">
              <w:rPr>
                <w:rFonts w:eastAsia="Times New Roman" w:cs="Times New Roman"/>
                <w:kern w:val="0"/>
                <w:sz w:val="22"/>
                <w14:ligatures w14:val="none"/>
              </w:rPr>
              <w:t>and their effectiveness</w:t>
            </w:r>
          </w:p>
        </w:tc>
      </w:tr>
      <w:bookmarkEnd w:id="1"/>
      <w:tr w:rsidR="003B6E58" w:rsidRPr="00D05E46" w14:paraId="23A4EE7F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7C6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54D" w14:textId="024E794A" w:rsidR="003B6E58" w:rsidRPr="00D05E46" w:rsidRDefault="00F45981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B07" w14:textId="6F6294E9" w:rsidR="003B6E58" w:rsidRPr="00D05E46" w:rsidRDefault="00F94724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Chow, R., Huang, E., Li, A., Li, S., Fu, S. Y., Son, J. S., &amp; Foster, W. G. (2021). Appraisal of systematic reviews on interventions for postpartum depression: systematic review.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BMC pregnancy and childbirth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1-11.</w:t>
            </w:r>
            <w:r w:rsidR="004945A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="00030B72" w:rsidRPr="00A85238">
                <w:rPr>
                  <w:rStyle w:val="Hyperlink"/>
                  <w:rFonts w:ascii="Helvetica" w:hAnsi="Helvetica" w:cs="Helvetica"/>
                  <w:sz w:val="22"/>
                  <w:shd w:val="clear" w:color="auto" w:fill="FFFFFF"/>
                </w:rPr>
                <w:t>https://doi.org/10.1186/s12884-020-03496-5</w:t>
              </w:r>
            </w:hyperlink>
            <w:r w:rsidR="00030B72" w:rsidRPr="00A85238">
              <w:rPr>
                <w:rFonts w:ascii="Helvetica" w:hAnsi="Helvetica" w:cs="Helvetica"/>
                <w:color w:val="22222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EF5B" w14:textId="4EF9CB4D" w:rsidR="003B6E58" w:rsidRPr="00D05E46" w:rsidRDefault="000469BD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Quantitative research article and systematic r</w:t>
            </w:r>
            <w:r w:rsidR="000C4535">
              <w:rPr>
                <w:rFonts w:eastAsia="Times New Roman" w:cs="Times New Roman"/>
                <w:kern w:val="0"/>
                <w:sz w:val="22"/>
                <w14:ligatures w14:val="none"/>
              </w:rPr>
              <w:t>e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view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84C" w14:textId="0BB8173B" w:rsidR="003B6E58" w:rsidRPr="00D05E46" w:rsidRDefault="004F3AFB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  <w:r w:rsidR="00105F38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2 identified studies </w:t>
            </w:r>
            <w:r w:rsidR="00D71C3A">
              <w:rPr>
                <w:rFonts w:eastAsia="Times New Roman" w:cs="Times New Roman"/>
                <w:kern w:val="0"/>
                <w:sz w:val="22"/>
                <w14:ligatures w14:val="none"/>
              </w:rPr>
              <w:t>to determine the effectiveness of telemedicine and anti-depressants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84F7" w14:textId="2EEBAE1D" w:rsidR="003B6E58" w:rsidRPr="00D05E46" w:rsidRDefault="004E548D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interventions investigated include using </w:t>
            </w:r>
            <w:r w:rsidR="00555C13">
              <w:rPr>
                <w:rFonts w:eastAsia="Times New Roman" w:cs="Times New Roman"/>
                <w:kern w:val="0"/>
                <w:sz w:val="22"/>
                <w14:ligatures w14:val="none"/>
              </w:rPr>
              <w:t>telemedicine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and anti-</w:t>
            </w:r>
            <w:r w:rsidR="00555C13">
              <w:rPr>
                <w:rFonts w:eastAsia="Times New Roman" w:cs="Times New Roman"/>
                <w:kern w:val="0"/>
                <w:sz w:val="22"/>
                <w14:ligatures w14:val="none"/>
              </w:rPr>
              <w:t>depressants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AE7" w14:textId="01B89311" w:rsidR="003B6E58" w:rsidRPr="00D05E46" w:rsidRDefault="004C3F44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findings indicate that using telemedicine and </w:t>
            </w:r>
            <w:r w:rsidR="00664855">
              <w:rPr>
                <w:rFonts w:eastAsia="Times New Roman" w:cs="Times New Roman"/>
                <w:kern w:val="0"/>
                <w:sz w:val="22"/>
                <w14:ligatures w14:val="none"/>
              </w:rPr>
              <w:t>anti-depressants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66485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were among the most effective treatments for postpartum depression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B39" w14:textId="41745146" w:rsidR="003B6E58" w:rsidRPr="00D05E46" w:rsidRDefault="00F221B7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researchers used Microsoft Excel generated tables </w:t>
            </w:r>
            <w:r w:rsidR="003C2457">
              <w:rPr>
                <w:rFonts w:eastAsia="Times New Roman" w:cs="Times New Roman"/>
                <w:kern w:val="0"/>
                <w:sz w:val="22"/>
                <w14:ligatures w14:val="none"/>
              </w:rPr>
              <w:t>to summarize the data collected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23E" w14:textId="30F7E008" w:rsidR="003B6E58" w:rsidRPr="00D05E46" w:rsidRDefault="00C5156F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One of the </w:t>
            </w:r>
            <w:r w:rsidR="006E452D">
              <w:rPr>
                <w:rFonts w:eastAsia="Times New Roman" w:cs="Times New Roman"/>
                <w:kern w:val="0"/>
                <w:sz w:val="22"/>
                <w14:ligatures w14:val="none"/>
              </w:rPr>
              <w:t>limitations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is that the analysis may be affected by the publication date</w:t>
            </w:r>
            <w:r w:rsidR="00D1037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. </w:t>
            </w:r>
            <w:r w:rsidR="009F295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Another limitation is that the quality </w:t>
            </w:r>
            <w:r w:rsidR="00865C3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of the evaluated systematic reviews </w:t>
            </w:r>
            <w:r w:rsidR="00240140">
              <w:rPr>
                <w:rFonts w:eastAsia="Times New Roman" w:cs="Times New Roman"/>
                <w:kern w:val="0"/>
                <w:sz w:val="22"/>
                <w14:ligatures w14:val="none"/>
              </w:rPr>
              <w:t>was conducted by authors who were aware of the publication of the study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168" w14:textId="09B06D1D" w:rsidR="003B6E58" w:rsidRPr="00D05E46" w:rsidRDefault="00EA5ABD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 quality 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50E" w14:textId="3E8406A6" w:rsidR="003B6E58" w:rsidRPr="00D05E46" w:rsidRDefault="00B80B2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article is </w:t>
            </w:r>
            <w:r w:rsidR="00A30C9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useful in ascertaining the level of effectiveness for telemedicine and anti-depressants. </w:t>
            </w:r>
          </w:p>
        </w:tc>
      </w:tr>
      <w:tr w:rsidR="003B6E58" w:rsidRPr="00D05E46" w14:paraId="7FE74A18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1C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E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D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2A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B2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68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F4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6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27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CC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bookmarkEnd w:id="2"/>
      <w:tr w:rsidR="003B6E58" w:rsidRPr="00D05E46" w14:paraId="0476F399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85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0B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846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58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03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E7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6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2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6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5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17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7CB44504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95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2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1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14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E79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5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EE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EE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6C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DD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8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47F64802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2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19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D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F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60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1F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1F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9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4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1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C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A6D924E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3B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51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F9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F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D9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7D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E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6C7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CE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F8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D6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65EAAFF1" w14:textId="77777777" w:rsidTr="00F469C1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9E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41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C0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2A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9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6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74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D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35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EF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CA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11A2E44" w14:textId="77777777" w:rsidTr="00F469C1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48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E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0B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AC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30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1C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81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10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C6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FF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12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2210897B" w14:textId="77777777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60C8FD7C" w14:textId="4F105349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79775919" w14:textId="645B57A4" w:rsidR="00394F2B" w:rsidRDefault="003B6E58" w:rsidP="00D05E46">
      <w:pPr>
        <w:spacing w:after="200" w:line="276" w:lineRule="auto"/>
      </w:pPr>
      <w:r w:rsidRPr="007A7B41">
        <w:rPr>
          <w:rFonts w:cs="Times New Roman"/>
          <w:sz w:val="20"/>
        </w:rPr>
        <w:t>© 2021 Johns Hopkins Health System/Johns Hopkins School of Nursing</w:t>
      </w:r>
      <w:r>
        <w:rPr>
          <w:rFonts w:cs="Times New Roman"/>
          <w:sz w:val="20"/>
        </w:rPr>
        <w:tab/>
      </w:r>
    </w:p>
    <w:sectPr w:rsidR="00394F2B" w:rsidSect="00A80059">
      <w:footerReference w:type="default" r:id="rId13"/>
      <w:footerReference w:type="first" r:id="rId14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BDEEF" w14:textId="77777777" w:rsidR="007A7F86" w:rsidRDefault="007A7F86">
      <w:pPr>
        <w:spacing w:after="0" w:line="240" w:lineRule="auto"/>
      </w:pPr>
      <w:r>
        <w:separator/>
      </w:r>
    </w:p>
  </w:endnote>
  <w:endnote w:type="continuationSeparator" w:id="0">
    <w:p w14:paraId="074F068A" w14:textId="77777777" w:rsidR="007A7F86" w:rsidRDefault="007A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0249D1F2" w14:textId="77777777" w:rsidTr="43F30F79">
      <w:tc>
        <w:tcPr>
          <w:tcW w:w="4320" w:type="dxa"/>
        </w:tcPr>
        <w:p w14:paraId="3F061D29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68997599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62416844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6507F133" w14:textId="77777777" w:rsidR="00C836A1" w:rsidRDefault="00C836A1" w:rsidP="43F3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10752D1D" w14:textId="77777777" w:rsidTr="43F30F79">
      <w:tc>
        <w:tcPr>
          <w:tcW w:w="4320" w:type="dxa"/>
        </w:tcPr>
        <w:p w14:paraId="004985B3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1F9ADC9A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130DB8BF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7A506E13" w14:textId="77777777" w:rsidR="00C836A1" w:rsidRDefault="00C836A1" w:rsidP="43F3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C7FBE" w14:textId="77777777" w:rsidR="007A7F86" w:rsidRDefault="007A7F86">
      <w:pPr>
        <w:spacing w:after="0" w:line="240" w:lineRule="auto"/>
      </w:pPr>
      <w:r>
        <w:separator/>
      </w:r>
    </w:p>
  </w:footnote>
  <w:footnote w:type="continuationSeparator" w:id="0">
    <w:p w14:paraId="62154594" w14:textId="77777777" w:rsidR="007A7F86" w:rsidRDefault="007A7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MzNDA2NTU1NjYxMDIyUdpeDU4uLM/DyQAsNaAIlGynMsAAAA"/>
  </w:docVars>
  <w:rsids>
    <w:rsidRoot w:val="00D05E46"/>
    <w:rsid w:val="00030B72"/>
    <w:rsid w:val="000469BD"/>
    <w:rsid w:val="000B32FD"/>
    <w:rsid w:val="000C38B3"/>
    <w:rsid w:val="000C4535"/>
    <w:rsid w:val="00105F38"/>
    <w:rsid w:val="00106535"/>
    <w:rsid w:val="00156E16"/>
    <w:rsid w:val="001E0842"/>
    <w:rsid w:val="00240140"/>
    <w:rsid w:val="00244EE2"/>
    <w:rsid w:val="002D1631"/>
    <w:rsid w:val="002F0FD9"/>
    <w:rsid w:val="0031569F"/>
    <w:rsid w:val="00394F2B"/>
    <w:rsid w:val="003950C2"/>
    <w:rsid w:val="003A21C6"/>
    <w:rsid w:val="003A5051"/>
    <w:rsid w:val="003B6E58"/>
    <w:rsid w:val="003B7B53"/>
    <w:rsid w:val="003C2457"/>
    <w:rsid w:val="003C7DEE"/>
    <w:rsid w:val="00464E5B"/>
    <w:rsid w:val="004945AF"/>
    <w:rsid w:val="004C3F44"/>
    <w:rsid w:val="004C732A"/>
    <w:rsid w:val="004E548D"/>
    <w:rsid w:val="004F3AFB"/>
    <w:rsid w:val="005300C6"/>
    <w:rsid w:val="00541917"/>
    <w:rsid w:val="00555C13"/>
    <w:rsid w:val="00564DD1"/>
    <w:rsid w:val="00572470"/>
    <w:rsid w:val="005B0CF9"/>
    <w:rsid w:val="00644E97"/>
    <w:rsid w:val="00664855"/>
    <w:rsid w:val="006B34D8"/>
    <w:rsid w:val="006B3812"/>
    <w:rsid w:val="006B5BC1"/>
    <w:rsid w:val="006E3637"/>
    <w:rsid w:val="006E452D"/>
    <w:rsid w:val="00701405"/>
    <w:rsid w:val="007367AD"/>
    <w:rsid w:val="00766031"/>
    <w:rsid w:val="007A7F86"/>
    <w:rsid w:val="007F5E23"/>
    <w:rsid w:val="0086033D"/>
    <w:rsid w:val="00865C3A"/>
    <w:rsid w:val="00875ECC"/>
    <w:rsid w:val="008C41E2"/>
    <w:rsid w:val="00934A66"/>
    <w:rsid w:val="00947D37"/>
    <w:rsid w:val="00966749"/>
    <w:rsid w:val="009A5A40"/>
    <w:rsid w:val="009C7733"/>
    <w:rsid w:val="009F295F"/>
    <w:rsid w:val="00A231CD"/>
    <w:rsid w:val="00A30C9B"/>
    <w:rsid w:val="00A85238"/>
    <w:rsid w:val="00AA5565"/>
    <w:rsid w:val="00AE779F"/>
    <w:rsid w:val="00AF42CB"/>
    <w:rsid w:val="00B80B28"/>
    <w:rsid w:val="00BC2CC1"/>
    <w:rsid w:val="00C01654"/>
    <w:rsid w:val="00C04C66"/>
    <w:rsid w:val="00C2374A"/>
    <w:rsid w:val="00C5156F"/>
    <w:rsid w:val="00C51630"/>
    <w:rsid w:val="00C836A1"/>
    <w:rsid w:val="00CA38BE"/>
    <w:rsid w:val="00CC1E44"/>
    <w:rsid w:val="00D0507B"/>
    <w:rsid w:val="00D05E46"/>
    <w:rsid w:val="00D10375"/>
    <w:rsid w:val="00D71C3A"/>
    <w:rsid w:val="00DC02CF"/>
    <w:rsid w:val="00DF5DB9"/>
    <w:rsid w:val="00EA5ABD"/>
    <w:rsid w:val="00EB4070"/>
    <w:rsid w:val="00F01A20"/>
    <w:rsid w:val="00F13B55"/>
    <w:rsid w:val="00F221B7"/>
    <w:rsid w:val="00F45981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1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F5E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F5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86/s12884-020-03496-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86/s13643-022-02157-2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genhosppsych.2023.03.007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412cc2-8c54-4109-8bdb-a0d9e879cd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D65F7A54174E98A28353DA67A368" ma:contentTypeVersion="12" ma:contentTypeDescription="Create a new document." ma:contentTypeScope="" ma:versionID="da308872ac4aeb00c590fa41dd74a9f6">
  <xsd:schema xmlns:xsd="http://www.w3.org/2001/XMLSchema" xmlns:xs="http://www.w3.org/2001/XMLSchema" xmlns:p="http://schemas.microsoft.com/office/2006/metadata/properties" xmlns:ns2="b7412cc2-8c54-4109-8bdb-a0d9e879cd0e" xmlns:ns3="ebf7c323-d544-45fe-96ae-e20868859bfe" targetNamespace="http://schemas.microsoft.com/office/2006/metadata/properties" ma:root="true" ma:fieldsID="5cdd8952e897807d9e195f9f40931002" ns2:_="" ns3:_="">
    <xsd:import namespace="b7412cc2-8c54-4109-8bdb-a0d9e879cd0e"/>
    <xsd:import namespace="ebf7c323-d544-45fe-96ae-e2086885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2cc2-8c54-4109-8bdb-a0d9e879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c323-d544-45fe-96ae-e2086885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FEE83-6D8C-46CB-AB73-2D2DF055681D}">
  <ds:schemaRefs>
    <ds:schemaRef ds:uri="http://schemas.microsoft.com/office/2006/metadata/properties"/>
    <ds:schemaRef ds:uri="http://schemas.microsoft.com/office/infopath/2007/PartnerControls"/>
    <ds:schemaRef ds:uri="b7412cc2-8c54-4109-8bdb-a0d9e879cd0e"/>
  </ds:schemaRefs>
</ds:datastoreItem>
</file>

<file path=customXml/itemProps2.xml><?xml version="1.0" encoding="utf-8"?>
<ds:datastoreItem xmlns:ds="http://schemas.openxmlformats.org/officeDocument/2006/customXml" ds:itemID="{A8B659CA-7A97-4F8C-9D21-6DE8E7F2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2cc2-8c54-4109-8bdb-a0d9e879cd0e"/>
    <ds:schemaRef ds:uri="ebf7c323-d544-45fe-96ae-e2086885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C30F3-58B1-4B1C-B25A-742FFBACC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Balevre</dc:creator>
  <cp:lastModifiedBy>USER</cp:lastModifiedBy>
  <cp:revision>3</cp:revision>
  <dcterms:created xsi:type="dcterms:W3CDTF">2024-03-25T12:22:00Z</dcterms:created>
  <dcterms:modified xsi:type="dcterms:W3CDTF">2024-03-25T12:22:00Z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5561d9c7-138c-4699-88d0-b6fcbd62a0c3</vt:lpwstr>
  </property>
  <property fmtid="{D5CDD505-2E9C-101B-9397-08002B2CF9AE}" pid="3" name="ContentTypeId">
    <vt:lpwstr>0x0101005922D65F7A54174E98A28353DA67A368</vt:lpwstr>
  </property>
</Properties>
</file>