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DB504" w14:textId="77777777" w:rsidR="00C50AFC" w:rsidRDefault="00C50AFC" w:rsidP="00692D5C">
      <w:pPr>
        <w:spacing w:after="0" w:line="480" w:lineRule="auto"/>
        <w:jc w:val="center"/>
        <w:rPr>
          <w:rFonts w:ascii="Times New Roman" w:hAnsi="Times New Roman" w:cs="Times New Roman"/>
          <w:b/>
          <w:sz w:val="24"/>
          <w:szCs w:val="24"/>
        </w:rPr>
      </w:pPr>
    </w:p>
    <w:p w14:paraId="2C96A842" w14:textId="77777777" w:rsidR="00C50AFC" w:rsidRDefault="00C50AFC" w:rsidP="00692D5C">
      <w:pPr>
        <w:spacing w:after="0" w:line="480" w:lineRule="auto"/>
        <w:jc w:val="center"/>
        <w:rPr>
          <w:rFonts w:ascii="Times New Roman" w:hAnsi="Times New Roman" w:cs="Times New Roman"/>
          <w:b/>
          <w:sz w:val="24"/>
          <w:szCs w:val="24"/>
        </w:rPr>
      </w:pPr>
    </w:p>
    <w:p w14:paraId="6528279B" w14:textId="77777777" w:rsidR="00C50AFC" w:rsidRDefault="00C50AFC" w:rsidP="00692D5C">
      <w:pPr>
        <w:spacing w:after="0" w:line="480" w:lineRule="auto"/>
        <w:jc w:val="center"/>
        <w:rPr>
          <w:rFonts w:ascii="Times New Roman" w:hAnsi="Times New Roman" w:cs="Times New Roman"/>
          <w:b/>
          <w:sz w:val="24"/>
          <w:szCs w:val="24"/>
        </w:rPr>
      </w:pPr>
    </w:p>
    <w:p w14:paraId="00F252E1" w14:textId="77777777" w:rsidR="00C50AFC" w:rsidRDefault="00C50AFC" w:rsidP="00692D5C">
      <w:pPr>
        <w:spacing w:after="0" w:line="480" w:lineRule="auto"/>
        <w:jc w:val="center"/>
        <w:rPr>
          <w:rFonts w:ascii="Times New Roman" w:hAnsi="Times New Roman" w:cs="Times New Roman"/>
          <w:b/>
          <w:sz w:val="24"/>
          <w:szCs w:val="24"/>
        </w:rPr>
      </w:pPr>
    </w:p>
    <w:p w14:paraId="325B2840" w14:textId="77777777" w:rsidR="00C50AFC" w:rsidRDefault="00C50AFC" w:rsidP="00692D5C">
      <w:pPr>
        <w:spacing w:after="0" w:line="480" w:lineRule="auto"/>
        <w:jc w:val="center"/>
        <w:rPr>
          <w:rFonts w:ascii="Times New Roman" w:hAnsi="Times New Roman" w:cs="Times New Roman"/>
          <w:b/>
          <w:sz w:val="24"/>
          <w:szCs w:val="24"/>
        </w:rPr>
      </w:pPr>
    </w:p>
    <w:p w14:paraId="711E26CE" w14:textId="77777777" w:rsidR="00C50AFC" w:rsidRDefault="00C50AFC" w:rsidP="00692D5C">
      <w:pPr>
        <w:spacing w:after="0" w:line="480" w:lineRule="auto"/>
        <w:jc w:val="center"/>
        <w:rPr>
          <w:rFonts w:ascii="Times New Roman" w:hAnsi="Times New Roman" w:cs="Times New Roman"/>
          <w:b/>
          <w:sz w:val="24"/>
          <w:szCs w:val="24"/>
        </w:rPr>
      </w:pPr>
    </w:p>
    <w:p w14:paraId="69E92958" w14:textId="77777777" w:rsidR="00C50AFC" w:rsidRDefault="00C50AFC" w:rsidP="00692D5C">
      <w:pPr>
        <w:spacing w:after="0" w:line="480" w:lineRule="auto"/>
        <w:jc w:val="center"/>
        <w:rPr>
          <w:rFonts w:ascii="Times New Roman" w:hAnsi="Times New Roman" w:cs="Times New Roman"/>
          <w:b/>
          <w:sz w:val="24"/>
          <w:szCs w:val="24"/>
        </w:rPr>
      </w:pPr>
    </w:p>
    <w:p w14:paraId="3516584F" w14:textId="77777777" w:rsidR="00C50AFC" w:rsidRDefault="00C50AFC" w:rsidP="00692D5C">
      <w:pPr>
        <w:spacing w:after="0" w:line="480" w:lineRule="auto"/>
        <w:jc w:val="center"/>
        <w:rPr>
          <w:rFonts w:ascii="Times New Roman" w:hAnsi="Times New Roman" w:cs="Times New Roman"/>
          <w:b/>
          <w:sz w:val="24"/>
          <w:szCs w:val="24"/>
        </w:rPr>
      </w:pPr>
    </w:p>
    <w:p w14:paraId="72356DE1" w14:textId="77777777" w:rsidR="00C50AFC" w:rsidRDefault="00C50AFC" w:rsidP="00692D5C">
      <w:pPr>
        <w:spacing w:after="0" w:line="480" w:lineRule="auto"/>
        <w:jc w:val="center"/>
        <w:rPr>
          <w:rFonts w:ascii="Times New Roman" w:hAnsi="Times New Roman" w:cs="Times New Roman"/>
          <w:b/>
          <w:sz w:val="24"/>
          <w:szCs w:val="24"/>
        </w:rPr>
      </w:pPr>
    </w:p>
    <w:p w14:paraId="5AF59CEA" w14:textId="77777777" w:rsidR="00C50AFC" w:rsidRDefault="00C50AFC" w:rsidP="00692D5C">
      <w:pPr>
        <w:spacing w:after="0" w:line="480" w:lineRule="auto"/>
        <w:jc w:val="center"/>
        <w:rPr>
          <w:rFonts w:ascii="Times New Roman" w:hAnsi="Times New Roman" w:cs="Times New Roman"/>
          <w:b/>
          <w:sz w:val="24"/>
          <w:szCs w:val="24"/>
        </w:rPr>
      </w:pPr>
    </w:p>
    <w:p w14:paraId="093EA976" w14:textId="06C5525E" w:rsidR="00692D5C" w:rsidRDefault="00692D5C" w:rsidP="00692D5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Evidence-Based Patient-Centered Care</w:t>
      </w:r>
    </w:p>
    <w:p w14:paraId="50D8BC19" w14:textId="25B4E5AC" w:rsidR="00692D5C" w:rsidRDefault="00692D5C" w:rsidP="00692D5C">
      <w:pPr>
        <w:spacing w:after="0" w:line="480" w:lineRule="auto"/>
        <w:jc w:val="center"/>
        <w:rPr>
          <w:rFonts w:ascii="Times New Roman" w:hAnsi="Times New Roman" w:cs="Times New Roman"/>
          <w:b/>
          <w:sz w:val="24"/>
          <w:szCs w:val="24"/>
        </w:rPr>
      </w:pPr>
    </w:p>
    <w:p w14:paraId="27DBC21D" w14:textId="3494BDA4" w:rsidR="00692D5C" w:rsidRDefault="00692D5C" w:rsidP="00692D5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Name</w:t>
      </w:r>
    </w:p>
    <w:p w14:paraId="493C05C8" w14:textId="40DEC547" w:rsidR="00692D5C" w:rsidRDefault="00692D5C" w:rsidP="00692D5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School Affiliation</w:t>
      </w:r>
    </w:p>
    <w:p w14:paraId="3D431A19" w14:textId="531A5796" w:rsidR="00692D5C" w:rsidRDefault="00692D5C" w:rsidP="00692D5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14:paraId="6E84BDC5" w14:textId="705C6803" w:rsidR="00692D5C" w:rsidRDefault="00692D5C" w:rsidP="00692D5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14:paraId="240F29FC" w14:textId="1B91A2C3" w:rsidR="00692D5C" w:rsidRDefault="00692D5C" w:rsidP="00692D5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 Due</w:t>
      </w:r>
    </w:p>
    <w:p w14:paraId="3D1DDFF1" w14:textId="3E24F6DE" w:rsidR="00C50AFC" w:rsidRDefault="00C50AFC">
      <w:pPr>
        <w:rPr>
          <w:rFonts w:ascii="Times New Roman" w:hAnsi="Times New Roman" w:cs="Times New Roman"/>
          <w:sz w:val="24"/>
          <w:szCs w:val="24"/>
        </w:rPr>
      </w:pPr>
      <w:r>
        <w:rPr>
          <w:rFonts w:ascii="Times New Roman" w:hAnsi="Times New Roman" w:cs="Times New Roman"/>
          <w:sz w:val="24"/>
          <w:szCs w:val="24"/>
        </w:rPr>
        <w:br w:type="page"/>
      </w:r>
    </w:p>
    <w:p w14:paraId="2B1F8614" w14:textId="73678887" w:rsidR="00C50AFC" w:rsidRPr="00692D5C" w:rsidRDefault="00C50AFC" w:rsidP="00692D5C">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lastRenderedPageBreak/>
        <w:t>Evidence-Based Patient-Centered Care</w:t>
      </w:r>
    </w:p>
    <w:p w14:paraId="49E50507" w14:textId="577B6745" w:rsidR="00B10DDB" w:rsidRDefault="00B10DDB" w:rsidP="0066659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One of the Healthy People 2030 objectives is to “reduce the number of diabetes cases diagnosed yearly”</w:t>
      </w:r>
      <w:r w:rsidR="009721A3">
        <w:rPr>
          <w:rFonts w:ascii="Times New Roman" w:hAnsi="Times New Roman" w:cs="Times New Roman"/>
          <w:sz w:val="24"/>
          <w:szCs w:val="24"/>
        </w:rPr>
        <w:t xml:space="preserve"> but data shows</w:t>
      </w:r>
      <w:r>
        <w:rPr>
          <w:rFonts w:ascii="Times New Roman" w:hAnsi="Times New Roman" w:cs="Times New Roman"/>
          <w:sz w:val="24"/>
          <w:szCs w:val="24"/>
        </w:rPr>
        <w:t xml:space="preserve"> that the country has not achieved </w:t>
      </w:r>
      <w:r w:rsidR="009721A3">
        <w:rPr>
          <w:rFonts w:ascii="Times New Roman" w:hAnsi="Times New Roman" w:cs="Times New Roman"/>
          <w:sz w:val="24"/>
          <w:szCs w:val="24"/>
        </w:rPr>
        <w:t>the</w:t>
      </w:r>
      <w:r>
        <w:rPr>
          <w:rFonts w:ascii="Times New Roman" w:hAnsi="Times New Roman" w:cs="Times New Roman"/>
          <w:sz w:val="24"/>
          <w:szCs w:val="24"/>
        </w:rPr>
        <w:t xml:space="preserve"> targeted rate of 4.8 cases per 1,000 adults (</w:t>
      </w:r>
      <w:r w:rsidR="00E2548D">
        <w:rPr>
          <w:rFonts w:ascii="Times New Roman" w:hAnsi="Times New Roman" w:cs="Times New Roman"/>
          <w:sz w:val="24"/>
          <w:szCs w:val="24"/>
        </w:rPr>
        <w:t>Office of Disease Prevention and Health Promotion, 2021</w:t>
      </w:r>
      <w:r>
        <w:rPr>
          <w:rFonts w:ascii="Times New Roman" w:hAnsi="Times New Roman" w:cs="Times New Roman"/>
          <w:sz w:val="24"/>
          <w:szCs w:val="24"/>
        </w:rPr>
        <w:t xml:space="preserve">). Native Americans are disproportionately affected; for example, diabetes being the fourth leading cause of death in the Navajo Nation (Wilson et al., 2022). </w:t>
      </w:r>
      <w:r w:rsidR="009721A3">
        <w:rPr>
          <w:rFonts w:ascii="Times New Roman" w:hAnsi="Times New Roman" w:cs="Times New Roman"/>
          <w:sz w:val="24"/>
          <w:szCs w:val="24"/>
        </w:rPr>
        <w:t>Based on the framework developed by</w:t>
      </w:r>
      <w:r w:rsidR="00E2548D">
        <w:rPr>
          <w:rFonts w:ascii="Times New Roman" w:hAnsi="Times New Roman" w:cs="Times New Roman"/>
          <w:sz w:val="24"/>
          <w:szCs w:val="24"/>
        </w:rPr>
        <w:t xml:space="preserve"> </w:t>
      </w:r>
      <w:proofErr w:type="spellStart"/>
      <w:r w:rsidR="00E2548D">
        <w:rPr>
          <w:rFonts w:ascii="Times New Roman" w:hAnsi="Times New Roman" w:cs="Times New Roman"/>
          <w:sz w:val="24"/>
          <w:szCs w:val="24"/>
        </w:rPr>
        <w:t>Bhawra</w:t>
      </w:r>
      <w:proofErr w:type="spellEnd"/>
      <w:r w:rsidR="00E2548D">
        <w:rPr>
          <w:rFonts w:ascii="Times New Roman" w:hAnsi="Times New Roman" w:cs="Times New Roman"/>
          <w:sz w:val="24"/>
          <w:szCs w:val="24"/>
        </w:rPr>
        <w:t xml:space="preserve"> et al. (2022)</w:t>
      </w:r>
      <w:r w:rsidR="009721A3">
        <w:rPr>
          <w:rFonts w:ascii="Times New Roman" w:hAnsi="Times New Roman" w:cs="Times New Roman"/>
          <w:sz w:val="24"/>
          <w:szCs w:val="24"/>
        </w:rPr>
        <w:t xml:space="preserve">, health literacy is a key priority that should be addressed pertaining to diabetes self-management. The nature of relationships based on cultural identity provide a crucial source of social support for diabetes management (Goins et al., 2022). </w:t>
      </w:r>
      <w:r w:rsidR="00784297">
        <w:rPr>
          <w:rFonts w:ascii="Times New Roman" w:hAnsi="Times New Roman" w:cs="Times New Roman"/>
          <w:sz w:val="24"/>
          <w:szCs w:val="24"/>
        </w:rPr>
        <w:t>T</w:t>
      </w:r>
      <w:r w:rsidR="009721A3">
        <w:rPr>
          <w:rFonts w:ascii="Times New Roman" w:hAnsi="Times New Roman" w:cs="Times New Roman"/>
          <w:sz w:val="24"/>
          <w:szCs w:val="24"/>
        </w:rPr>
        <w:t>he population requires additional supports from the healthcare community to address gaps in diabetes</w:t>
      </w:r>
      <w:r w:rsidR="00E2548D">
        <w:rPr>
          <w:rFonts w:ascii="Times New Roman" w:hAnsi="Times New Roman" w:cs="Times New Roman"/>
          <w:sz w:val="24"/>
          <w:szCs w:val="24"/>
        </w:rPr>
        <w:t xml:space="preserve"> self-management (DSM)</w:t>
      </w:r>
      <w:r w:rsidR="009721A3">
        <w:rPr>
          <w:rFonts w:ascii="Times New Roman" w:hAnsi="Times New Roman" w:cs="Times New Roman"/>
          <w:sz w:val="24"/>
          <w:szCs w:val="24"/>
        </w:rPr>
        <w:t xml:space="preserve"> knowledge</w:t>
      </w:r>
      <w:r w:rsidR="00E2548D">
        <w:rPr>
          <w:rFonts w:ascii="Times New Roman" w:hAnsi="Times New Roman" w:cs="Times New Roman"/>
          <w:sz w:val="24"/>
          <w:szCs w:val="24"/>
        </w:rPr>
        <w:t xml:space="preserve">. </w:t>
      </w:r>
      <w:r w:rsidR="00784297">
        <w:rPr>
          <w:rFonts w:ascii="Times New Roman" w:hAnsi="Times New Roman" w:cs="Times New Roman"/>
          <w:sz w:val="24"/>
          <w:szCs w:val="24"/>
        </w:rPr>
        <w:t>C</w:t>
      </w:r>
      <w:r w:rsidR="00E2548D">
        <w:rPr>
          <w:rFonts w:ascii="Times New Roman" w:hAnsi="Times New Roman" w:cs="Times New Roman"/>
          <w:sz w:val="24"/>
          <w:szCs w:val="24"/>
        </w:rPr>
        <w:t xml:space="preserve">ultural practices </w:t>
      </w:r>
      <w:r w:rsidR="00784297">
        <w:rPr>
          <w:rFonts w:ascii="Times New Roman" w:hAnsi="Times New Roman" w:cs="Times New Roman"/>
          <w:sz w:val="24"/>
          <w:szCs w:val="24"/>
        </w:rPr>
        <w:t>could cause apathy towards</w:t>
      </w:r>
      <w:r w:rsidR="00E2548D">
        <w:rPr>
          <w:rFonts w:ascii="Times New Roman" w:hAnsi="Times New Roman" w:cs="Times New Roman"/>
          <w:sz w:val="24"/>
          <w:szCs w:val="24"/>
        </w:rPr>
        <w:t xml:space="preserve"> healthy behavioral and lifestyle choices (Carlson et al., 2021). However, the strong cultural identity that results in strong social bonds could be leveraged to ensure community engagement in preventive efforts. Achieving the goals could benefit from leveraging access to mobile phones or smartphones for patient engagement in educational programs aimed at enhancing health literacy. </w:t>
      </w:r>
    </w:p>
    <w:p w14:paraId="1570C32D" w14:textId="3785F587" w:rsidR="00676B3F" w:rsidRDefault="009F79DA" w:rsidP="0066659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w:t>
      </w:r>
      <w:r w:rsidR="00F43D6D">
        <w:rPr>
          <w:rFonts w:ascii="Times New Roman" w:hAnsi="Times New Roman" w:cs="Times New Roman"/>
          <w:sz w:val="24"/>
          <w:szCs w:val="24"/>
        </w:rPr>
        <w:t xml:space="preserve"> whole-community approach </w:t>
      </w:r>
      <w:r w:rsidR="00343319">
        <w:rPr>
          <w:rFonts w:ascii="Times New Roman" w:hAnsi="Times New Roman" w:cs="Times New Roman"/>
          <w:sz w:val="24"/>
          <w:szCs w:val="24"/>
        </w:rPr>
        <w:t xml:space="preserve">could drive the implementation of appropriate strategies to address </w:t>
      </w:r>
      <w:r w:rsidR="00F43D6D">
        <w:rPr>
          <w:rFonts w:ascii="Times New Roman" w:hAnsi="Times New Roman" w:cs="Times New Roman"/>
          <w:sz w:val="24"/>
          <w:szCs w:val="24"/>
        </w:rPr>
        <w:t>health, economic, and cultural needs</w:t>
      </w:r>
      <w:r w:rsidR="00F43D6D">
        <w:rPr>
          <w:rFonts w:ascii="Times New Roman" w:hAnsi="Times New Roman" w:cs="Times New Roman"/>
          <w:sz w:val="24"/>
          <w:szCs w:val="24"/>
        </w:rPr>
        <w:t>. Current evidence reveals community participation as essential in determining health, economic, and cultural needs and priorities and addressing access issues (</w:t>
      </w:r>
      <w:proofErr w:type="spellStart"/>
      <w:r w:rsidR="00E2548D">
        <w:rPr>
          <w:rFonts w:ascii="Times New Roman" w:hAnsi="Times New Roman" w:cs="Times New Roman"/>
          <w:sz w:val="24"/>
          <w:szCs w:val="24"/>
        </w:rPr>
        <w:t>Bhawra</w:t>
      </w:r>
      <w:proofErr w:type="spellEnd"/>
      <w:r w:rsidR="00E2548D">
        <w:rPr>
          <w:rFonts w:ascii="Times New Roman" w:hAnsi="Times New Roman" w:cs="Times New Roman"/>
          <w:sz w:val="24"/>
          <w:szCs w:val="24"/>
        </w:rPr>
        <w:t xml:space="preserve"> et al., 2022</w:t>
      </w:r>
      <w:r w:rsidR="00F43D6D">
        <w:rPr>
          <w:rFonts w:ascii="Times New Roman" w:hAnsi="Times New Roman" w:cs="Times New Roman"/>
          <w:sz w:val="24"/>
          <w:szCs w:val="24"/>
        </w:rPr>
        <w:t xml:space="preserve">). </w:t>
      </w:r>
      <w:r w:rsidR="00333A87">
        <w:rPr>
          <w:rFonts w:ascii="Times New Roman" w:hAnsi="Times New Roman" w:cs="Times New Roman"/>
          <w:sz w:val="24"/>
          <w:szCs w:val="24"/>
        </w:rPr>
        <w:t>The participatory approach promotes the effectiveness of health programs and produces positive effects on social capital that can enhance community empowerment and reduce inequalities (</w:t>
      </w:r>
      <w:r w:rsidR="00DF4B34">
        <w:rPr>
          <w:rFonts w:ascii="Times New Roman" w:hAnsi="Times New Roman" w:cs="Times New Roman"/>
          <w:sz w:val="24"/>
          <w:szCs w:val="24"/>
        </w:rPr>
        <w:t>Haldane et al., 2019</w:t>
      </w:r>
      <w:r w:rsidR="00333A87">
        <w:rPr>
          <w:rFonts w:ascii="Times New Roman" w:hAnsi="Times New Roman" w:cs="Times New Roman"/>
          <w:sz w:val="24"/>
          <w:szCs w:val="24"/>
        </w:rPr>
        <w:t xml:space="preserve">). </w:t>
      </w:r>
      <w:r w:rsidR="00676B3F">
        <w:rPr>
          <w:rFonts w:ascii="Times New Roman" w:hAnsi="Times New Roman" w:cs="Times New Roman"/>
          <w:sz w:val="24"/>
          <w:szCs w:val="24"/>
        </w:rPr>
        <w:t>As partners, community members contribute their expertise in enhancing the understanding a specific phenomenon and integrating knowledge to the benefit of the community (</w:t>
      </w:r>
      <w:r w:rsidR="00DF4B34" w:rsidRPr="00DF4B34">
        <w:rPr>
          <w:rFonts w:ascii="Times New Roman" w:hAnsi="Times New Roman" w:cs="Times New Roman"/>
          <w:color w:val="212121"/>
          <w:sz w:val="24"/>
          <w:szCs w:val="24"/>
          <w:shd w:val="clear" w:color="auto" w:fill="FFFFFF"/>
        </w:rPr>
        <w:t>Morales-Garzón</w:t>
      </w:r>
      <w:r w:rsidR="00DF4B34">
        <w:rPr>
          <w:rFonts w:ascii="Times New Roman" w:hAnsi="Times New Roman" w:cs="Times New Roman"/>
          <w:color w:val="212121"/>
          <w:sz w:val="24"/>
          <w:szCs w:val="24"/>
          <w:shd w:val="clear" w:color="auto" w:fill="FFFFFF"/>
        </w:rPr>
        <w:t xml:space="preserve"> et al., 2023</w:t>
      </w:r>
      <w:r w:rsidR="00676B3F" w:rsidRPr="00DF4B34">
        <w:rPr>
          <w:rFonts w:ascii="Times New Roman" w:hAnsi="Times New Roman" w:cs="Times New Roman"/>
          <w:sz w:val="24"/>
          <w:szCs w:val="24"/>
        </w:rPr>
        <w:t>). Overall</w:t>
      </w:r>
      <w:r w:rsidR="00676B3F">
        <w:rPr>
          <w:rFonts w:ascii="Times New Roman" w:hAnsi="Times New Roman" w:cs="Times New Roman"/>
          <w:sz w:val="24"/>
          <w:szCs w:val="24"/>
        </w:rPr>
        <w:t xml:space="preserve">, addressing </w:t>
      </w:r>
      <w:r w:rsidR="00676B3F">
        <w:rPr>
          <w:rFonts w:ascii="Times New Roman" w:hAnsi="Times New Roman" w:cs="Times New Roman"/>
          <w:sz w:val="24"/>
          <w:szCs w:val="24"/>
        </w:rPr>
        <w:lastRenderedPageBreak/>
        <w:t xml:space="preserve">patient engagement is essential because it could facilitate the identification of social determinant risk factors leading to effective interventions addressing health, economic, and cultural needs. </w:t>
      </w:r>
    </w:p>
    <w:p w14:paraId="187B4FF9" w14:textId="34359876" w:rsidR="00676B3F" w:rsidRDefault="00676B3F" w:rsidP="00343319">
      <w:pPr>
        <w:spacing w:after="0" w:line="480" w:lineRule="auto"/>
        <w:ind w:firstLine="720"/>
        <w:rPr>
          <w:rFonts w:ascii="Times New Roman" w:hAnsi="Times New Roman" w:cs="Times New Roman"/>
          <w:sz w:val="24"/>
          <w:szCs w:val="24"/>
        </w:rPr>
      </w:pPr>
      <w:bookmarkStart w:id="0" w:name="_GoBack"/>
      <w:bookmarkEnd w:id="0"/>
      <w:r>
        <w:rPr>
          <w:rFonts w:ascii="Times New Roman" w:hAnsi="Times New Roman" w:cs="Times New Roman"/>
          <w:sz w:val="24"/>
          <w:szCs w:val="24"/>
        </w:rPr>
        <w:t>As noted by</w:t>
      </w:r>
      <w:r w:rsidR="00DF4B34">
        <w:rPr>
          <w:rFonts w:ascii="Times New Roman" w:hAnsi="Times New Roman" w:cs="Times New Roman"/>
          <w:sz w:val="24"/>
          <w:szCs w:val="24"/>
        </w:rPr>
        <w:t xml:space="preserve"> </w:t>
      </w:r>
      <w:proofErr w:type="spellStart"/>
      <w:r w:rsidR="00DF4B34">
        <w:rPr>
          <w:rFonts w:ascii="Times New Roman" w:hAnsi="Times New Roman" w:cs="Times New Roman"/>
          <w:sz w:val="24"/>
          <w:szCs w:val="24"/>
        </w:rPr>
        <w:t>Marzban</w:t>
      </w:r>
      <w:proofErr w:type="spellEnd"/>
      <w:r w:rsidR="00DF4B34">
        <w:rPr>
          <w:rFonts w:ascii="Times New Roman" w:hAnsi="Times New Roman" w:cs="Times New Roman"/>
          <w:sz w:val="24"/>
          <w:szCs w:val="24"/>
        </w:rPr>
        <w:t xml:space="preserve"> et al. (2022)</w:t>
      </w:r>
      <w:r>
        <w:rPr>
          <w:rFonts w:ascii="Times New Roman" w:hAnsi="Times New Roman" w:cs="Times New Roman"/>
          <w:sz w:val="24"/>
          <w:szCs w:val="24"/>
        </w:rPr>
        <w:t>, engaging patients in their care increases responsibility and motivates them to take control over different aspects of their lives.</w:t>
      </w:r>
      <w:r w:rsidR="00343319">
        <w:rPr>
          <w:rFonts w:ascii="Times New Roman" w:hAnsi="Times New Roman" w:cs="Times New Roman"/>
          <w:sz w:val="24"/>
          <w:szCs w:val="24"/>
        </w:rPr>
        <w:t xml:space="preserve"> Treating patients as active partners </w:t>
      </w:r>
      <w:r w:rsidR="00666592">
        <w:rPr>
          <w:rFonts w:ascii="Times New Roman" w:hAnsi="Times New Roman" w:cs="Times New Roman"/>
          <w:sz w:val="24"/>
          <w:szCs w:val="24"/>
        </w:rPr>
        <w:t>empowers them for greater involvement in the management of their diseases through shared decision-making processes. Consequently, this drives cost reduction, effective resource utilization, and satisfaction with care (</w:t>
      </w:r>
      <w:r w:rsidR="00DF4B34">
        <w:rPr>
          <w:rFonts w:ascii="Times New Roman" w:hAnsi="Times New Roman" w:cs="Times New Roman"/>
          <w:sz w:val="24"/>
          <w:szCs w:val="24"/>
        </w:rPr>
        <w:t>Hickmann et al., 2022</w:t>
      </w:r>
      <w:r w:rsidR="00666592">
        <w:rPr>
          <w:rFonts w:ascii="Times New Roman" w:hAnsi="Times New Roman" w:cs="Times New Roman"/>
          <w:sz w:val="24"/>
          <w:szCs w:val="24"/>
        </w:rPr>
        <w:t>). Evidence also shows that patient engagement could improve the quality of care and enable the identification of new approaches to care delivery. In addition, it has been associated with improved adherence to treatment and enhanced self-management of chronic diseases (</w:t>
      </w:r>
      <w:proofErr w:type="spellStart"/>
      <w:r w:rsidR="00DF4B34">
        <w:rPr>
          <w:rFonts w:ascii="Times New Roman" w:hAnsi="Times New Roman" w:cs="Times New Roman"/>
          <w:sz w:val="24"/>
          <w:szCs w:val="24"/>
        </w:rPr>
        <w:t>Marzban</w:t>
      </w:r>
      <w:proofErr w:type="spellEnd"/>
      <w:r w:rsidR="00DF4B34">
        <w:rPr>
          <w:rFonts w:ascii="Times New Roman" w:hAnsi="Times New Roman" w:cs="Times New Roman"/>
          <w:sz w:val="24"/>
          <w:szCs w:val="24"/>
        </w:rPr>
        <w:t xml:space="preserve"> et al., 2022</w:t>
      </w:r>
      <w:r w:rsidR="00666592">
        <w:rPr>
          <w:rFonts w:ascii="Times New Roman" w:hAnsi="Times New Roman" w:cs="Times New Roman"/>
          <w:sz w:val="24"/>
          <w:szCs w:val="24"/>
        </w:rPr>
        <w:t>). Consequently, this can enable the implementation of tailored interventions that addressing specific patient needs and preferences, consistent with the principles of person-centered care.</w:t>
      </w:r>
    </w:p>
    <w:p w14:paraId="60247B9D" w14:textId="1B4BBA16" w:rsidR="00666592" w:rsidRDefault="004E1012" w:rsidP="0034331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Incorporating information and communication technology tools could foster engagement and improve health literacy among Native Americans in the management of chronic health conditions. </w:t>
      </w:r>
      <w:r w:rsidR="00A02087">
        <w:rPr>
          <w:rFonts w:ascii="Times New Roman" w:hAnsi="Times New Roman" w:cs="Times New Roman"/>
          <w:sz w:val="24"/>
          <w:szCs w:val="24"/>
        </w:rPr>
        <w:t xml:space="preserve">ICT tools provide </w:t>
      </w:r>
      <w:r w:rsidR="003334F4">
        <w:rPr>
          <w:rFonts w:ascii="Times New Roman" w:hAnsi="Times New Roman" w:cs="Times New Roman"/>
          <w:sz w:val="24"/>
          <w:szCs w:val="24"/>
        </w:rPr>
        <w:t>convenient and easy access to health-related information and personalized interventions that could empower patients to participate in their healthcare journey actively. Pertaining to improving health literacy, digital tools could support the implementation of patient education interventions, which could also drive successful self-management and continuous disease monitoring (</w:t>
      </w:r>
      <w:r w:rsidR="00692D5C">
        <w:rPr>
          <w:rFonts w:ascii="Times New Roman" w:hAnsi="Times New Roman" w:cs="Times New Roman"/>
          <w:sz w:val="24"/>
          <w:szCs w:val="24"/>
        </w:rPr>
        <w:t>Chen et al., 2022</w:t>
      </w:r>
      <w:r w:rsidR="003334F4">
        <w:rPr>
          <w:rFonts w:ascii="Times New Roman" w:hAnsi="Times New Roman" w:cs="Times New Roman"/>
          <w:sz w:val="24"/>
          <w:szCs w:val="24"/>
        </w:rPr>
        <w:t xml:space="preserve">). Indeed, ICT tools such as telehealth platforms have successfully been used in practice </w:t>
      </w:r>
      <w:r>
        <w:rPr>
          <w:rFonts w:ascii="Times New Roman" w:hAnsi="Times New Roman" w:cs="Times New Roman"/>
          <w:sz w:val="24"/>
          <w:szCs w:val="24"/>
        </w:rPr>
        <w:t xml:space="preserve">in educating the population about different health problems and approaches to disease self-management. Indeed, </w:t>
      </w:r>
      <w:r w:rsidR="00692D5C">
        <w:rPr>
          <w:rFonts w:ascii="Times New Roman" w:hAnsi="Times New Roman" w:cs="Times New Roman"/>
          <w:sz w:val="24"/>
          <w:szCs w:val="24"/>
        </w:rPr>
        <w:t xml:space="preserve">Whitehouse et al. (2020) </w:t>
      </w:r>
      <w:r>
        <w:rPr>
          <w:rFonts w:ascii="Times New Roman" w:hAnsi="Times New Roman" w:cs="Times New Roman"/>
          <w:sz w:val="24"/>
          <w:szCs w:val="24"/>
        </w:rPr>
        <w:t>found</w:t>
      </w:r>
      <w:r w:rsidR="00A02087">
        <w:rPr>
          <w:rFonts w:ascii="Times New Roman" w:hAnsi="Times New Roman" w:cs="Times New Roman"/>
          <w:sz w:val="24"/>
          <w:szCs w:val="24"/>
        </w:rPr>
        <w:t xml:space="preserve"> a positive association between</w:t>
      </w:r>
      <w:r>
        <w:rPr>
          <w:rFonts w:ascii="Times New Roman" w:hAnsi="Times New Roman" w:cs="Times New Roman"/>
          <w:sz w:val="24"/>
          <w:szCs w:val="24"/>
        </w:rPr>
        <w:t xml:space="preserve"> improvements in health literacy achieved from</w:t>
      </w:r>
      <w:r w:rsidR="00A02087">
        <w:rPr>
          <w:rFonts w:ascii="Times New Roman" w:hAnsi="Times New Roman" w:cs="Times New Roman"/>
          <w:sz w:val="24"/>
          <w:szCs w:val="24"/>
        </w:rPr>
        <w:t xml:space="preserve"> a</w:t>
      </w:r>
      <w:r>
        <w:rPr>
          <w:rFonts w:ascii="Times New Roman" w:hAnsi="Times New Roman" w:cs="Times New Roman"/>
          <w:sz w:val="24"/>
          <w:szCs w:val="24"/>
        </w:rPr>
        <w:t xml:space="preserve"> telehealth-delivered </w:t>
      </w:r>
      <w:r w:rsidR="00A02087">
        <w:rPr>
          <w:rFonts w:ascii="Times New Roman" w:hAnsi="Times New Roman" w:cs="Times New Roman"/>
          <w:sz w:val="24"/>
          <w:szCs w:val="24"/>
        </w:rPr>
        <w:t xml:space="preserve">diabetes self-management education and support (DSMES) program </w:t>
      </w:r>
      <w:r>
        <w:rPr>
          <w:rFonts w:ascii="Times New Roman" w:hAnsi="Times New Roman" w:cs="Times New Roman"/>
          <w:sz w:val="24"/>
          <w:szCs w:val="24"/>
        </w:rPr>
        <w:t xml:space="preserve">education </w:t>
      </w:r>
      <w:r w:rsidR="00A02087">
        <w:rPr>
          <w:rFonts w:ascii="Times New Roman" w:hAnsi="Times New Roman" w:cs="Times New Roman"/>
          <w:sz w:val="24"/>
          <w:szCs w:val="24"/>
        </w:rPr>
        <w:t xml:space="preserve">and </w:t>
      </w:r>
      <w:r w:rsidR="00A02087">
        <w:rPr>
          <w:rFonts w:ascii="Times New Roman" w:hAnsi="Times New Roman" w:cs="Times New Roman"/>
          <w:sz w:val="24"/>
          <w:szCs w:val="24"/>
        </w:rPr>
        <w:lastRenderedPageBreak/>
        <w:t xml:space="preserve">glycemic control among older adults. </w:t>
      </w:r>
      <w:r w:rsidR="00E47FD7">
        <w:rPr>
          <w:rFonts w:ascii="Times New Roman" w:hAnsi="Times New Roman" w:cs="Times New Roman"/>
          <w:sz w:val="24"/>
          <w:szCs w:val="24"/>
        </w:rPr>
        <w:t>However, healthcare professionals should consider factors such as the existence of virtual care infrastructure and digital literacy when implementing ICT to improve health literacy (</w:t>
      </w:r>
      <w:r w:rsidR="009E3C54">
        <w:rPr>
          <w:rFonts w:ascii="Times New Roman" w:hAnsi="Times New Roman" w:cs="Times New Roman"/>
          <w:sz w:val="24"/>
          <w:szCs w:val="24"/>
        </w:rPr>
        <w:t>Fitzpatrick et al., 2023</w:t>
      </w:r>
      <w:r w:rsidR="00E47FD7">
        <w:rPr>
          <w:rFonts w:ascii="Times New Roman" w:hAnsi="Times New Roman" w:cs="Times New Roman"/>
          <w:sz w:val="24"/>
          <w:szCs w:val="24"/>
        </w:rPr>
        <w:t xml:space="preserve">). In addition, the implementation should prioritize cultural needs and address relationality within the context of implementation. </w:t>
      </w:r>
    </w:p>
    <w:p w14:paraId="5DE51CCA" w14:textId="66BC6D78" w:rsidR="00E47FD7" w:rsidRDefault="009E3C54" w:rsidP="0034331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Enhancing literacy among Native Americans through technology could benefit from a range of health care technology modalities. According to </w:t>
      </w:r>
      <w:proofErr w:type="spellStart"/>
      <w:r>
        <w:rPr>
          <w:rFonts w:ascii="Times New Roman" w:hAnsi="Times New Roman" w:cs="Times New Roman"/>
          <w:sz w:val="24"/>
          <w:szCs w:val="24"/>
        </w:rPr>
        <w:t>Kuwabara</w:t>
      </w:r>
      <w:proofErr w:type="spellEnd"/>
      <w:r>
        <w:rPr>
          <w:rFonts w:ascii="Times New Roman" w:hAnsi="Times New Roman" w:cs="Times New Roman"/>
          <w:sz w:val="24"/>
          <w:szCs w:val="24"/>
        </w:rPr>
        <w:t xml:space="preserve"> et al. (2019), some of the modalities include telehealth, telemedicine, mobile health, and health information technologies embedded in electronic health records</w:t>
      </w:r>
      <w:r w:rsidR="00CC03C6">
        <w:rPr>
          <w:rFonts w:ascii="Times New Roman" w:hAnsi="Times New Roman" w:cs="Times New Roman"/>
          <w:sz w:val="24"/>
          <w:szCs w:val="24"/>
        </w:rPr>
        <w:t>, among others</w:t>
      </w:r>
      <w:r>
        <w:rPr>
          <w:rFonts w:ascii="Times New Roman" w:hAnsi="Times New Roman" w:cs="Times New Roman"/>
          <w:sz w:val="24"/>
          <w:szCs w:val="24"/>
        </w:rPr>
        <w:t xml:space="preserve">. </w:t>
      </w:r>
      <w:r w:rsidR="00CC03C6">
        <w:rPr>
          <w:rFonts w:ascii="Times New Roman" w:hAnsi="Times New Roman" w:cs="Times New Roman"/>
          <w:sz w:val="24"/>
          <w:szCs w:val="24"/>
        </w:rPr>
        <w:t>The modalities could improve consumer health literacy in different ways. For example, eHealth modalities such as email consultations, telemonitoring, and tele- or video-consultations could be used in community outreach and delivery of clinical guidelines. The modalities could help healthcare professionals in empowering patients with health-related information for proactive engagement in managing their health (</w:t>
      </w:r>
      <w:proofErr w:type="spellStart"/>
      <w:r w:rsidR="00CC03C6">
        <w:rPr>
          <w:rFonts w:ascii="Times New Roman" w:hAnsi="Times New Roman" w:cs="Times New Roman"/>
          <w:sz w:val="24"/>
          <w:szCs w:val="24"/>
        </w:rPr>
        <w:t>Erku</w:t>
      </w:r>
      <w:proofErr w:type="spellEnd"/>
      <w:r w:rsidR="00CC03C6">
        <w:rPr>
          <w:rFonts w:ascii="Times New Roman" w:hAnsi="Times New Roman" w:cs="Times New Roman"/>
          <w:sz w:val="24"/>
          <w:szCs w:val="24"/>
        </w:rPr>
        <w:t xml:space="preserve"> et al., 2023). </w:t>
      </w:r>
      <w:r w:rsidR="00DA6507">
        <w:rPr>
          <w:rFonts w:ascii="Times New Roman" w:hAnsi="Times New Roman" w:cs="Times New Roman"/>
          <w:sz w:val="24"/>
          <w:szCs w:val="24"/>
        </w:rPr>
        <w:t xml:space="preserve">The modalities offer new opportunities for patient education and facilitation of behavior change essential to reducing the burden of chronic diseases such as diabetes. </w:t>
      </w:r>
    </w:p>
    <w:p w14:paraId="65C07121" w14:textId="1C94ABD5" w:rsidR="00DA6507" w:rsidRDefault="00DA6507" w:rsidP="0034331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With the rapid technological advancements, mobile applications and telehealth features have become a core component of health promotion, disease prevention, and overall care delivery.</w:t>
      </w:r>
      <w:r w:rsidR="00185E9A">
        <w:rPr>
          <w:rFonts w:ascii="Times New Roman" w:hAnsi="Times New Roman" w:cs="Times New Roman"/>
          <w:sz w:val="24"/>
          <w:szCs w:val="24"/>
        </w:rPr>
        <w:t xml:space="preserve"> Mobile apps would be an ideal solution in addressing the burden of diabetes among Native Americans.</w:t>
      </w:r>
      <w:r>
        <w:rPr>
          <w:rFonts w:ascii="Times New Roman" w:hAnsi="Times New Roman" w:cs="Times New Roman"/>
          <w:sz w:val="24"/>
          <w:szCs w:val="24"/>
        </w:rPr>
        <w:t xml:space="preserve"> According to </w:t>
      </w:r>
      <w:proofErr w:type="spellStart"/>
      <w:r>
        <w:rPr>
          <w:rFonts w:ascii="Times New Roman" w:hAnsi="Times New Roman" w:cs="Times New Roman"/>
          <w:sz w:val="24"/>
          <w:szCs w:val="24"/>
        </w:rPr>
        <w:t>Al</w:t>
      </w:r>
      <w:r w:rsidR="00CF0EB3">
        <w:rPr>
          <w:rFonts w:ascii="Times New Roman" w:hAnsi="Times New Roman" w:cs="Times New Roman"/>
          <w:sz w:val="24"/>
          <w:szCs w:val="24"/>
        </w:rPr>
        <w:t>aslawi</w:t>
      </w:r>
      <w:proofErr w:type="spellEnd"/>
      <w:r w:rsidR="00CF0EB3">
        <w:rPr>
          <w:rFonts w:ascii="Times New Roman" w:hAnsi="Times New Roman" w:cs="Times New Roman"/>
          <w:sz w:val="24"/>
          <w:szCs w:val="24"/>
        </w:rPr>
        <w:t xml:space="preserve"> et al. (2022)</w:t>
      </w:r>
      <w:r>
        <w:rPr>
          <w:rFonts w:ascii="Times New Roman" w:hAnsi="Times New Roman" w:cs="Times New Roman"/>
          <w:sz w:val="24"/>
          <w:szCs w:val="24"/>
        </w:rPr>
        <w:t>, mobile apps are convenient in diabetes self-management because they facilitate patient education, data entry, evaluation of trends, and exchange of data with providers.</w:t>
      </w:r>
      <w:r w:rsidR="00CF0EB3">
        <w:rPr>
          <w:rFonts w:ascii="Times New Roman" w:hAnsi="Times New Roman" w:cs="Times New Roman"/>
          <w:sz w:val="24"/>
          <w:szCs w:val="24"/>
        </w:rPr>
        <w:t xml:space="preserve"> Lee and Kim (2023) identified several mobile apps that could benefit patients with diabetes, including </w:t>
      </w:r>
      <w:proofErr w:type="spellStart"/>
      <w:r w:rsidR="00CF0EB3">
        <w:rPr>
          <w:rFonts w:ascii="Times New Roman" w:hAnsi="Times New Roman" w:cs="Times New Roman"/>
          <w:sz w:val="24"/>
          <w:szCs w:val="24"/>
        </w:rPr>
        <w:t>Gamelet</w:t>
      </w:r>
      <w:proofErr w:type="spellEnd"/>
      <w:r w:rsidR="00CF0EB3">
        <w:rPr>
          <w:rFonts w:ascii="Times New Roman" w:hAnsi="Times New Roman" w:cs="Times New Roman"/>
          <w:sz w:val="24"/>
          <w:szCs w:val="24"/>
        </w:rPr>
        <w:t xml:space="preserve">, DIABETYAR, Switch, </w:t>
      </w:r>
      <w:proofErr w:type="spellStart"/>
      <w:r w:rsidR="00CF0EB3">
        <w:rPr>
          <w:rFonts w:ascii="Times New Roman" w:hAnsi="Times New Roman" w:cs="Times New Roman"/>
          <w:sz w:val="24"/>
          <w:szCs w:val="24"/>
        </w:rPr>
        <w:t>Medisafe</w:t>
      </w:r>
      <w:proofErr w:type="spellEnd"/>
      <w:r w:rsidR="00CF0EB3">
        <w:rPr>
          <w:rFonts w:ascii="Times New Roman" w:hAnsi="Times New Roman" w:cs="Times New Roman"/>
          <w:sz w:val="24"/>
          <w:szCs w:val="24"/>
        </w:rPr>
        <w:t xml:space="preserve">, </w:t>
      </w:r>
      <w:proofErr w:type="spellStart"/>
      <w:r w:rsidR="00CF0EB3">
        <w:rPr>
          <w:rFonts w:ascii="Times New Roman" w:hAnsi="Times New Roman" w:cs="Times New Roman"/>
          <w:sz w:val="24"/>
          <w:szCs w:val="24"/>
        </w:rPr>
        <w:t>BetaMe</w:t>
      </w:r>
      <w:proofErr w:type="spellEnd"/>
      <w:r w:rsidR="00CF0EB3">
        <w:rPr>
          <w:rFonts w:ascii="Times New Roman" w:hAnsi="Times New Roman" w:cs="Times New Roman"/>
          <w:sz w:val="24"/>
          <w:szCs w:val="24"/>
        </w:rPr>
        <w:t xml:space="preserve">, Social Diabetes App (SDA), My Care Hub (MCH) and BlueStar mobile. While their functionalities differ, the mobile apps accomplish purposes such as recording and monitoring of </w:t>
      </w:r>
      <w:r w:rsidR="00CF0EB3">
        <w:rPr>
          <w:rFonts w:ascii="Times New Roman" w:hAnsi="Times New Roman" w:cs="Times New Roman"/>
          <w:sz w:val="24"/>
          <w:szCs w:val="24"/>
        </w:rPr>
        <w:lastRenderedPageBreak/>
        <w:t>diet, medication, and diet, delivery of patient education, tracking goals, and communication between patients and their providers. Besides, healthcare professionals could use telehealth features such as web-based portals and virtual visits in implementing interventions for individuals with diabetes. As established by Anderson et al. (2022), these features have positive effects on diabetes self-management, which could potentially reduce access barriers that exacerbate the burden of the disease among Native Americans.</w:t>
      </w:r>
      <w:r w:rsidR="00185E9A">
        <w:rPr>
          <w:rFonts w:ascii="Times New Roman" w:hAnsi="Times New Roman" w:cs="Times New Roman"/>
          <w:sz w:val="24"/>
          <w:szCs w:val="24"/>
        </w:rPr>
        <w:t xml:space="preserve"> </w:t>
      </w:r>
    </w:p>
    <w:p w14:paraId="0E90DB4E" w14:textId="7C7842F2" w:rsidR="00185E9A" w:rsidRDefault="00185E9A" w:rsidP="0034331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Mobile apps</w:t>
      </w:r>
      <w:r w:rsidR="00CC3A3C">
        <w:rPr>
          <w:rFonts w:ascii="Times New Roman" w:hAnsi="Times New Roman" w:cs="Times New Roman"/>
          <w:sz w:val="24"/>
          <w:szCs w:val="24"/>
        </w:rPr>
        <w:t xml:space="preserve"> and telehealth modalities such as continuous glucose monitoring (CGM) system</w:t>
      </w:r>
      <w:r>
        <w:rPr>
          <w:rFonts w:ascii="Times New Roman" w:hAnsi="Times New Roman" w:cs="Times New Roman"/>
          <w:sz w:val="24"/>
          <w:szCs w:val="24"/>
        </w:rPr>
        <w:t xml:space="preserve"> provide an apt opportunity for the achievement of the desired outcomes and reduction of inequalities associated with access barriers among Native Americans. Notably, most, if not all, Americans own a smartphone, which provides a low-cost and accessible resource for targeted interventions related to diabetes management. </w:t>
      </w:r>
      <w:r w:rsidR="00007716">
        <w:rPr>
          <w:rFonts w:ascii="Times New Roman" w:hAnsi="Times New Roman" w:cs="Times New Roman"/>
          <w:sz w:val="24"/>
          <w:szCs w:val="24"/>
        </w:rPr>
        <w:t xml:space="preserve">As supported by Luo and White-Means (2021), patients from this population could select from a range of individualized apps to benefit from patient-driven management interventions. In addition, mobile apps are relevant in diabetes management because of they contain documentation and analysis functionalities that enable the recording and analysis of different parameters, including eating habits, physical activity, blood glucose, and adherence to medication (Lee and Kim, 2024). </w:t>
      </w:r>
      <w:r w:rsidR="00CC3A3C">
        <w:rPr>
          <w:rFonts w:ascii="Times New Roman" w:hAnsi="Times New Roman" w:cs="Times New Roman"/>
          <w:sz w:val="24"/>
          <w:szCs w:val="24"/>
        </w:rPr>
        <w:t xml:space="preserve">Similarly, telehealth-delivered diabetes care with a CGM system has been shown relevant in enhancing patient outcomes (de </w:t>
      </w:r>
      <w:proofErr w:type="spellStart"/>
      <w:r w:rsidR="00CC3A3C">
        <w:rPr>
          <w:rFonts w:ascii="Times New Roman" w:hAnsi="Times New Roman" w:cs="Times New Roman"/>
          <w:sz w:val="24"/>
          <w:szCs w:val="24"/>
        </w:rPr>
        <w:t>Kreutzenberg</w:t>
      </w:r>
      <w:proofErr w:type="spellEnd"/>
      <w:r w:rsidR="00CC3A3C">
        <w:rPr>
          <w:rFonts w:ascii="Times New Roman" w:hAnsi="Times New Roman" w:cs="Times New Roman"/>
          <w:sz w:val="24"/>
          <w:szCs w:val="24"/>
        </w:rPr>
        <w:t>, 2022). The devices would enable patients to share and discuss their blood glucose metrics with providers, which could facilitate tailoring of interventions according to individual needs, preferences, and circumstances. While the modalities prove efficient, their use requires the consideration of ethical, cultural, and inclusivity issues. Using mobile apps requires adequate guarantees about the security and confidentiality of the data shared with healthcare professionals</w:t>
      </w:r>
      <w:r w:rsidR="00B10DDB">
        <w:rPr>
          <w:rFonts w:ascii="Times New Roman" w:hAnsi="Times New Roman" w:cs="Times New Roman"/>
          <w:sz w:val="24"/>
          <w:szCs w:val="24"/>
        </w:rPr>
        <w:t xml:space="preserve"> (Stake &amp; Heinrichs, 2022). Most mobile apps for diabetes management are easy to use, which </w:t>
      </w:r>
      <w:r w:rsidR="00B10DDB">
        <w:rPr>
          <w:rFonts w:ascii="Times New Roman" w:hAnsi="Times New Roman" w:cs="Times New Roman"/>
          <w:sz w:val="24"/>
          <w:szCs w:val="24"/>
        </w:rPr>
        <w:lastRenderedPageBreak/>
        <w:t>enhances their relevance pertinent to inclusivity (</w:t>
      </w:r>
      <w:proofErr w:type="spellStart"/>
      <w:r w:rsidR="00B10DDB">
        <w:rPr>
          <w:rFonts w:ascii="Times New Roman" w:hAnsi="Times New Roman" w:cs="Times New Roman"/>
          <w:sz w:val="24"/>
          <w:szCs w:val="24"/>
        </w:rPr>
        <w:t>Bonet</w:t>
      </w:r>
      <w:proofErr w:type="spellEnd"/>
      <w:r w:rsidR="00B10DDB">
        <w:rPr>
          <w:rFonts w:ascii="Times New Roman" w:hAnsi="Times New Roman" w:cs="Times New Roman"/>
          <w:sz w:val="24"/>
          <w:szCs w:val="24"/>
        </w:rPr>
        <w:t xml:space="preserve"> </w:t>
      </w:r>
      <w:proofErr w:type="spellStart"/>
      <w:r w:rsidR="00B10DDB">
        <w:rPr>
          <w:rFonts w:ascii="Times New Roman" w:hAnsi="Times New Roman" w:cs="Times New Roman"/>
          <w:sz w:val="24"/>
          <w:szCs w:val="24"/>
        </w:rPr>
        <w:t>Olivencia</w:t>
      </w:r>
      <w:proofErr w:type="spellEnd"/>
      <w:r w:rsidR="00B10DDB">
        <w:rPr>
          <w:rFonts w:ascii="Times New Roman" w:hAnsi="Times New Roman" w:cs="Times New Roman"/>
          <w:sz w:val="24"/>
          <w:szCs w:val="24"/>
        </w:rPr>
        <w:t xml:space="preserve"> et al., 2021). Cultural appropriateness of the app could be ensured through the selection of an app that relays culturally tailored diabetes information. </w:t>
      </w:r>
    </w:p>
    <w:p w14:paraId="2CAD2C5C" w14:textId="0A8B9560" w:rsidR="00692D5C" w:rsidRDefault="00692D5C">
      <w:pPr>
        <w:rPr>
          <w:rFonts w:ascii="Times New Roman" w:hAnsi="Times New Roman" w:cs="Times New Roman"/>
          <w:sz w:val="24"/>
          <w:szCs w:val="24"/>
        </w:rPr>
      </w:pPr>
      <w:r>
        <w:rPr>
          <w:rFonts w:ascii="Times New Roman" w:hAnsi="Times New Roman" w:cs="Times New Roman"/>
          <w:sz w:val="24"/>
          <w:szCs w:val="24"/>
        </w:rPr>
        <w:br w:type="page"/>
      </w:r>
    </w:p>
    <w:p w14:paraId="27EE3016" w14:textId="49AFEA3E" w:rsidR="00692D5C" w:rsidRDefault="00692D5C" w:rsidP="00692D5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References </w:t>
      </w:r>
    </w:p>
    <w:p w14:paraId="0BC9162F" w14:textId="77777777" w:rsidR="00692D5C" w:rsidRPr="00F85B97" w:rsidRDefault="00692D5C" w:rsidP="00692D5C">
      <w:pPr>
        <w:spacing w:after="0" w:line="480" w:lineRule="auto"/>
        <w:ind w:left="720" w:hanging="720"/>
        <w:rPr>
          <w:rFonts w:ascii="Times New Roman" w:hAnsi="Times New Roman" w:cs="Times New Roman"/>
          <w:color w:val="212121"/>
          <w:sz w:val="24"/>
          <w:szCs w:val="24"/>
          <w:shd w:val="clear" w:color="auto" w:fill="FFFFFF"/>
        </w:rPr>
      </w:pPr>
      <w:proofErr w:type="spellStart"/>
      <w:r w:rsidRPr="00F85B97">
        <w:rPr>
          <w:rFonts w:ascii="Times New Roman" w:hAnsi="Times New Roman" w:cs="Times New Roman"/>
          <w:color w:val="212121"/>
          <w:sz w:val="24"/>
          <w:szCs w:val="24"/>
          <w:shd w:val="clear" w:color="auto" w:fill="FFFFFF"/>
        </w:rPr>
        <w:t>Alaslawi</w:t>
      </w:r>
      <w:proofErr w:type="spellEnd"/>
      <w:r w:rsidRPr="00F85B97">
        <w:rPr>
          <w:rFonts w:ascii="Times New Roman" w:hAnsi="Times New Roman" w:cs="Times New Roman"/>
          <w:color w:val="212121"/>
          <w:sz w:val="24"/>
          <w:szCs w:val="24"/>
          <w:shd w:val="clear" w:color="auto" w:fill="FFFFFF"/>
        </w:rPr>
        <w:t xml:space="preserve">, H., </w:t>
      </w:r>
      <w:proofErr w:type="spellStart"/>
      <w:r w:rsidRPr="00F85B97">
        <w:rPr>
          <w:rFonts w:ascii="Times New Roman" w:hAnsi="Times New Roman" w:cs="Times New Roman"/>
          <w:color w:val="212121"/>
          <w:sz w:val="24"/>
          <w:szCs w:val="24"/>
          <w:shd w:val="clear" w:color="auto" w:fill="FFFFFF"/>
        </w:rPr>
        <w:t>Berrou</w:t>
      </w:r>
      <w:proofErr w:type="spellEnd"/>
      <w:r w:rsidRPr="00F85B97">
        <w:rPr>
          <w:rFonts w:ascii="Times New Roman" w:hAnsi="Times New Roman" w:cs="Times New Roman"/>
          <w:color w:val="212121"/>
          <w:sz w:val="24"/>
          <w:szCs w:val="24"/>
          <w:shd w:val="clear" w:color="auto" w:fill="FFFFFF"/>
        </w:rPr>
        <w:t xml:space="preserve">, I., Al Hamid, A., </w:t>
      </w:r>
      <w:proofErr w:type="spellStart"/>
      <w:r w:rsidRPr="00F85B97">
        <w:rPr>
          <w:rFonts w:ascii="Times New Roman" w:hAnsi="Times New Roman" w:cs="Times New Roman"/>
          <w:color w:val="212121"/>
          <w:sz w:val="24"/>
          <w:szCs w:val="24"/>
          <w:shd w:val="clear" w:color="auto" w:fill="FFFFFF"/>
        </w:rPr>
        <w:t>Alhuwail</w:t>
      </w:r>
      <w:proofErr w:type="spellEnd"/>
      <w:r w:rsidRPr="00F85B97">
        <w:rPr>
          <w:rFonts w:ascii="Times New Roman" w:hAnsi="Times New Roman" w:cs="Times New Roman"/>
          <w:color w:val="212121"/>
          <w:sz w:val="24"/>
          <w:szCs w:val="24"/>
          <w:shd w:val="clear" w:color="auto" w:fill="FFFFFF"/>
        </w:rPr>
        <w:t xml:space="preserve">, D., &amp; </w:t>
      </w:r>
      <w:proofErr w:type="spellStart"/>
      <w:r w:rsidRPr="00F85B97">
        <w:rPr>
          <w:rFonts w:ascii="Times New Roman" w:hAnsi="Times New Roman" w:cs="Times New Roman"/>
          <w:color w:val="212121"/>
          <w:sz w:val="24"/>
          <w:szCs w:val="24"/>
          <w:shd w:val="clear" w:color="auto" w:fill="FFFFFF"/>
        </w:rPr>
        <w:t>Aslanpour</w:t>
      </w:r>
      <w:proofErr w:type="spellEnd"/>
      <w:r w:rsidRPr="00F85B97">
        <w:rPr>
          <w:rFonts w:ascii="Times New Roman" w:hAnsi="Times New Roman" w:cs="Times New Roman"/>
          <w:color w:val="212121"/>
          <w:sz w:val="24"/>
          <w:szCs w:val="24"/>
          <w:shd w:val="clear" w:color="auto" w:fill="FFFFFF"/>
        </w:rPr>
        <w:t>, Z. (2022). Diabetes self-management apps: Systematic review of adoption determinants and future research agenda. </w:t>
      </w:r>
      <w:r w:rsidRPr="00F85B97">
        <w:rPr>
          <w:rFonts w:ascii="Times New Roman" w:hAnsi="Times New Roman" w:cs="Times New Roman"/>
          <w:i/>
          <w:iCs/>
          <w:color w:val="212121"/>
          <w:sz w:val="24"/>
          <w:szCs w:val="24"/>
          <w:shd w:val="clear" w:color="auto" w:fill="FFFFFF"/>
        </w:rPr>
        <w:t>JMIR diabetes</w:t>
      </w:r>
      <w:r w:rsidRPr="00F85B97">
        <w:rPr>
          <w:rFonts w:ascii="Times New Roman" w:hAnsi="Times New Roman" w:cs="Times New Roman"/>
          <w:color w:val="212121"/>
          <w:sz w:val="24"/>
          <w:szCs w:val="24"/>
          <w:shd w:val="clear" w:color="auto" w:fill="FFFFFF"/>
        </w:rPr>
        <w:t>, </w:t>
      </w:r>
      <w:r w:rsidRPr="00F85B97">
        <w:rPr>
          <w:rFonts w:ascii="Times New Roman" w:hAnsi="Times New Roman" w:cs="Times New Roman"/>
          <w:i/>
          <w:iCs/>
          <w:color w:val="212121"/>
          <w:sz w:val="24"/>
          <w:szCs w:val="24"/>
          <w:shd w:val="clear" w:color="auto" w:fill="FFFFFF"/>
        </w:rPr>
        <w:t>7</w:t>
      </w:r>
      <w:r w:rsidRPr="00F85B97">
        <w:rPr>
          <w:rFonts w:ascii="Times New Roman" w:hAnsi="Times New Roman" w:cs="Times New Roman"/>
          <w:color w:val="212121"/>
          <w:sz w:val="24"/>
          <w:szCs w:val="24"/>
          <w:shd w:val="clear" w:color="auto" w:fill="FFFFFF"/>
        </w:rPr>
        <w:t xml:space="preserve">(3), e28153. </w:t>
      </w:r>
      <w:hyperlink r:id="rId6" w:history="1">
        <w:r w:rsidRPr="00F85B97">
          <w:rPr>
            <w:rStyle w:val="Hyperlink"/>
            <w:rFonts w:ascii="Times New Roman" w:hAnsi="Times New Roman" w:cs="Times New Roman"/>
            <w:sz w:val="24"/>
            <w:szCs w:val="24"/>
            <w:shd w:val="clear" w:color="auto" w:fill="FFFFFF"/>
          </w:rPr>
          <w:t>https://doi.org/10.2196/28153</w:t>
        </w:r>
      </w:hyperlink>
      <w:r w:rsidRPr="00F85B97">
        <w:rPr>
          <w:rFonts w:ascii="Times New Roman" w:hAnsi="Times New Roman" w:cs="Times New Roman"/>
          <w:color w:val="212121"/>
          <w:sz w:val="24"/>
          <w:szCs w:val="24"/>
          <w:shd w:val="clear" w:color="auto" w:fill="FFFFFF"/>
        </w:rPr>
        <w:t xml:space="preserve"> </w:t>
      </w:r>
    </w:p>
    <w:p w14:paraId="3C64D2BB" w14:textId="77777777" w:rsidR="00692D5C" w:rsidRPr="00F85B97" w:rsidRDefault="00692D5C" w:rsidP="00692D5C">
      <w:pPr>
        <w:spacing w:after="0" w:line="480" w:lineRule="auto"/>
        <w:ind w:left="720" w:hanging="720"/>
        <w:rPr>
          <w:rFonts w:ascii="Times New Roman" w:hAnsi="Times New Roman" w:cs="Times New Roman"/>
          <w:color w:val="212121"/>
          <w:sz w:val="24"/>
          <w:szCs w:val="24"/>
          <w:shd w:val="clear" w:color="auto" w:fill="FFFFFF"/>
        </w:rPr>
      </w:pPr>
      <w:r w:rsidRPr="00F85B97">
        <w:rPr>
          <w:rFonts w:ascii="Times New Roman" w:hAnsi="Times New Roman" w:cs="Times New Roman"/>
          <w:color w:val="212121"/>
          <w:sz w:val="24"/>
          <w:szCs w:val="24"/>
          <w:shd w:val="clear" w:color="auto" w:fill="FFFFFF"/>
        </w:rPr>
        <w:t xml:space="preserve">Anderson, A., O'Connell, S. S., Thomas, C., &amp; </w:t>
      </w:r>
      <w:proofErr w:type="spellStart"/>
      <w:r w:rsidRPr="00F85B97">
        <w:rPr>
          <w:rFonts w:ascii="Times New Roman" w:hAnsi="Times New Roman" w:cs="Times New Roman"/>
          <w:color w:val="212121"/>
          <w:sz w:val="24"/>
          <w:szCs w:val="24"/>
          <w:shd w:val="clear" w:color="auto" w:fill="FFFFFF"/>
        </w:rPr>
        <w:t>Chimmanamada</w:t>
      </w:r>
      <w:proofErr w:type="spellEnd"/>
      <w:r w:rsidRPr="00F85B97">
        <w:rPr>
          <w:rFonts w:ascii="Times New Roman" w:hAnsi="Times New Roman" w:cs="Times New Roman"/>
          <w:color w:val="212121"/>
          <w:sz w:val="24"/>
          <w:szCs w:val="24"/>
          <w:shd w:val="clear" w:color="auto" w:fill="FFFFFF"/>
        </w:rPr>
        <w:t xml:space="preserve">, R. (2022). Telehealth Interventions to Improve Diabetes Management Among Black and Hispanic Patients: </w:t>
      </w:r>
      <w:proofErr w:type="gramStart"/>
      <w:r w:rsidRPr="00F85B97">
        <w:rPr>
          <w:rFonts w:ascii="Times New Roman" w:hAnsi="Times New Roman" w:cs="Times New Roman"/>
          <w:color w:val="212121"/>
          <w:sz w:val="24"/>
          <w:szCs w:val="24"/>
          <w:shd w:val="clear" w:color="auto" w:fill="FFFFFF"/>
        </w:rPr>
        <w:t>a</w:t>
      </w:r>
      <w:proofErr w:type="gramEnd"/>
      <w:r w:rsidRPr="00F85B97">
        <w:rPr>
          <w:rFonts w:ascii="Times New Roman" w:hAnsi="Times New Roman" w:cs="Times New Roman"/>
          <w:color w:val="212121"/>
          <w:sz w:val="24"/>
          <w:szCs w:val="24"/>
          <w:shd w:val="clear" w:color="auto" w:fill="FFFFFF"/>
        </w:rPr>
        <w:t xml:space="preserve"> Systematic Review and Meta-Analysis. </w:t>
      </w:r>
      <w:r w:rsidRPr="00F85B97">
        <w:rPr>
          <w:rFonts w:ascii="Times New Roman" w:hAnsi="Times New Roman" w:cs="Times New Roman"/>
          <w:i/>
          <w:iCs/>
          <w:color w:val="212121"/>
          <w:sz w:val="24"/>
          <w:szCs w:val="24"/>
          <w:shd w:val="clear" w:color="auto" w:fill="FFFFFF"/>
        </w:rPr>
        <w:t>Journal of Racial and Ethnic Health Disparities</w:t>
      </w:r>
      <w:r w:rsidRPr="00F85B97">
        <w:rPr>
          <w:rFonts w:ascii="Times New Roman" w:hAnsi="Times New Roman" w:cs="Times New Roman"/>
          <w:color w:val="212121"/>
          <w:sz w:val="24"/>
          <w:szCs w:val="24"/>
          <w:shd w:val="clear" w:color="auto" w:fill="FFFFFF"/>
        </w:rPr>
        <w:t>, </w:t>
      </w:r>
      <w:r w:rsidRPr="00F85B97">
        <w:rPr>
          <w:rFonts w:ascii="Times New Roman" w:hAnsi="Times New Roman" w:cs="Times New Roman"/>
          <w:i/>
          <w:iCs/>
          <w:color w:val="212121"/>
          <w:sz w:val="24"/>
          <w:szCs w:val="24"/>
          <w:shd w:val="clear" w:color="auto" w:fill="FFFFFF"/>
        </w:rPr>
        <w:t>9</w:t>
      </w:r>
      <w:r w:rsidRPr="00F85B97">
        <w:rPr>
          <w:rFonts w:ascii="Times New Roman" w:hAnsi="Times New Roman" w:cs="Times New Roman"/>
          <w:color w:val="212121"/>
          <w:sz w:val="24"/>
          <w:szCs w:val="24"/>
          <w:shd w:val="clear" w:color="auto" w:fill="FFFFFF"/>
        </w:rPr>
        <w:t xml:space="preserve">(6), 2375–2386. </w:t>
      </w:r>
      <w:hyperlink r:id="rId7" w:history="1">
        <w:r w:rsidRPr="00F85B97">
          <w:rPr>
            <w:rStyle w:val="Hyperlink"/>
            <w:rFonts w:ascii="Times New Roman" w:hAnsi="Times New Roman" w:cs="Times New Roman"/>
            <w:sz w:val="24"/>
            <w:szCs w:val="24"/>
            <w:shd w:val="clear" w:color="auto" w:fill="FFFFFF"/>
          </w:rPr>
          <w:t>https://doi.org/10.1007/s40615-021-01174-6</w:t>
        </w:r>
      </w:hyperlink>
    </w:p>
    <w:p w14:paraId="02F5189E" w14:textId="77777777" w:rsidR="00692D5C" w:rsidRPr="00F85B97" w:rsidRDefault="00692D5C" w:rsidP="00692D5C">
      <w:pPr>
        <w:spacing w:after="0" w:line="480" w:lineRule="auto"/>
        <w:ind w:left="720" w:hanging="720"/>
        <w:rPr>
          <w:rFonts w:ascii="Times New Roman" w:hAnsi="Times New Roman" w:cs="Times New Roman"/>
          <w:color w:val="222222"/>
          <w:sz w:val="24"/>
          <w:szCs w:val="24"/>
          <w:shd w:val="clear" w:color="auto" w:fill="FFFFFF"/>
        </w:rPr>
      </w:pPr>
      <w:proofErr w:type="spellStart"/>
      <w:r w:rsidRPr="00F85B97">
        <w:rPr>
          <w:rFonts w:ascii="Times New Roman" w:hAnsi="Times New Roman" w:cs="Times New Roman"/>
          <w:color w:val="222222"/>
          <w:sz w:val="24"/>
          <w:szCs w:val="24"/>
          <w:shd w:val="clear" w:color="auto" w:fill="FFFFFF"/>
        </w:rPr>
        <w:t>Bhawra</w:t>
      </w:r>
      <w:proofErr w:type="spellEnd"/>
      <w:r w:rsidRPr="00F85B97">
        <w:rPr>
          <w:rFonts w:ascii="Times New Roman" w:hAnsi="Times New Roman" w:cs="Times New Roman"/>
          <w:color w:val="222222"/>
          <w:sz w:val="24"/>
          <w:szCs w:val="24"/>
          <w:shd w:val="clear" w:color="auto" w:fill="FFFFFF"/>
        </w:rPr>
        <w:t xml:space="preserve">, J., Buchan, M. C., Green, B., Skinner, K., &amp; </w:t>
      </w:r>
      <w:proofErr w:type="spellStart"/>
      <w:r w:rsidRPr="00F85B97">
        <w:rPr>
          <w:rFonts w:ascii="Times New Roman" w:hAnsi="Times New Roman" w:cs="Times New Roman"/>
          <w:color w:val="222222"/>
          <w:sz w:val="24"/>
          <w:szCs w:val="24"/>
          <w:shd w:val="clear" w:color="auto" w:fill="FFFFFF"/>
        </w:rPr>
        <w:t>Katapally</w:t>
      </w:r>
      <w:proofErr w:type="spellEnd"/>
      <w:r w:rsidRPr="00F85B97">
        <w:rPr>
          <w:rFonts w:ascii="Times New Roman" w:hAnsi="Times New Roman" w:cs="Times New Roman"/>
          <w:color w:val="222222"/>
          <w:sz w:val="24"/>
          <w:szCs w:val="24"/>
          <w:shd w:val="clear" w:color="auto" w:fill="FFFFFF"/>
        </w:rPr>
        <w:t>, T. R. (2022). A guiding framework for needs assessment evaluations to embed digital platforms in partnership with Indigenous communities. </w:t>
      </w:r>
      <w:proofErr w:type="spellStart"/>
      <w:r w:rsidRPr="00F85B97">
        <w:rPr>
          <w:rFonts w:ascii="Times New Roman" w:hAnsi="Times New Roman" w:cs="Times New Roman"/>
          <w:i/>
          <w:iCs/>
          <w:color w:val="222222"/>
          <w:sz w:val="24"/>
          <w:szCs w:val="24"/>
          <w:shd w:val="clear" w:color="auto" w:fill="FFFFFF"/>
        </w:rPr>
        <w:t>PLoS</w:t>
      </w:r>
      <w:proofErr w:type="spellEnd"/>
      <w:r w:rsidRPr="00F85B97">
        <w:rPr>
          <w:rFonts w:ascii="Times New Roman" w:hAnsi="Times New Roman" w:cs="Times New Roman"/>
          <w:i/>
          <w:iCs/>
          <w:color w:val="222222"/>
          <w:sz w:val="24"/>
          <w:szCs w:val="24"/>
          <w:shd w:val="clear" w:color="auto" w:fill="FFFFFF"/>
        </w:rPr>
        <w:t xml:space="preserve"> One</w:t>
      </w:r>
      <w:r w:rsidRPr="00F85B97">
        <w:rPr>
          <w:rFonts w:ascii="Times New Roman" w:hAnsi="Times New Roman" w:cs="Times New Roman"/>
          <w:color w:val="222222"/>
          <w:sz w:val="24"/>
          <w:szCs w:val="24"/>
          <w:shd w:val="clear" w:color="auto" w:fill="FFFFFF"/>
        </w:rPr>
        <w:t>, </w:t>
      </w:r>
      <w:r w:rsidRPr="00F85B97">
        <w:rPr>
          <w:rFonts w:ascii="Times New Roman" w:hAnsi="Times New Roman" w:cs="Times New Roman"/>
          <w:i/>
          <w:iCs/>
          <w:color w:val="222222"/>
          <w:sz w:val="24"/>
          <w:szCs w:val="24"/>
          <w:shd w:val="clear" w:color="auto" w:fill="FFFFFF"/>
        </w:rPr>
        <w:t>17</w:t>
      </w:r>
      <w:r w:rsidRPr="00F85B97">
        <w:rPr>
          <w:rFonts w:ascii="Times New Roman" w:hAnsi="Times New Roman" w:cs="Times New Roman"/>
          <w:color w:val="222222"/>
          <w:sz w:val="24"/>
          <w:szCs w:val="24"/>
          <w:shd w:val="clear" w:color="auto" w:fill="FFFFFF"/>
        </w:rPr>
        <w:t xml:space="preserve">(12), e0279282. </w:t>
      </w:r>
      <w:hyperlink r:id="rId8" w:history="1">
        <w:r w:rsidRPr="00F85B97">
          <w:rPr>
            <w:rStyle w:val="Hyperlink"/>
            <w:rFonts w:ascii="Times New Roman" w:hAnsi="Times New Roman" w:cs="Times New Roman"/>
            <w:sz w:val="24"/>
            <w:szCs w:val="24"/>
            <w:shd w:val="clear" w:color="auto" w:fill="FFFFFF"/>
          </w:rPr>
          <w:t>https://doi.org/10.1371/journal.pone.0279282</w:t>
        </w:r>
      </w:hyperlink>
      <w:r w:rsidRPr="00F85B97">
        <w:rPr>
          <w:rFonts w:ascii="Times New Roman" w:hAnsi="Times New Roman" w:cs="Times New Roman"/>
          <w:color w:val="222222"/>
          <w:sz w:val="24"/>
          <w:szCs w:val="24"/>
          <w:shd w:val="clear" w:color="auto" w:fill="FFFFFF"/>
        </w:rPr>
        <w:t xml:space="preserve"> </w:t>
      </w:r>
    </w:p>
    <w:p w14:paraId="0FBE2038" w14:textId="77777777" w:rsidR="00692D5C" w:rsidRPr="00F85B97" w:rsidRDefault="00692D5C" w:rsidP="00692D5C">
      <w:pPr>
        <w:spacing w:after="0" w:line="480" w:lineRule="auto"/>
        <w:ind w:left="720" w:hanging="720"/>
        <w:rPr>
          <w:rFonts w:ascii="Times New Roman" w:hAnsi="Times New Roman" w:cs="Times New Roman"/>
          <w:color w:val="212121"/>
          <w:sz w:val="24"/>
          <w:szCs w:val="24"/>
          <w:shd w:val="clear" w:color="auto" w:fill="FFFFFF"/>
        </w:rPr>
      </w:pPr>
      <w:r w:rsidRPr="00F85B97">
        <w:rPr>
          <w:rFonts w:ascii="Times New Roman" w:hAnsi="Times New Roman" w:cs="Times New Roman"/>
          <w:color w:val="212121"/>
          <w:sz w:val="24"/>
          <w:szCs w:val="24"/>
          <w:shd w:val="clear" w:color="auto" w:fill="FFFFFF"/>
        </w:rPr>
        <w:t xml:space="preserve">Carlson, A. E., Aronson, B. D., </w:t>
      </w:r>
      <w:proofErr w:type="spellStart"/>
      <w:r w:rsidRPr="00F85B97">
        <w:rPr>
          <w:rFonts w:ascii="Times New Roman" w:hAnsi="Times New Roman" w:cs="Times New Roman"/>
          <w:color w:val="212121"/>
          <w:sz w:val="24"/>
          <w:szCs w:val="24"/>
          <w:shd w:val="clear" w:color="auto" w:fill="FFFFFF"/>
        </w:rPr>
        <w:t>Unzen</w:t>
      </w:r>
      <w:proofErr w:type="spellEnd"/>
      <w:r w:rsidRPr="00F85B97">
        <w:rPr>
          <w:rFonts w:ascii="Times New Roman" w:hAnsi="Times New Roman" w:cs="Times New Roman"/>
          <w:color w:val="212121"/>
          <w:sz w:val="24"/>
          <w:szCs w:val="24"/>
          <w:shd w:val="clear" w:color="auto" w:fill="FFFFFF"/>
        </w:rPr>
        <w:t>, M., Lewis, M., Benjamin, G. J., &amp; Walls, M. L. (2021). Apathy and Type 2 Diabetes among American Indians: Exploring the protective effects of traditional cultural involvement. </w:t>
      </w:r>
      <w:r w:rsidRPr="00F85B97">
        <w:rPr>
          <w:rFonts w:ascii="Times New Roman" w:hAnsi="Times New Roman" w:cs="Times New Roman"/>
          <w:i/>
          <w:iCs/>
          <w:color w:val="212121"/>
          <w:sz w:val="24"/>
          <w:szCs w:val="24"/>
          <w:shd w:val="clear" w:color="auto" w:fill="FFFFFF"/>
        </w:rPr>
        <w:t>Journal of Health Care for the Poor and Underserved</w:t>
      </w:r>
      <w:r w:rsidRPr="00F85B97">
        <w:rPr>
          <w:rFonts w:ascii="Times New Roman" w:hAnsi="Times New Roman" w:cs="Times New Roman"/>
          <w:color w:val="212121"/>
          <w:sz w:val="24"/>
          <w:szCs w:val="24"/>
          <w:shd w:val="clear" w:color="auto" w:fill="FFFFFF"/>
        </w:rPr>
        <w:t>, </w:t>
      </w:r>
      <w:r w:rsidRPr="00F85B97">
        <w:rPr>
          <w:rFonts w:ascii="Times New Roman" w:hAnsi="Times New Roman" w:cs="Times New Roman"/>
          <w:i/>
          <w:iCs/>
          <w:color w:val="212121"/>
          <w:sz w:val="24"/>
          <w:szCs w:val="24"/>
          <w:shd w:val="clear" w:color="auto" w:fill="FFFFFF"/>
        </w:rPr>
        <w:t>28</w:t>
      </w:r>
      <w:r w:rsidRPr="00F85B97">
        <w:rPr>
          <w:rFonts w:ascii="Times New Roman" w:hAnsi="Times New Roman" w:cs="Times New Roman"/>
          <w:color w:val="212121"/>
          <w:sz w:val="24"/>
          <w:szCs w:val="24"/>
          <w:shd w:val="clear" w:color="auto" w:fill="FFFFFF"/>
        </w:rPr>
        <w:t xml:space="preserve">(2), 770–783. </w:t>
      </w:r>
      <w:hyperlink r:id="rId9" w:history="1">
        <w:r w:rsidRPr="00F85B97">
          <w:rPr>
            <w:rStyle w:val="Hyperlink"/>
            <w:rFonts w:ascii="Times New Roman" w:hAnsi="Times New Roman" w:cs="Times New Roman"/>
            <w:sz w:val="24"/>
            <w:szCs w:val="24"/>
            <w:shd w:val="clear" w:color="auto" w:fill="FFFFFF"/>
          </w:rPr>
          <w:t>https://doi.org/10.1353/hpu.2017.0073</w:t>
        </w:r>
      </w:hyperlink>
    </w:p>
    <w:p w14:paraId="0BE6CE61" w14:textId="77777777" w:rsidR="00692D5C" w:rsidRPr="00F85B97" w:rsidRDefault="00692D5C" w:rsidP="00692D5C">
      <w:pPr>
        <w:spacing w:after="0" w:line="480" w:lineRule="auto"/>
        <w:ind w:left="720" w:hanging="720"/>
        <w:rPr>
          <w:rFonts w:ascii="Times New Roman" w:hAnsi="Times New Roman" w:cs="Times New Roman"/>
          <w:color w:val="222222"/>
          <w:sz w:val="24"/>
          <w:szCs w:val="24"/>
          <w:shd w:val="clear" w:color="auto" w:fill="FFFFFF"/>
        </w:rPr>
      </w:pPr>
      <w:r w:rsidRPr="00F85B97">
        <w:rPr>
          <w:rFonts w:ascii="Times New Roman" w:hAnsi="Times New Roman" w:cs="Times New Roman"/>
          <w:color w:val="222222"/>
          <w:sz w:val="24"/>
          <w:szCs w:val="24"/>
          <w:shd w:val="clear" w:color="auto" w:fill="FFFFFF"/>
        </w:rPr>
        <w:t>Chen, S. C. I., Hu, R., &amp; McAdam, R. (2020). Smart, remote, and targeted health care facilitation through connected health: Qualitative study. </w:t>
      </w:r>
      <w:r w:rsidRPr="00F85B97">
        <w:rPr>
          <w:rFonts w:ascii="Times New Roman" w:hAnsi="Times New Roman" w:cs="Times New Roman"/>
          <w:i/>
          <w:iCs/>
          <w:color w:val="222222"/>
          <w:sz w:val="24"/>
          <w:szCs w:val="24"/>
          <w:shd w:val="clear" w:color="auto" w:fill="FFFFFF"/>
        </w:rPr>
        <w:t>Journal of medical Internet research</w:t>
      </w:r>
      <w:r w:rsidRPr="00F85B97">
        <w:rPr>
          <w:rFonts w:ascii="Times New Roman" w:hAnsi="Times New Roman" w:cs="Times New Roman"/>
          <w:color w:val="222222"/>
          <w:sz w:val="24"/>
          <w:szCs w:val="24"/>
          <w:shd w:val="clear" w:color="auto" w:fill="FFFFFF"/>
        </w:rPr>
        <w:t>, </w:t>
      </w:r>
      <w:r w:rsidRPr="00F85B97">
        <w:rPr>
          <w:rFonts w:ascii="Times New Roman" w:hAnsi="Times New Roman" w:cs="Times New Roman"/>
          <w:i/>
          <w:iCs/>
          <w:color w:val="222222"/>
          <w:sz w:val="24"/>
          <w:szCs w:val="24"/>
          <w:shd w:val="clear" w:color="auto" w:fill="FFFFFF"/>
        </w:rPr>
        <w:t>22</w:t>
      </w:r>
      <w:r w:rsidRPr="00F85B97">
        <w:rPr>
          <w:rFonts w:ascii="Times New Roman" w:hAnsi="Times New Roman" w:cs="Times New Roman"/>
          <w:color w:val="222222"/>
          <w:sz w:val="24"/>
          <w:szCs w:val="24"/>
          <w:shd w:val="clear" w:color="auto" w:fill="FFFFFF"/>
        </w:rPr>
        <w:t xml:space="preserve">(4), e14201. </w:t>
      </w:r>
      <w:hyperlink r:id="rId10" w:history="1">
        <w:r w:rsidRPr="00F85B97">
          <w:rPr>
            <w:rStyle w:val="Hyperlink"/>
            <w:rFonts w:ascii="Times New Roman" w:hAnsi="Times New Roman" w:cs="Times New Roman"/>
            <w:sz w:val="24"/>
            <w:szCs w:val="24"/>
            <w:shd w:val="clear" w:color="auto" w:fill="FFFFFF"/>
          </w:rPr>
          <w:t>http://dx.doi.org/10.2196/14201</w:t>
        </w:r>
      </w:hyperlink>
      <w:r w:rsidRPr="00F85B97">
        <w:rPr>
          <w:rFonts w:ascii="Times New Roman" w:hAnsi="Times New Roman" w:cs="Times New Roman"/>
          <w:color w:val="222222"/>
          <w:sz w:val="24"/>
          <w:szCs w:val="24"/>
          <w:shd w:val="clear" w:color="auto" w:fill="FFFFFF"/>
        </w:rPr>
        <w:t xml:space="preserve"> </w:t>
      </w:r>
    </w:p>
    <w:p w14:paraId="3088150A" w14:textId="77777777" w:rsidR="00692D5C" w:rsidRPr="00F85B97" w:rsidRDefault="00692D5C" w:rsidP="00692D5C">
      <w:pPr>
        <w:spacing w:after="0" w:line="480" w:lineRule="auto"/>
        <w:ind w:left="720" w:hanging="720"/>
        <w:rPr>
          <w:rFonts w:ascii="Times New Roman" w:hAnsi="Times New Roman" w:cs="Times New Roman"/>
          <w:color w:val="212121"/>
          <w:sz w:val="24"/>
          <w:szCs w:val="24"/>
          <w:shd w:val="clear" w:color="auto" w:fill="FFFFFF"/>
        </w:rPr>
      </w:pPr>
      <w:r w:rsidRPr="00F85B97">
        <w:rPr>
          <w:rFonts w:ascii="Times New Roman" w:hAnsi="Times New Roman" w:cs="Times New Roman"/>
          <w:color w:val="212121"/>
          <w:sz w:val="24"/>
          <w:szCs w:val="24"/>
          <w:shd w:val="clear" w:color="auto" w:fill="FFFFFF"/>
        </w:rPr>
        <w:t xml:space="preserve">de </w:t>
      </w:r>
      <w:proofErr w:type="spellStart"/>
      <w:r w:rsidRPr="00F85B97">
        <w:rPr>
          <w:rFonts w:ascii="Times New Roman" w:hAnsi="Times New Roman" w:cs="Times New Roman"/>
          <w:color w:val="212121"/>
          <w:sz w:val="24"/>
          <w:szCs w:val="24"/>
          <w:shd w:val="clear" w:color="auto" w:fill="FFFFFF"/>
        </w:rPr>
        <w:t>Kreutzenberg</w:t>
      </w:r>
      <w:proofErr w:type="spellEnd"/>
      <w:r w:rsidRPr="00F85B97">
        <w:rPr>
          <w:rFonts w:ascii="Times New Roman" w:hAnsi="Times New Roman" w:cs="Times New Roman"/>
          <w:color w:val="212121"/>
          <w:sz w:val="24"/>
          <w:szCs w:val="24"/>
          <w:shd w:val="clear" w:color="auto" w:fill="FFFFFF"/>
        </w:rPr>
        <w:t xml:space="preserve"> S. V. (2022). Telemedicine for the clinical management of diabetes; implications and considerations after covid-19 experience. </w:t>
      </w:r>
      <w:r w:rsidRPr="00F85B97">
        <w:rPr>
          <w:rFonts w:ascii="Times New Roman" w:hAnsi="Times New Roman" w:cs="Times New Roman"/>
          <w:i/>
          <w:iCs/>
          <w:color w:val="212121"/>
          <w:sz w:val="24"/>
          <w:szCs w:val="24"/>
          <w:shd w:val="clear" w:color="auto" w:fill="FFFFFF"/>
        </w:rPr>
        <w:t>High Blood Pressure &amp; Cardiovascular Prevention: The Official Journal of the Italian Society of Hypertension</w:t>
      </w:r>
      <w:r w:rsidRPr="00F85B97">
        <w:rPr>
          <w:rFonts w:ascii="Times New Roman" w:hAnsi="Times New Roman" w:cs="Times New Roman"/>
          <w:color w:val="212121"/>
          <w:sz w:val="24"/>
          <w:szCs w:val="24"/>
          <w:shd w:val="clear" w:color="auto" w:fill="FFFFFF"/>
        </w:rPr>
        <w:t>, </w:t>
      </w:r>
      <w:r w:rsidRPr="00F85B97">
        <w:rPr>
          <w:rFonts w:ascii="Times New Roman" w:hAnsi="Times New Roman" w:cs="Times New Roman"/>
          <w:i/>
          <w:iCs/>
          <w:color w:val="212121"/>
          <w:sz w:val="24"/>
          <w:szCs w:val="24"/>
          <w:shd w:val="clear" w:color="auto" w:fill="FFFFFF"/>
        </w:rPr>
        <w:t>29</w:t>
      </w:r>
      <w:r w:rsidRPr="00F85B97">
        <w:rPr>
          <w:rFonts w:ascii="Times New Roman" w:hAnsi="Times New Roman" w:cs="Times New Roman"/>
          <w:color w:val="212121"/>
          <w:sz w:val="24"/>
          <w:szCs w:val="24"/>
          <w:shd w:val="clear" w:color="auto" w:fill="FFFFFF"/>
        </w:rPr>
        <w:t xml:space="preserve">(4), 319–326. </w:t>
      </w:r>
      <w:hyperlink r:id="rId11" w:history="1">
        <w:r w:rsidRPr="00F85B97">
          <w:rPr>
            <w:rStyle w:val="Hyperlink"/>
            <w:rFonts w:ascii="Times New Roman" w:hAnsi="Times New Roman" w:cs="Times New Roman"/>
            <w:sz w:val="24"/>
            <w:szCs w:val="24"/>
            <w:shd w:val="clear" w:color="auto" w:fill="FFFFFF"/>
          </w:rPr>
          <w:t>https://doi.org/10.1007/s40292-022-00524-7</w:t>
        </w:r>
      </w:hyperlink>
      <w:r w:rsidRPr="00F85B97">
        <w:rPr>
          <w:rFonts w:ascii="Times New Roman" w:hAnsi="Times New Roman" w:cs="Times New Roman"/>
          <w:color w:val="212121"/>
          <w:sz w:val="24"/>
          <w:szCs w:val="24"/>
          <w:shd w:val="clear" w:color="auto" w:fill="FFFFFF"/>
        </w:rPr>
        <w:t xml:space="preserve"> </w:t>
      </w:r>
    </w:p>
    <w:p w14:paraId="6F9BE424" w14:textId="77777777" w:rsidR="00692D5C" w:rsidRPr="00F85B97" w:rsidRDefault="00692D5C" w:rsidP="00692D5C">
      <w:pPr>
        <w:spacing w:after="0" w:line="480" w:lineRule="auto"/>
        <w:ind w:left="720" w:hanging="720"/>
        <w:rPr>
          <w:rFonts w:ascii="Times New Roman" w:hAnsi="Times New Roman" w:cs="Times New Roman"/>
          <w:color w:val="212121"/>
          <w:sz w:val="24"/>
          <w:szCs w:val="24"/>
          <w:shd w:val="clear" w:color="auto" w:fill="FFFFFF"/>
        </w:rPr>
      </w:pPr>
      <w:proofErr w:type="spellStart"/>
      <w:r w:rsidRPr="00F85B97">
        <w:rPr>
          <w:rFonts w:ascii="Times New Roman" w:hAnsi="Times New Roman" w:cs="Times New Roman"/>
          <w:color w:val="212121"/>
          <w:sz w:val="24"/>
          <w:szCs w:val="24"/>
          <w:shd w:val="clear" w:color="auto" w:fill="FFFFFF"/>
        </w:rPr>
        <w:lastRenderedPageBreak/>
        <w:t>Erku</w:t>
      </w:r>
      <w:proofErr w:type="spellEnd"/>
      <w:r w:rsidRPr="00F85B97">
        <w:rPr>
          <w:rFonts w:ascii="Times New Roman" w:hAnsi="Times New Roman" w:cs="Times New Roman"/>
          <w:color w:val="212121"/>
          <w:sz w:val="24"/>
          <w:szCs w:val="24"/>
          <w:shd w:val="clear" w:color="auto" w:fill="FFFFFF"/>
        </w:rPr>
        <w:t xml:space="preserve">, D., Khatri, R., </w:t>
      </w:r>
      <w:proofErr w:type="spellStart"/>
      <w:r w:rsidRPr="00F85B97">
        <w:rPr>
          <w:rFonts w:ascii="Times New Roman" w:hAnsi="Times New Roman" w:cs="Times New Roman"/>
          <w:color w:val="212121"/>
          <w:sz w:val="24"/>
          <w:szCs w:val="24"/>
          <w:shd w:val="clear" w:color="auto" w:fill="FFFFFF"/>
        </w:rPr>
        <w:t>Endalamaw</w:t>
      </w:r>
      <w:proofErr w:type="spellEnd"/>
      <w:r w:rsidRPr="00F85B97">
        <w:rPr>
          <w:rFonts w:ascii="Times New Roman" w:hAnsi="Times New Roman" w:cs="Times New Roman"/>
          <w:color w:val="212121"/>
          <w:sz w:val="24"/>
          <w:szCs w:val="24"/>
          <w:shd w:val="clear" w:color="auto" w:fill="FFFFFF"/>
        </w:rPr>
        <w:t xml:space="preserve">, A., </w:t>
      </w:r>
      <w:proofErr w:type="spellStart"/>
      <w:r w:rsidRPr="00F85B97">
        <w:rPr>
          <w:rFonts w:ascii="Times New Roman" w:hAnsi="Times New Roman" w:cs="Times New Roman"/>
          <w:color w:val="212121"/>
          <w:sz w:val="24"/>
          <w:szCs w:val="24"/>
          <w:shd w:val="clear" w:color="auto" w:fill="FFFFFF"/>
        </w:rPr>
        <w:t>Wolka</w:t>
      </w:r>
      <w:proofErr w:type="spellEnd"/>
      <w:r w:rsidRPr="00F85B97">
        <w:rPr>
          <w:rFonts w:ascii="Times New Roman" w:hAnsi="Times New Roman" w:cs="Times New Roman"/>
          <w:color w:val="212121"/>
          <w:sz w:val="24"/>
          <w:szCs w:val="24"/>
          <w:shd w:val="clear" w:color="auto" w:fill="FFFFFF"/>
        </w:rPr>
        <w:t xml:space="preserve">, E., </w:t>
      </w:r>
      <w:proofErr w:type="spellStart"/>
      <w:r w:rsidRPr="00F85B97">
        <w:rPr>
          <w:rFonts w:ascii="Times New Roman" w:hAnsi="Times New Roman" w:cs="Times New Roman"/>
          <w:color w:val="212121"/>
          <w:sz w:val="24"/>
          <w:szCs w:val="24"/>
          <w:shd w:val="clear" w:color="auto" w:fill="FFFFFF"/>
        </w:rPr>
        <w:t>Nigatu</w:t>
      </w:r>
      <w:proofErr w:type="spellEnd"/>
      <w:r w:rsidRPr="00F85B97">
        <w:rPr>
          <w:rFonts w:ascii="Times New Roman" w:hAnsi="Times New Roman" w:cs="Times New Roman"/>
          <w:color w:val="212121"/>
          <w:sz w:val="24"/>
          <w:szCs w:val="24"/>
          <w:shd w:val="clear" w:color="auto" w:fill="FFFFFF"/>
        </w:rPr>
        <w:t>, F., Zewdie, A., &amp; Assefa, Y. (2023). Digital health interventions to improve access to and quality of primary health care services: A scoping review. </w:t>
      </w:r>
      <w:r w:rsidRPr="00F85B97">
        <w:rPr>
          <w:rFonts w:ascii="Times New Roman" w:hAnsi="Times New Roman" w:cs="Times New Roman"/>
          <w:i/>
          <w:iCs/>
          <w:color w:val="212121"/>
          <w:sz w:val="24"/>
          <w:szCs w:val="24"/>
          <w:shd w:val="clear" w:color="auto" w:fill="FFFFFF"/>
        </w:rPr>
        <w:t>International Journal of Environmental Research and Public Health</w:t>
      </w:r>
      <w:r w:rsidRPr="00F85B97">
        <w:rPr>
          <w:rFonts w:ascii="Times New Roman" w:hAnsi="Times New Roman" w:cs="Times New Roman"/>
          <w:color w:val="212121"/>
          <w:sz w:val="24"/>
          <w:szCs w:val="24"/>
          <w:shd w:val="clear" w:color="auto" w:fill="FFFFFF"/>
        </w:rPr>
        <w:t>, </w:t>
      </w:r>
      <w:r w:rsidRPr="00F85B97">
        <w:rPr>
          <w:rFonts w:ascii="Times New Roman" w:hAnsi="Times New Roman" w:cs="Times New Roman"/>
          <w:i/>
          <w:iCs/>
          <w:color w:val="212121"/>
          <w:sz w:val="24"/>
          <w:szCs w:val="24"/>
          <w:shd w:val="clear" w:color="auto" w:fill="FFFFFF"/>
        </w:rPr>
        <w:t>20</w:t>
      </w:r>
      <w:r w:rsidRPr="00F85B97">
        <w:rPr>
          <w:rFonts w:ascii="Times New Roman" w:hAnsi="Times New Roman" w:cs="Times New Roman"/>
          <w:color w:val="212121"/>
          <w:sz w:val="24"/>
          <w:szCs w:val="24"/>
          <w:shd w:val="clear" w:color="auto" w:fill="FFFFFF"/>
        </w:rPr>
        <w:t xml:space="preserve">(19), 6854. </w:t>
      </w:r>
      <w:hyperlink r:id="rId12" w:history="1">
        <w:r w:rsidRPr="00F85B97">
          <w:rPr>
            <w:rStyle w:val="Hyperlink"/>
            <w:rFonts w:ascii="Times New Roman" w:hAnsi="Times New Roman" w:cs="Times New Roman"/>
            <w:sz w:val="24"/>
            <w:szCs w:val="24"/>
            <w:shd w:val="clear" w:color="auto" w:fill="FFFFFF"/>
          </w:rPr>
          <w:t>https://doi.org/10.3390/ijerph20196854</w:t>
        </w:r>
      </w:hyperlink>
      <w:r w:rsidRPr="00F85B97">
        <w:rPr>
          <w:rFonts w:ascii="Times New Roman" w:hAnsi="Times New Roman" w:cs="Times New Roman"/>
          <w:color w:val="212121"/>
          <w:sz w:val="24"/>
          <w:szCs w:val="24"/>
          <w:shd w:val="clear" w:color="auto" w:fill="FFFFFF"/>
        </w:rPr>
        <w:t xml:space="preserve"> </w:t>
      </w:r>
    </w:p>
    <w:p w14:paraId="4A8C2C2B" w14:textId="77777777" w:rsidR="00692D5C" w:rsidRPr="00F85B97" w:rsidRDefault="00692D5C" w:rsidP="00692D5C">
      <w:pPr>
        <w:spacing w:after="0" w:line="480" w:lineRule="auto"/>
        <w:ind w:left="720" w:hanging="720"/>
        <w:rPr>
          <w:rFonts w:ascii="Times New Roman" w:hAnsi="Times New Roman" w:cs="Times New Roman"/>
          <w:color w:val="333333"/>
          <w:sz w:val="24"/>
          <w:szCs w:val="24"/>
          <w:shd w:val="clear" w:color="auto" w:fill="FFFFFF"/>
        </w:rPr>
      </w:pPr>
      <w:r w:rsidRPr="00F85B97">
        <w:rPr>
          <w:rFonts w:ascii="Times New Roman" w:hAnsi="Times New Roman" w:cs="Times New Roman"/>
          <w:color w:val="222222"/>
          <w:sz w:val="24"/>
          <w:szCs w:val="24"/>
          <w:shd w:val="clear" w:color="auto" w:fill="FFFFFF"/>
        </w:rPr>
        <w:t xml:space="preserve">Fitzpatrick, K. M., </w:t>
      </w:r>
      <w:proofErr w:type="spellStart"/>
      <w:r w:rsidRPr="00F85B97">
        <w:rPr>
          <w:rFonts w:ascii="Times New Roman" w:hAnsi="Times New Roman" w:cs="Times New Roman"/>
          <w:color w:val="222222"/>
          <w:sz w:val="24"/>
          <w:szCs w:val="24"/>
          <w:shd w:val="clear" w:color="auto" w:fill="FFFFFF"/>
        </w:rPr>
        <w:t>Ody</w:t>
      </w:r>
      <w:proofErr w:type="spellEnd"/>
      <w:r w:rsidRPr="00F85B97">
        <w:rPr>
          <w:rFonts w:ascii="Times New Roman" w:hAnsi="Times New Roman" w:cs="Times New Roman"/>
          <w:color w:val="222222"/>
          <w:sz w:val="24"/>
          <w:szCs w:val="24"/>
          <w:shd w:val="clear" w:color="auto" w:fill="FFFFFF"/>
        </w:rPr>
        <w:t xml:space="preserve">, M., </w:t>
      </w:r>
      <w:proofErr w:type="spellStart"/>
      <w:r w:rsidRPr="00F85B97">
        <w:rPr>
          <w:rFonts w:ascii="Times New Roman" w:hAnsi="Times New Roman" w:cs="Times New Roman"/>
          <w:color w:val="222222"/>
          <w:sz w:val="24"/>
          <w:szCs w:val="24"/>
          <w:shd w:val="clear" w:color="auto" w:fill="FFFFFF"/>
        </w:rPr>
        <w:t>Goveas</w:t>
      </w:r>
      <w:proofErr w:type="spellEnd"/>
      <w:r w:rsidRPr="00F85B97">
        <w:rPr>
          <w:rFonts w:ascii="Times New Roman" w:hAnsi="Times New Roman" w:cs="Times New Roman"/>
          <w:color w:val="222222"/>
          <w:sz w:val="24"/>
          <w:szCs w:val="24"/>
          <w:shd w:val="clear" w:color="auto" w:fill="FFFFFF"/>
        </w:rPr>
        <w:t xml:space="preserve">, D., </w:t>
      </w:r>
      <w:proofErr w:type="spellStart"/>
      <w:r w:rsidRPr="00F85B97">
        <w:rPr>
          <w:rFonts w:ascii="Times New Roman" w:hAnsi="Times New Roman" w:cs="Times New Roman"/>
          <w:color w:val="222222"/>
          <w:sz w:val="24"/>
          <w:szCs w:val="24"/>
          <w:shd w:val="clear" w:color="auto" w:fill="FFFFFF"/>
        </w:rPr>
        <w:t>Montesanti</w:t>
      </w:r>
      <w:proofErr w:type="spellEnd"/>
      <w:r w:rsidRPr="00F85B97">
        <w:rPr>
          <w:rFonts w:ascii="Times New Roman" w:hAnsi="Times New Roman" w:cs="Times New Roman"/>
          <w:color w:val="222222"/>
          <w:sz w:val="24"/>
          <w:szCs w:val="24"/>
          <w:shd w:val="clear" w:color="auto" w:fill="FFFFFF"/>
        </w:rPr>
        <w:t xml:space="preserve">, S., Campbell, P., MacDonald, K., </w:t>
      </w:r>
      <w:proofErr w:type="spellStart"/>
      <w:r w:rsidRPr="00F85B97">
        <w:rPr>
          <w:rFonts w:ascii="Times New Roman" w:hAnsi="Times New Roman" w:cs="Times New Roman"/>
          <w:color w:val="222222"/>
          <w:sz w:val="24"/>
          <w:szCs w:val="24"/>
          <w:shd w:val="clear" w:color="auto" w:fill="FFFFFF"/>
        </w:rPr>
        <w:t>Crowshoe</w:t>
      </w:r>
      <w:proofErr w:type="spellEnd"/>
      <w:r w:rsidRPr="00F85B97">
        <w:rPr>
          <w:rFonts w:ascii="Times New Roman" w:hAnsi="Times New Roman" w:cs="Times New Roman"/>
          <w:color w:val="222222"/>
          <w:sz w:val="24"/>
          <w:szCs w:val="24"/>
          <w:shd w:val="clear" w:color="auto" w:fill="FFFFFF"/>
        </w:rPr>
        <w:t xml:space="preserve">, L., Campbell, S., &amp; Roach, P. (2023). Understanding virtual primary healthcare with Indigenous populations: a rapid evidence </w:t>
      </w:r>
      <w:proofErr w:type="gramStart"/>
      <w:r w:rsidRPr="00F85B97">
        <w:rPr>
          <w:rFonts w:ascii="Times New Roman" w:hAnsi="Times New Roman" w:cs="Times New Roman"/>
          <w:color w:val="222222"/>
          <w:sz w:val="24"/>
          <w:szCs w:val="24"/>
          <w:shd w:val="clear" w:color="auto" w:fill="FFFFFF"/>
        </w:rPr>
        <w:t>review</w:t>
      </w:r>
      <w:proofErr w:type="gramEnd"/>
      <w:r w:rsidRPr="00F85B97">
        <w:rPr>
          <w:rFonts w:ascii="Times New Roman" w:hAnsi="Times New Roman" w:cs="Times New Roman"/>
          <w:color w:val="222222"/>
          <w:sz w:val="24"/>
          <w:szCs w:val="24"/>
          <w:shd w:val="clear" w:color="auto" w:fill="FFFFFF"/>
        </w:rPr>
        <w:t>. </w:t>
      </w:r>
      <w:r w:rsidRPr="00F85B97">
        <w:rPr>
          <w:rFonts w:ascii="Times New Roman" w:hAnsi="Times New Roman" w:cs="Times New Roman"/>
          <w:i/>
          <w:iCs/>
          <w:color w:val="222222"/>
          <w:sz w:val="24"/>
          <w:szCs w:val="24"/>
          <w:shd w:val="clear" w:color="auto" w:fill="FFFFFF"/>
        </w:rPr>
        <w:t>BMC Health Services Research</w:t>
      </w:r>
      <w:r w:rsidRPr="00F85B97">
        <w:rPr>
          <w:rFonts w:ascii="Times New Roman" w:hAnsi="Times New Roman" w:cs="Times New Roman"/>
          <w:color w:val="222222"/>
          <w:sz w:val="24"/>
          <w:szCs w:val="24"/>
          <w:shd w:val="clear" w:color="auto" w:fill="FFFFFF"/>
        </w:rPr>
        <w:t>, </w:t>
      </w:r>
      <w:r w:rsidRPr="00F85B97">
        <w:rPr>
          <w:rFonts w:ascii="Times New Roman" w:hAnsi="Times New Roman" w:cs="Times New Roman"/>
          <w:i/>
          <w:iCs/>
          <w:color w:val="222222"/>
          <w:sz w:val="24"/>
          <w:szCs w:val="24"/>
          <w:shd w:val="clear" w:color="auto" w:fill="FFFFFF"/>
        </w:rPr>
        <w:t>23</w:t>
      </w:r>
      <w:r w:rsidRPr="00F85B97">
        <w:rPr>
          <w:rFonts w:ascii="Times New Roman" w:hAnsi="Times New Roman" w:cs="Times New Roman"/>
          <w:color w:val="222222"/>
          <w:sz w:val="24"/>
          <w:szCs w:val="24"/>
          <w:shd w:val="clear" w:color="auto" w:fill="FFFFFF"/>
        </w:rPr>
        <w:t xml:space="preserve">(1), 303. </w:t>
      </w:r>
      <w:hyperlink r:id="rId13" w:history="1">
        <w:r w:rsidRPr="00F85B97">
          <w:rPr>
            <w:rStyle w:val="Hyperlink"/>
            <w:rFonts w:ascii="Times New Roman" w:hAnsi="Times New Roman" w:cs="Times New Roman"/>
            <w:sz w:val="24"/>
            <w:szCs w:val="24"/>
            <w:shd w:val="clear" w:color="auto" w:fill="FFFFFF"/>
          </w:rPr>
          <w:t>https://doi.org/10.1186/s12913-023-09299-6</w:t>
        </w:r>
      </w:hyperlink>
      <w:r w:rsidRPr="00F85B97">
        <w:rPr>
          <w:rFonts w:ascii="Times New Roman" w:hAnsi="Times New Roman" w:cs="Times New Roman"/>
          <w:color w:val="333333"/>
          <w:sz w:val="24"/>
          <w:szCs w:val="24"/>
          <w:shd w:val="clear" w:color="auto" w:fill="FFFFFF"/>
        </w:rPr>
        <w:t xml:space="preserve"> </w:t>
      </w:r>
    </w:p>
    <w:p w14:paraId="7E874775" w14:textId="77777777" w:rsidR="00692D5C" w:rsidRPr="00F85B97" w:rsidRDefault="00692D5C" w:rsidP="00692D5C">
      <w:pPr>
        <w:spacing w:after="0" w:line="480" w:lineRule="auto"/>
        <w:ind w:left="720" w:hanging="720"/>
        <w:rPr>
          <w:rFonts w:ascii="Times New Roman" w:hAnsi="Times New Roman" w:cs="Times New Roman"/>
          <w:color w:val="212121"/>
          <w:sz w:val="24"/>
          <w:szCs w:val="24"/>
          <w:shd w:val="clear" w:color="auto" w:fill="FFFFFF"/>
        </w:rPr>
      </w:pPr>
      <w:r w:rsidRPr="00F85B97">
        <w:rPr>
          <w:rFonts w:ascii="Times New Roman" w:hAnsi="Times New Roman" w:cs="Times New Roman"/>
          <w:color w:val="212121"/>
          <w:sz w:val="24"/>
          <w:szCs w:val="24"/>
          <w:shd w:val="clear" w:color="auto" w:fill="FFFFFF"/>
        </w:rPr>
        <w:t xml:space="preserve">Goins, R. T., Grant, M. K., Conte, K. P., &amp; </w:t>
      </w:r>
      <w:proofErr w:type="spellStart"/>
      <w:r w:rsidRPr="00F85B97">
        <w:rPr>
          <w:rFonts w:ascii="Times New Roman" w:hAnsi="Times New Roman" w:cs="Times New Roman"/>
          <w:color w:val="212121"/>
          <w:sz w:val="24"/>
          <w:szCs w:val="24"/>
          <w:shd w:val="clear" w:color="auto" w:fill="FFFFFF"/>
        </w:rPr>
        <w:t>Lefler</w:t>
      </w:r>
      <w:proofErr w:type="spellEnd"/>
      <w:r w:rsidRPr="00F85B97">
        <w:rPr>
          <w:rFonts w:ascii="Times New Roman" w:hAnsi="Times New Roman" w:cs="Times New Roman"/>
          <w:color w:val="212121"/>
          <w:sz w:val="24"/>
          <w:szCs w:val="24"/>
          <w:shd w:val="clear" w:color="auto" w:fill="FFFFFF"/>
        </w:rPr>
        <w:t>, L. (2022). Social support and diabetes management among older American Indians. </w:t>
      </w:r>
      <w:r w:rsidRPr="00F85B97">
        <w:rPr>
          <w:rFonts w:ascii="Times New Roman" w:hAnsi="Times New Roman" w:cs="Times New Roman"/>
          <w:i/>
          <w:iCs/>
          <w:color w:val="212121"/>
          <w:sz w:val="24"/>
          <w:szCs w:val="24"/>
          <w:shd w:val="clear" w:color="auto" w:fill="FFFFFF"/>
        </w:rPr>
        <w:t>Frontiers in Public Health</w:t>
      </w:r>
      <w:r w:rsidRPr="00F85B97">
        <w:rPr>
          <w:rFonts w:ascii="Times New Roman" w:hAnsi="Times New Roman" w:cs="Times New Roman"/>
          <w:color w:val="212121"/>
          <w:sz w:val="24"/>
          <w:szCs w:val="24"/>
          <w:shd w:val="clear" w:color="auto" w:fill="FFFFFF"/>
        </w:rPr>
        <w:t>, </w:t>
      </w:r>
      <w:r w:rsidRPr="00F85B97">
        <w:rPr>
          <w:rFonts w:ascii="Times New Roman" w:hAnsi="Times New Roman" w:cs="Times New Roman"/>
          <w:i/>
          <w:iCs/>
          <w:color w:val="212121"/>
          <w:sz w:val="24"/>
          <w:szCs w:val="24"/>
          <w:shd w:val="clear" w:color="auto" w:fill="FFFFFF"/>
        </w:rPr>
        <w:t>10</w:t>
      </w:r>
      <w:r w:rsidRPr="00F85B97">
        <w:rPr>
          <w:rFonts w:ascii="Times New Roman" w:hAnsi="Times New Roman" w:cs="Times New Roman"/>
          <w:color w:val="212121"/>
          <w:sz w:val="24"/>
          <w:szCs w:val="24"/>
          <w:shd w:val="clear" w:color="auto" w:fill="FFFFFF"/>
        </w:rPr>
        <w:t xml:space="preserve">, 780851. </w:t>
      </w:r>
      <w:hyperlink r:id="rId14" w:history="1">
        <w:r w:rsidRPr="00F85B97">
          <w:rPr>
            <w:rStyle w:val="Hyperlink"/>
            <w:rFonts w:ascii="Times New Roman" w:hAnsi="Times New Roman" w:cs="Times New Roman"/>
            <w:sz w:val="24"/>
            <w:szCs w:val="24"/>
            <w:shd w:val="clear" w:color="auto" w:fill="FFFFFF"/>
          </w:rPr>
          <w:t>https://doi.org/10.3389/fpubh.2022.780851</w:t>
        </w:r>
      </w:hyperlink>
      <w:r w:rsidRPr="00F85B97">
        <w:rPr>
          <w:rFonts w:ascii="Times New Roman" w:hAnsi="Times New Roman" w:cs="Times New Roman"/>
          <w:color w:val="212121"/>
          <w:sz w:val="24"/>
          <w:szCs w:val="24"/>
          <w:shd w:val="clear" w:color="auto" w:fill="FFFFFF"/>
        </w:rPr>
        <w:t xml:space="preserve"> </w:t>
      </w:r>
    </w:p>
    <w:p w14:paraId="26CD4B8A" w14:textId="77777777" w:rsidR="00692D5C" w:rsidRPr="00F85B97" w:rsidRDefault="00692D5C" w:rsidP="00692D5C">
      <w:pPr>
        <w:spacing w:after="0" w:line="480" w:lineRule="auto"/>
        <w:ind w:left="720" w:hanging="720"/>
        <w:rPr>
          <w:rFonts w:ascii="Times New Roman" w:hAnsi="Times New Roman" w:cs="Times New Roman"/>
          <w:color w:val="212121"/>
          <w:sz w:val="24"/>
          <w:szCs w:val="24"/>
          <w:shd w:val="clear" w:color="auto" w:fill="FFFFFF"/>
        </w:rPr>
      </w:pPr>
      <w:r w:rsidRPr="00F85B97">
        <w:rPr>
          <w:rFonts w:ascii="Times New Roman" w:hAnsi="Times New Roman" w:cs="Times New Roman"/>
          <w:color w:val="212121"/>
          <w:sz w:val="24"/>
          <w:szCs w:val="24"/>
          <w:shd w:val="clear" w:color="auto" w:fill="FFFFFF"/>
        </w:rPr>
        <w:t xml:space="preserve">Haldane, V., </w:t>
      </w:r>
      <w:proofErr w:type="spellStart"/>
      <w:r w:rsidRPr="00F85B97">
        <w:rPr>
          <w:rFonts w:ascii="Times New Roman" w:hAnsi="Times New Roman" w:cs="Times New Roman"/>
          <w:color w:val="212121"/>
          <w:sz w:val="24"/>
          <w:szCs w:val="24"/>
          <w:shd w:val="clear" w:color="auto" w:fill="FFFFFF"/>
        </w:rPr>
        <w:t>Chuah</w:t>
      </w:r>
      <w:proofErr w:type="spellEnd"/>
      <w:r w:rsidRPr="00F85B97">
        <w:rPr>
          <w:rFonts w:ascii="Times New Roman" w:hAnsi="Times New Roman" w:cs="Times New Roman"/>
          <w:color w:val="212121"/>
          <w:sz w:val="24"/>
          <w:szCs w:val="24"/>
          <w:shd w:val="clear" w:color="auto" w:fill="FFFFFF"/>
        </w:rPr>
        <w:t xml:space="preserve">, F. L. H., Srivastava, A., Singh, S. R., Koh, G. C. H., Seng, C. K., &amp; </w:t>
      </w:r>
      <w:proofErr w:type="spellStart"/>
      <w:r w:rsidRPr="00F85B97">
        <w:rPr>
          <w:rFonts w:ascii="Times New Roman" w:hAnsi="Times New Roman" w:cs="Times New Roman"/>
          <w:color w:val="212121"/>
          <w:sz w:val="24"/>
          <w:szCs w:val="24"/>
          <w:shd w:val="clear" w:color="auto" w:fill="FFFFFF"/>
        </w:rPr>
        <w:t>Legido</w:t>
      </w:r>
      <w:proofErr w:type="spellEnd"/>
      <w:r w:rsidRPr="00F85B97">
        <w:rPr>
          <w:rFonts w:ascii="Times New Roman" w:hAnsi="Times New Roman" w:cs="Times New Roman"/>
          <w:color w:val="212121"/>
          <w:sz w:val="24"/>
          <w:szCs w:val="24"/>
          <w:shd w:val="clear" w:color="auto" w:fill="FFFFFF"/>
        </w:rPr>
        <w:t>-Quigley, H. (2019). Community participation in health services development, implementation, and evaluation: A systematic review of empowerment, health, community, and process outcomes. </w:t>
      </w:r>
      <w:proofErr w:type="spellStart"/>
      <w:r w:rsidRPr="00F85B97">
        <w:rPr>
          <w:rFonts w:ascii="Times New Roman" w:hAnsi="Times New Roman" w:cs="Times New Roman"/>
          <w:i/>
          <w:iCs/>
          <w:color w:val="212121"/>
          <w:sz w:val="24"/>
          <w:szCs w:val="24"/>
          <w:shd w:val="clear" w:color="auto" w:fill="FFFFFF"/>
        </w:rPr>
        <w:t>PloS</w:t>
      </w:r>
      <w:proofErr w:type="spellEnd"/>
      <w:r w:rsidRPr="00F85B97">
        <w:rPr>
          <w:rFonts w:ascii="Times New Roman" w:hAnsi="Times New Roman" w:cs="Times New Roman"/>
          <w:i/>
          <w:iCs/>
          <w:color w:val="212121"/>
          <w:sz w:val="24"/>
          <w:szCs w:val="24"/>
          <w:shd w:val="clear" w:color="auto" w:fill="FFFFFF"/>
        </w:rPr>
        <w:t xml:space="preserve"> one</w:t>
      </w:r>
      <w:r w:rsidRPr="00F85B97">
        <w:rPr>
          <w:rFonts w:ascii="Times New Roman" w:hAnsi="Times New Roman" w:cs="Times New Roman"/>
          <w:color w:val="212121"/>
          <w:sz w:val="24"/>
          <w:szCs w:val="24"/>
          <w:shd w:val="clear" w:color="auto" w:fill="FFFFFF"/>
        </w:rPr>
        <w:t>, </w:t>
      </w:r>
      <w:r w:rsidRPr="00F85B97">
        <w:rPr>
          <w:rFonts w:ascii="Times New Roman" w:hAnsi="Times New Roman" w:cs="Times New Roman"/>
          <w:i/>
          <w:iCs/>
          <w:color w:val="212121"/>
          <w:sz w:val="24"/>
          <w:szCs w:val="24"/>
          <w:shd w:val="clear" w:color="auto" w:fill="FFFFFF"/>
        </w:rPr>
        <w:t>14</w:t>
      </w:r>
      <w:r w:rsidRPr="00F85B97">
        <w:rPr>
          <w:rFonts w:ascii="Times New Roman" w:hAnsi="Times New Roman" w:cs="Times New Roman"/>
          <w:color w:val="212121"/>
          <w:sz w:val="24"/>
          <w:szCs w:val="24"/>
          <w:shd w:val="clear" w:color="auto" w:fill="FFFFFF"/>
        </w:rPr>
        <w:t xml:space="preserve">(5), e0216112. </w:t>
      </w:r>
      <w:hyperlink r:id="rId15" w:history="1">
        <w:r w:rsidRPr="00F85B97">
          <w:rPr>
            <w:rStyle w:val="Hyperlink"/>
            <w:rFonts w:ascii="Times New Roman" w:hAnsi="Times New Roman" w:cs="Times New Roman"/>
            <w:sz w:val="24"/>
            <w:szCs w:val="24"/>
            <w:shd w:val="clear" w:color="auto" w:fill="FFFFFF"/>
          </w:rPr>
          <w:t>https://doi.org/10.1371/journal.pone.0216112</w:t>
        </w:r>
      </w:hyperlink>
      <w:r w:rsidRPr="00F85B97">
        <w:rPr>
          <w:rFonts w:ascii="Times New Roman" w:hAnsi="Times New Roman" w:cs="Times New Roman"/>
          <w:color w:val="212121"/>
          <w:sz w:val="24"/>
          <w:szCs w:val="24"/>
          <w:shd w:val="clear" w:color="auto" w:fill="FFFFFF"/>
        </w:rPr>
        <w:t xml:space="preserve"> </w:t>
      </w:r>
    </w:p>
    <w:p w14:paraId="2CD7C6AC" w14:textId="77777777" w:rsidR="00692D5C" w:rsidRPr="00F85B97" w:rsidRDefault="00692D5C" w:rsidP="00692D5C">
      <w:pPr>
        <w:spacing w:after="0" w:line="480" w:lineRule="auto"/>
        <w:ind w:left="720" w:hanging="720"/>
        <w:rPr>
          <w:rFonts w:ascii="Times New Roman" w:hAnsi="Times New Roman" w:cs="Times New Roman"/>
          <w:color w:val="212121"/>
          <w:sz w:val="24"/>
          <w:szCs w:val="24"/>
          <w:shd w:val="clear" w:color="auto" w:fill="FFFFFF"/>
        </w:rPr>
      </w:pPr>
      <w:r w:rsidRPr="00F85B97">
        <w:rPr>
          <w:rFonts w:ascii="Times New Roman" w:hAnsi="Times New Roman" w:cs="Times New Roman"/>
          <w:color w:val="212121"/>
          <w:sz w:val="24"/>
          <w:szCs w:val="24"/>
          <w:shd w:val="clear" w:color="auto" w:fill="FFFFFF"/>
        </w:rPr>
        <w:t xml:space="preserve">Hickmann, E., Richter, P., &amp; </w:t>
      </w:r>
      <w:proofErr w:type="spellStart"/>
      <w:r w:rsidRPr="00F85B97">
        <w:rPr>
          <w:rFonts w:ascii="Times New Roman" w:hAnsi="Times New Roman" w:cs="Times New Roman"/>
          <w:color w:val="212121"/>
          <w:sz w:val="24"/>
          <w:szCs w:val="24"/>
          <w:shd w:val="clear" w:color="auto" w:fill="FFFFFF"/>
        </w:rPr>
        <w:t>Schlieter</w:t>
      </w:r>
      <w:proofErr w:type="spellEnd"/>
      <w:r w:rsidRPr="00F85B97">
        <w:rPr>
          <w:rFonts w:ascii="Times New Roman" w:hAnsi="Times New Roman" w:cs="Times New Roman"/>
          <w:color w:val="212121"/>
          <w:sz w:val="24"/>
          <w:szCs w:val="24"/>
          <w:shd w:val="clear" w:color="auto" w:fill="FFFFFF"/>
        </w:rPr>
        <w:t>, H. (2022). All together now - patient engagement, patient empowerment, and associated terms in personal healthcare. </w:t>
      </w:r>
      <w:r w:rsidRPr="00F85B97">
        <w:rPr>
          <w:rFonts w:ascii="Times New Roman" w:hAnsi="Times New Roman" w:cs="Times New Roman"/>
          <w:i/>
          <w:iCs/>
          <w:color w:val="212121"/>
          <w:sz w:val="24"/>
          <w:szCs w:val="24"/>
          <w:shd w:val="clear" w:color="auto" w:fill="FFFFFF"/>
        </w:rPr>
        <w:t>BMC Health Services Research</w:t>
      </w:r>
      <w:r w:rsidRPr="00F85B97">
        <w:rPr>
          <w:rFonts w:ascii="Times New Roman" w:hAnsi="Times New Roman" w:cs="Times New Roman"/>
          <w:color w:val="212121"/>
          <w:sz w:val="24"/>
          <w:szCs w:val="24"/>
          <w:shd w:val="clear" w:color="auto" w:fill="FFFFFF"/>
        </w:rPr>
        <w:t>, </w:t>
      </w:r>
      <w:r w:rsidRPr="00F85B97">
        <w:rPr>
          <w:rFonts w:ascii="Times New Roman" w:hAnsi="Times New Roman" w:cs="Times New Roman"/>
          <w:i/>
          <w:iCs/>
          <w:color w:val="212121"/>
          <w:sz w:val="24"/>
          <w:szCs w:val="24"/>
          <w:shd w:val="clear" w:color="auto" w:fill="FFFFFF"/>
        </w:rPr>
        <w:t>22</w:t>
      </w:r>
      <w:r w:rsidRPr="00F85B97">
        <w:rPr>
          <w:rFonts w:ascii="Times New Roman" w:hAnsi="Times New Roman" w:cs="Times New Roman"/>
          <w:color w:val="212121"/>
          <w:sz w:val="24"/>
          <w:szCs w:val="24"/>
          <w:shd w:val="clear" w:color="auto" w:fill="FFFFFF"/>
        </w:rPr>
        <w:t xml:space="preserve">(1), 1116. </w:t>
      </w:r>
      <w:hyperlink r:id="rId16" w:history="1">
        <w:r w:rsidRPr="008A0B0F">
          <w:rPr>
            <w:rStyle w:val="Hyperlink"/>
            <w:rFonts w:ascii="Times New Roman" w:hAnsi="Times New Roman" w:cs="Times New Roman"/>
            <w:sz w:val="24"/>
            <w:szCs w:val="24"/>
            <w:shd w:val="clear" w:color="auto" w:fill="FFFFFF"/>
          </w:rPr>
          <w:t>https://doi.org/10.1186/s12913-022-08501-5</w:t>
        </w:r>
      </w:hyperlink>
      <w:r w:rsidRPr="00F85B97">
        <w:rPr>
          <w:rFonts w:ascii="Times New Roman" w:hAnsi="Times New Roman" w:cs="Times New Roman"/>
          <w:color w:val="212121"/>
          <w:sz w:val="24"/>
          <w:szCs w:val="24"/>
          <w:shd w:val="clear" w:color="auto" w:fill="FFFFFF"/>
        </w:rPr>
        <w:t xml:space="preserve"> </w:t>
      </w:r>
    </w:p>
    <w:p w14:paraId="6CED90A5" w14:textId="77777777" w:rsidR="00692D5C" w:rsidRPr="00F85B97" w:rsidRDefault="00692D5C" w:rsidP="00692D5C">
      <w:pPr>
        <w:spacing w:after="0" w:line="480" w:lineRule="auto"/>
        <w:ind w:left="720" w:hanging="720"/>
        <w:rPr>
          <w:rFonts w:ascii="Times New Roman" w:hAnsi="Times New Roman" w:cs="Times New Roman"/>
          <w:color w:val="212121"/>
          <w:sz w:val="24"/>
          <w:szCs w:val="24"/>
          <w:shd w:val="clear" w:color="auto" w:fill="FFFFFF"/>
        </w:rPr>
      </w:pPr>
      <w:proofErr w:type="spellStart"/>
      <w:r w:rsidRPr="00F85B97">
        <w:rPr>
          <w:rFonts w:ascii="Times New Roman" w:hAnsi="Times New Roman" w:cs="Times New Roman"/>
          <w:color w:val="212121"/>
          <w:sz w:val="24"/>
          <w:szCs w:val="24"/>
          <w:shd w:val="clear" w:color="auto" w:fill="FFFFFF"/>
        </w:rPr>
        <w:t>Kuwabara</w:t>
      </w:r>
      <w:proofErr w:type="spellEnd"/>
      <w:r w:rsidRPr="00F85B97">
        <w:rPr>
          <w:rFonts w:ascii="Times New Roman" w:hAnsi="Times New Roman" w:cs="Times New Roman"/>
          <w:color w:val="212121"/>
          <w:sz w:val="24"/>
          <w:szCs w:val="24"/>
          <w:shd w:val="clear" w:color="auto" w:fill="FFFFFF"/>
        </w:rPr>
        <w:t xml:space="preserve">, A., </w:t>
      </w:r>
      <w:proofErr w:type="spellStart"/>
      <w:r w:rsidRPr="00F85B97">
        <w:rPr>
          <w:rFonts w:ascii="Times New Roman" w:hAnsi="Times New Roman" w:cs="Times New Roman"/>
          <w:color w:val="212121"/>
          <w:sz w:val="24"/>
          <w:szCs w:val="24"/>
          <w:shd w:val="clear" w:color="auto" w:fill="FFFFFF"/>
        </w:rPr>
        <w:t>Su</w:t>
      </w:r>
      <w:proofErr w:type="spellEnd"/>
      <w:r w:rsidRPr="00F85B97">
        <w:rPr>
          <w:rFonts w:ascii="Times New Roman" w:hAnsi="Times New Roman" w:cs="Times New Roman"/>
          <w:color w:val="212121"/>
          <w:sz w:val="24"/>
          <w:szCs w:val="24"/>
          <w:shd w:val="clear" w:color="auto" w:fill="FFFFFF"/>
        </w:rPr>
        <w:t>, S., &amp; Krauss, J. (2019). Utilizing digital health technologies for patient education in lifestyle medicine. </w:t>
      </w:r>
      <w:r w:rsidRPr="00F85B97">
        <w:rPr>
          <w:rFonts w:ascii="Times New Roman" w:hAnsi="Times New Roman" w:cs="Times New Roman"/>
          <w:i/>
          <w:iCs/>
          <w:color w:val="212121"/>
          <w:sz w:val="24"/>
          <w:szCs w:val="24"/>
          <w:shd w:val="clear" w:color="auto" w:fill="FFFFFF"/>
        </w:rPr>
        <w:t>American Journal of Lifestyle Medicine</w:t>
      </w:r>
      <w:r w:rsidRPr="00F85B97">
        <w:rPr>
          <w:rFonts w:ascii="Times New Roman" w:hAnsi="Times New Roman" w:cs="Times New Roman"/>
          <w:color w:val="212121"/>
          <w:sz w:val="24"/>
          <w:szCs w:val="24"/>
          <w:shd w:val="clear" w:color="auto" w:fill="FFFFFF"/>
        </w:rPr>
        <w:t>, </w:t>
      </w:r>
      <w:r w:rsidRPr="00F85B97">
        <w:rPr>
          <w:rFonts w:ascii="Times New Roman" w:hAnsi="Times New Roman" w:cs="Times New Roman"/>
          <w:i/>
          <w:iCs/>
          <w:color w:val="212121"/>
          <w:sz w:val="24"/>
          <w:szCs w:val="24"/>
          <w:shd w:val="clear" w:color="auto" w:fill="FFFFFF"/>
        </w:rPr>
        <w:t>14</w:t>
      </w:r>
      <w:r w:rsidRPr="00F85B97">
        <w:rPr>
          <w:rFonts w:ascii="Times New Roman" w:hAnsi="Times New Roman" w:cs="Times New Roman"/>
          <w:color w:val="212121"/>
          <w:sz w:val="24"/>
          <w:szCs w:val="24"/>
          <w:shd w:val="clear" w:color="auto" w:fill="FFFFFF"/>
        </w:rPr>
        <w:t xml:space="preserve">(2), 137–142. </w:t>
      </w:r>
      <w:hyperlink r:id="rId17" w:history="1">
        <w:r w:rsidRPr="00F85B97">
          <w:rPr>
            <w:rStyle w:val="Hyperlink"/>
            <w:rFonts w:ascii="Times New Roman" w:hAnsi="Times New Roman" w:cs="Times New Roman"/>
            <w:sz w:val="24"/>
            <w:szCs w:val="24"/>
            <w:shd w:val="clear" w:color="auto" w:fill="FFFFFF"/>
          </w:rPr>
          <w:t>https://doi.org/10.1177/1559827619892547</w:t>
        </w:r>
      </w:hyperlink>
    </w:p>
    <w:p w14:paraId="70D2F3D0" w14:textId="77777777" w:rsidR="00692D5C" w:rsidRPr="00F85B97" w:rsidRDefault="00692D5C" w:rsidP="00692D5C">
      <w:pPr>
        <w:spacing w:after="0" w:line="480" w:lineRule="auto"/>
        <w:ind w:left="720" w:hanging="720"/>
        <w:rPr>
          <w:rFonts w:ascii="Times New Roman" w:hAnsi="Times New Roman" w:cs="Times New Roman"/>
          <w:color w:val="212121"/>
          <w:sz w:val="24"/>
          <w:szCs w:val="24"/>
          <w:shd w:val="clear" w:color="auto" w:fill="FFFFFF"/>
        </w:rPr>
      </w:pPr>
      <w:r w:rsidRPr="00F85B97">
        <w:rPr>
          <w:rFonts w:ascii="Times New Roman" w:hAnsi="Times New Roman" w:cs="Times New Roman"/>
          <w:color w:val="212121"/>
          <w:sz w:val="24"/>
          <w:szCs w:val="24"/>
          <w:shd w:val="clear" w:color="auto" w:fill="FFFFFF"/>
        </w:rPr>
        <w:lastRenderedPageBreak/>
        <w:t>Lee, J. L., &amp; Kim, Y. (2024). Evaluation of mobile applications for patients with diabetes mellitus: A scoping review. </w:t>
      </w:r>
      <w:r w:rsidRPr="00F85B97">
        <w:rPr>
          <w:rFonts w:ascii="Times New Roman" w:hAnsi="Times New Roman" w:cs="Times New Roman"/>
          <w:i/>
          <w:iCs/>
          <w:color w:val="212121"/>
          <w:sz w:val="24"/>
          <w:szCs w:val="24"/>
          <w:shd w:val="clear" w:color="auto" w:fill="FFFFFF"/>
        </w:rPr>
        <w:t>Healthcare (Basel, Switzerland)</w:t>
      </w:r>
      <w:r w:rsidRPr="00F85B97">
        <w:rPr>
          <w:rFonts w:ascii="Times New Roman" w:hAnsi="Times New Roman" w:cs="Times New Roman"/>
          <w:color w:val="212121"/>
          <w:sz w:val="24"/>
          <w:szCs w:val="24"/>
          <w:shd w:val="clear" w:color="auto" w:fill="FFFFFF"/>
        </w:rPr>
        <w:t>, </w:t>
      </w:r>
      <w:r w:rsidRPr="00F85B97">
        <w:rPr>
          <w:rFonts w:ascii="Times New Roman" w:hAnsi="Times New Roman" w:cs="Times New Roman"/>
          <w:i/>
          <w:iCs/>
          <w:color w:val="212121"/>
          <w:sz w:val="24"/>
          <w:szCs w:val="24"/>
          <w:shd w:val="clear" w:color="auto" w:fill="FFFFFF"/>
        </w:rPr>
        <w:t>12</w:t>
      </w:r>
      <w:r w:rsidRPr="00F85B97">
        <w:rPr>
          <w:rFonts w:ascii="Times New Roman" w:hAnsi="Times New Roman" w:cs="Times New Roman"/>
          <w:color w:val="212121"/>
          <w:sz w:val="24"/>
          <w:szCs w:val="24"/>
          <w:shd w:val="clear" w:color="auto" w:fill="FFFFFF"/>
        </w:rPr>
        <w:t xml:space="preserve">(3), 368. </w:t>
      </w:r>
      <w:hyperlink r:id="rId18" w:history="1">
        <w:r w:rsidRPr="00F85B97">
          <w:rPr>
            <w:rStyle w:val="Hyperlink"/>
            <w:rFonts w:ascii="Times New Roman" w:hAnsi="Times New Roman" w:cs="Times New Roman"/>
            <w:sz w:val="24"/>
            <w:szCs w:val="24"/>
            <w:shd w:val="clear" w:color="auto" w:fill="FFFFFF"/>
          </w:rPr>
          <w:t>https://doi.org/10.3390/healthcare12030368</w:t>
        </w:r>
      </w:hyperlink>
      <w:r w:rsidRPr="00F85B97">
        <w:rPr>
          <w:rFonts w:ascii="Times New Roman" w:hAnsi="Times New Roman" w:cs="Times New Roman"/>
          <w:color w:val="212121"/>
          <w:sz w:val="24"/>
          <w:szCs w:val="24"/>
          <w:shd w:val="clear" w:color="auto" w:fill="FFFFFF"/>
        </w:rPr>
        <w:t xml:space="preserve"> </w:t>
      </w:r>
    </w:p>
    <w:p w14:paraId="67E065BA" w14:textId="77777777" w:rsidR="00692D5C" w:rsidRPr="00F85B97" w:rsidRDefault="00692D5C" w:rsidP="00692D5C">
      <w:pPr>
        <w:spacing w:after="0" w:line="480" w:lineRule="auto"/>
        <w:ind w:left="720" w:hanging="720"/>
        <w:rPr>
          <w:rFonts w:ascii="Times New Roman" w:hAnsi="Times New Roman" w:cs="Times New Roman"/>
          <w:color w:val="212121"/>
          <w:sz w:val="24"/>
          <w:szCs w:val="24"/>
          <w:shd w:val="clear" w:color="auto" w:fill="FFFFFF"/>
        </w:rPr>
      </w:pPr>
      <w:r w:rsidRPr="00F85B97">
        <w:rPr>
          <w:rFonts w:ascii="Times New Roman" w:hAnsi="Times New Roman" w:cs="Times New Roman"/>
          <w:color w:val="212121"/>
          <w:sz w:val="24"/>
          <w:szCs w:val="24"/>
          <w:shd w:val="clear" w:color="auto" w:fill="FFFFFF"/>
        </w:rPr>
        <w:t>Luo, J., &amp; White-Means, S. (2021). Evaluating the potential use of smartphone apps for diabetes self-management in an underserved population: A qualitative approach. </w:t>
      </w:r>
      <w:r w:rsidRPr="00F85B97">
        <w:rPr>
          <w:rFonts w:ascii="Times New Roman" w:hAnsi="Times New Roman" w:cs="Times New Roman"/>
          <w:i/>
          <w:iCs/>
          <w:color w:val="212121"/>
          <w:sz w:val="24"/>
          <w:szCs w:val="24"/>
          <w:shd w:val="clear" w:color="auto" w:fill="FFFFFF"/>
        </w:rPr>
        <w:t>International Journal of Environmental Research and Public Health</w:t>
      </w:r>
      <w:r w:rsidRPr="00F85B97">
        <w:rPr>
          <w:rFonts w:ascii="Times New Roman" w:hAnsi="Times New Roman" w:cs="Times New Roman"/>
          <w:color w:val="212121"/>
          <w:sz w:val="24"/>
          <w:szCs w:val="24"/>
          <w:shd w:val="clear" w:color="auto" w:fill="FFFFFF"/>
        </w:rPr>
        <w:t>, </w:t>
      </w:r>
      <w:r w:rsidRPr="00F85B97">
        <w:rPr>
          <w:rFonts w:ascii="Times New Roman" w:hAnsi="Times New Roman" w:cs="Times New Roman"/>
          <w:i/>
          <w:iCs/>
          <w:color w:val="212121"/>
          <w:sz w:val="24"/>
          <w:szCs w:val="24"/>
          <w:shd w:val="clear" w:color="auto" w:fill="FFFFFF"/>
        </w:rPr>
        <w:t>18</w:t>
      </w:r>
      <w:r w:rsidRPr="00F85B97">
        <w:rPr>
          <w:rFonts w:ascii="Times New Roman" w:hAnsi="Times New Roman" w:cs="Times New Roman"/>
          <w:color w:val="212121"/>
          <w:sz w:val="24"/>
          <w:szCs w:val="24"/>
          <w:shd w:val="clear" w:color="auto" w:fill="FFFFFF"/>
        </w:rPr>
        <w:t xml:space="preserve">(18), 9886. </w:t>
      </w:r>
      <w:hyperlink r:id="rId19" w:history="1">
        <w:r w:rsidRPr="00F85B97">
          <w:rPr>
            <w:rStyle w:val="Hyperlink"/>
            <w:rFonts w:ascii="Times New Roman" w:hAnsi="Times New Roman" w:cs="Times New Roman"/>
            <w:sz w:val="24"/>
            <w:szCs w:val="24"/>
            <w:shd w:val="clear" w:color="auto" w:fill="FFFFFF"/>
          </w:rPr>
          <w:t>https://doi.org/10.3390/ijerph18189886</w:t>
        </w:r>
      </w:hyperlink>
      <w:r w:rsidRPr="00F85B97">
        <w:rPr>
          <w:rFonts w:ascii="Times New Roman" w:hAnsi="Times New Roman" w:cs="Times New Roman"/>
          <w:color w:val="212121"/>
          <w:sz w:val="24"/>
          <w:szCs w:val="24"/>
          <w:shd w:val="clear" w:color="auto" w:fill="FFFFFF"/>
        </w:rPr>
        <w:t xml:space="preserve"> </w:t>
      </w:r>
    </w:p>
    <w:p w14:paraId="26AB7174" w14:textId="77777777" w:rsidR="00692D5C" w:rsidRPr="00F85B97" w:rsidRDefault="00692D5C" w:rsidP="00692D5C">
      <w:pPr>
        <w:spacing w:after="0" w:line="480" w:lineRule="auto"/>
        <w:ind w:left="720" w:hanging="720"/>
        <w:rPr>
          <w:rFonts w:ascii="Times New Roman" w:hAnsi="Times New Roman" w:cs="Times New Roman"/>
          <w:color w:val="212121"/>
          <w:sz w:val="24"/>
          <w:szCs w:val="24"/>
          <w:shd w:val="clear" w:color="auto" w:fill="FFFFFF"/>
        </w:rPr>
      </w:pPr>
      <w:proofErr w:type="spellStart"/>
      <w:r w:rsidRPr="00F85B97">
        <w:rPr>
          <w:rFonts w:ascii="Times New Roman" w:hAnsi="Times New Roman" w:cs="Times New Roman"/>
          <w:color w:val="212121"/>
          <w:sz w:val="24"/>
          <w:szCs w:val="24"/>
          <w:shd w:val="clear" w:color="auto" w:fill="FFFFFF"/>
        </w:rPr>
        <w:t>Marzban</w:t>
      </w:r>
      <w:proofErr w:type="spellEnd"/>
      <w:r w:rsidRPr="00F85B97">
        <w:rPr>
          <w:rFonts w:ascii="Times New Roman" w:hAnsi="Times New Roman" w:cs="Times New Roman"/>
          <w:color w:val="212121"/>
          <w:sz w:val="24"/>
          <w:szCs w:val="24"/>
          <w:shd w:val="clear" w:color="auto" w:fill="FFFFFF"/>
        </w:rPr>
        <w:t xml:space="preserve">, S., Najafi, M., </w:t>
      </w:r>
      <w:proofErr w:type="spellStart"/>
      <w:r w:rsidRPr="00F85B97">
        <w:rPr>
          <w:rFonts w:ascii="Times New Roman" w:hAnsi="Times New Roman" w:cs="Times New Roman"/>
          <w:color w:val="212121"/>
          <w:sz w:val="24"/>
          <w:szCs w:val="24"/>
          <w:shd w:val="clear" w:color="auto" w:fill="FFFFFF"/>
        </w:rPr>
        <w:t>Agolli</w:t>
      </w:r>
      <w:proofErr w:type="spellEnd"/>
      <w:r w:rsidRPr="00F85B97">
        <w:rPr>
          <w:rFonts w:ascii="Times New Roman" w:hAnsi="Times New Roman" w:cs="Times New Roman"/>
          <w:color w:val="212121"/>
          <w:sz w:val="24"/>
          <w:szCs w:val="24"/>
          <w:shd w:val="clear" w:color="auto" w:fill="FFFFFF"/>
        </w:rPr>
        <w:t>, A., &amp; Ashrafi, E. (2022). Impact of patient engagement on healthcare quality: A scoping review. </w:t>
      </w:r>
      <w:r w:rsidRPr="00F85B97">
        <w:rPr>
          <w:rFonts w:ascii="Times New Roman" w:hAnsi="Times New Roman" w:cs="Times New Roman"/>
          <w:i/>
          <w:iCs/>
          <w:color w:val="212121"/>
          <w:sz w:val="24"/>
          <w:szCs w:val="24"/>
          <w:shd w:val="clear" w:color="auto" w:fill="FFFFFF"/>
        </w:rPr>
        <w:t>Journal of Patient Experience</w:t>
      </w:r>
      <w:r w:rsidRPr="00F85B97">
        <w:rPr>
          <w:rFonts w:ascii="Times New Roman" w:hAnsi="Times New Roman" w:cs="Times New Roman"/>
          <w:color w:val="212121"/>
          <w:sz w:val="24"/>
          <w:szCs w:val="24"/>
          <w:shd w:val="clear" w:color="auto" w:fill="FFFFFF"/>
        </w:rPr>
        <w:t>, </w:t>
      </w:r>
      <w:r w:rsidRPr="00F85B97">
        <w:rPr>
          <w:rFonts w:ascii="Times New Roman" w:hAnsi="Times New Roman" w:cs="Times New Roman"/>
          <w:i/>
          <w:iCs/>
          <w:color w:val="212121"/>
          <w:sz w:val="24"/>
          <w:szCs w:val="24"/>
          <w:shd w:val="clear" w:color="auto" w:fill="FFFFFF"/>
        </w:rPr>
        <w:t>9</w:t>
      </w:r>
      <w:r w:rsidRPr="00F85B97">
        <w:rPr>
          <w:rFonts w:ascii="Times New Roman" w:hAnsi="Times New Roman" w:cs="Times New Roman"/>
          <w:color w:val="212121"/>
          <w:sz w:val="24"/>
          <w:szCs w:val="24"/>
          <w:shd w:val="clear" w:color="auto" w:fill="FFFFFF"/>
        </w:rPr>
        <w:t xml:space="preserve">, 23743735221125439. </w:t>
      </w:r>
      <w:hyperlink r:id="rId20" w:history="1">
        <w:r w:rsidRPr="00F85B97">
          <w:rPr>
            <w:rStyle w:val="Hyperlink"/>
            <w:rFonts w:ascii="Times New Roman" w:hAnsi="Times New Roman" w:cs="Times New Roman"/>
            <w:sz w:val="24"/>
            <w:szCs w:val="24"/>
            <w:shd w:val="clear" w:color="auto" w:fill="FFFFFF"/>
          </w:rPr>
          <w:t>https://doi.org/10.1177/23743735221125439</w:t>
        </w:r>
      </w:hyperlink>
      <w:r w:rsidRPr="00F85B97">
        <w:rPr>
          <w:rFonts w:ascii="Times New Roman" w:hAnsi="Times New Roman" w:cs="Times New Roman"/>
          <w:color w:val="212121"/>
          <w:sz w:val="24"/>
          <w:szCs w:val="24"/>
          <w:shd w:val="clear" w:color="auto" w:fill="FFFFFF"/>
        </w:rPr>
        <w:t xml:space="preserve"> </w:t>
      </w:r>
    </w:p>
    <w:p w14:paraId="1A2C43AA" w14:textId="77777777" w:rsidR="00692D5C" w:rsidRPr="00F85B97" w:rsidRDefault="00692D5C" w:rsidP="00692D5C">
      <w:pPr>
        <w:spacing w:after="0" w:line="480" w:lineRule="auto"/>
        <w:ind w:left="720" w:hanging="720"/>
        <w:rPr>
          <w:rFonts w:ascii="Times New Roman" w:hAnsi="Times New Roman" w:cs="Times New Roman"/>
          <w:color w:val="212121"/>
          <w:sz w:val="24"/>
          <w:szCs w:val="24"/>
          <w:shd w:val="clear" w:color="auto" w:fill="FFFFFF"/>
        </w:rPr>
      </w:pPr>
      <w:r w:rsidRPr="00F85B97">
        <w:rPr>
          <w:rFonts w:ascii="Times New Roman" w:hAnsi="Times New Roman" w:cs="Times New Roman"/>
          <w:color w:val="212121"/>
          <w:sz w:val="24"/>
          <w:szCs w:val="24"/>
          <w:shd w:val="clear" w:color="auto" w:fill="FFFFFF"/>
        </w:rPr>
        <w:t>Morales-Garzón, S., Parker, L. A., Hernández-</w:t>
      </w:r>
      <w:proofErr w:type="spellStart"/>
      <w:r w:rsidRPr="00F85B97">
        <w:rPr>
          <w:rFonts w:ascii="Times New Roman" w:hAnsi="Times New Roman" w:cs="Times New Roman"/>
          <w:color w:val="212121"/>
          <w:sz w:val="24"/>
          <w:szCs w:val="24"/>
          <w:shd w:val="clear" w:color="auto" w:fill="FFFFFF"/>
        </w:rPr>
        <w:t>Aguado</w:t>
      </w:r>
      <w:proofErr w:type="spellEnd"/>
      <w:r w:rsidRPr="00F85B97">
        <w:rPr>
          <w:rFonts w:ascii="Times New Roman" w:hAnsi="Times New Roman" w:cs="Times New Roman"/>
          <w:color w:val="212121"/>
          <w:sz w:val="24"/>
          <w:szCs w:val="24"/>
          <w:shd w:val="clear" w:color="auto" w:fill="FFFFFF"/>
        </w:rPr>
        <w:t xml:space="preserve">, I., González-Moro </w:t>
      </w:r>
      <w:proofErr w:type="spellStart"/>
      <w:r w:rsidRPr="00F85B97">
        <w:rPr>
          <w:rFonts w:ascii="Times New Roman" w:hAnsi="Times New Roman" w:cs="Times New Roman"/>
          <w:color w:val="212121"/>
          <w:sz w:val="24"/>
          <w:szCs w:val="24"/>
          <w:shd w:val="clear" w:color="auto" w:fill="FFFFFF"/>
        </w:rPr>
        <w:t>Tolosana</w:t>
      </w:r>
      <w:proofErr w:type="spellEnd"/>
      <w:r w:rsidRPr="00F85B97">
        <w:rPr>
          <w:rFonts w:ascii="Times New Roman" w:hAnsi="Times New Roman" w:cs="Times New Roman"/>
          <w:color w:val="212121"/>
          <w:sz w:val="24"/>
          <w:szCs w:val="24"/>
          <w:shd w:val="clear" w:color="auto" w:fill="FFFFFF"/>
        </w:rPr>
        <w:t xml:space="preserve">, M., Pastor-Valero, M., &amp; </w:t>
      </w:r>
      <w:proofErr w:type="spellStart"/>
      <w:r w:rsidRPr="00F85B97">
        <w:rPr>
          <w:rFonts w:ascii="Times New Roman" w:hAnsi="Times New Roman" w:cs="Times New Roman"/>
          <w:color w:val="212121"/>
          <w:sz w:val="24"/>
          <w:szCs w:val="24"/>
          <w:shd w:val="clear" w:color="auto" w:fill="FFFFFF"/>
        </w:rPr>
        <w:t>Chilet-Rosell</w:t>
      </w:r>
      <w:proofErr w:type="spellEnd"/>
      <w:r w:rsidRPr="00F85B97">
        <w:rPr>
          <w:rFonts w:ascii="Times New Roman" w:hAnsi="Times New Roman" w:cs="Times New Roman"/>
          <w:color w:val="212121"/>
          <w:sz w:val="24"/>
          <w:szCs w:val="24"/>
          <w:shd w:val="clear" w:color="auto" w:fill="FFFFFF"/>
        </w:rPr>
        <w:t>, E. (2023). Addressing health disparities through community participation: A scoping review of co-creation in public health. </w:t>
      </w:r>
      <w:r w:rsidRPr="00F85B97">
        <w:rPr>
          <w:rFonts w:ascii="Times New Roman" w:hAnsi="Times New Roman" w:cs="Times New Roman"/>
          <w:i/>
          <w:iCs/>
          <w:color w:val="212121"/>
          <w:sz w:val="24"/>
          <w:szCs w:val="24"/>
          <w:shd w:val="clear" w:color="auto" w:fill="FFFFFF"/>
        </w:rPr>
        <w:t>Healthcare (Basel, Switzerland)</w:t>
      </w:r>
      <w:r w:rsidRPr="00F85B97">
        <w:rPr>
          <w:rFonts w:ascii="Times New Roman" w:hAnsi="Times New Roman" w:cs="Times New Roman"/>
          <w:color w:val="212121"/>
          <w:sz w:val="24"/>
          <w:szCs w:val="24"/>
          <w:shd w:val="clear" w:color="auto" w:fill="FFFFFF"/>
        </w:rPr>
        <w:t>, </w:t>
      </w:r>
      <w:r w:rsidRPr="00F85B97">
        <w:rPr>
          <w:rFonts w:ascii="Times New Roman" w:hAnsi="Times New Roman" w:cs="Times New Roman"/>
          <w:i/>
          <w:iCs/>
          <w:color w:val="212121"/>
          <w:sz w:val="24"/>
          <w:szCs w:val="24"/>
          <w:shd w:val="clear" w:color="auto" w:fill="FFFFFF"/>
        </w:rPr>
        <w:t>11</w:t>
      </w:r>
      <w:r w:rsidRPr="00F85B97">
        <w:rPr>
          <w:rFonts w:ascii="Times New Roman" w:hAnsi="Times New Roman" w:cs="Times New Roman"/>
          <w:color w:val="212121"/>
          <w:sz w:val="24"/>
          <w:szCs w:val="24"/>
          <w:shd w:val="clear" w:color="auto" w:fill="FFFFFF"/>
        </w:rPr>
        <w:t xml:space="preserve">(7), 1034. </w:t>
      </w:r>
      <w:hyperlink r:id="rId21" w:history="1">
        <w:r w:rsidRPr="00F85B97">
          <w:rPr>
            <w:rStyle w:val="Hyperlink"/>
            <w:rFonts w:ascii="Times New Roman" w:hAnsi="Times New Roman" w:cs="Times New Roman"/>
            <w:sz w:val="24"/>
            <w:szCs w:val="24"/>
            <w:shd w:val="clear" w:color="auto" w:fill="FFFFFF"/>
          </w:rPr>
          <w:t>https://doi.org/10.3390/healthcare11071034</w:t>
        </w:r>
      </w:hyperlink>
      <w:r w:rsidRPr="00F85B97">
        <w:rPr>
          <w:rFonts w:ascii="Times New Roman" w:hAnsi="Times New Roman" w:cs="Times New Roman"/>
          <w:color w:val="212121"/>
          <w:sz w:val="24"/>
          <w:szCs w:val="24"/>
          <w:shd w:val="clear" w:color="auto" w:fill="FFFFFF"/>
        </w:rPr>
        <w:t xml:space="preserve"> </w:t>
      </w:r>
    </w:p>
    <w:p w14:paraId="2F2C800A" w14:textId="77777777" w:rsidR="00692D5C" w:rsidRPr="00F85B97" w:rsidRDefault="00692D5C" w:rsidP="00692D5C">
      <w:pPr>
        <w:spacing w:after="0" w:line="480" w:lineRule="auto"/>
        <w:ind w:left="720" w:hanging="720"/>
        <w:rPr>
          <w:rFonts w:ascii="Times New Roman" w:eastAsia="Times New Roman" w:hAnsi="Times New Roman" w:cs="Times New Roman"/>
          <w:sz w:val="24"/>
          <w:szCs w:val="24"/>
        </w:rPr>
      </w:pPr>
      <w:r w:rsidRPr="00F85B97">
        <w:rPr>
          <w:rFonts w:ascii="Times New Roman" w:eastAsia="Times New Roman" w:hAnsi="Times New Roman" w:cs="Times New Roman"/>
          <w:sz w:val="24"/>
          <w:szCs w:val="24"/>
        </w:rPr>
        <w:t xml:space="preserve">Office of Disease Prevention and Health Promotion. (2021). Reduce the number of diabetes cases diagnosed yearly – D-01. </w:t>
      </w:r>
      <w:r w:rsidRPr="00F85B97">
        <w:rPr>
          <w:rFonts w:ascii="Times New Roman" w:eastAsia="Times New Roman" w:hAnsi="Times New Roman" w:cs="Times New Roman"/>
          <w:i/>
          <w:sz w:val="24"/>
          <w:szCs w:val="24"/>
        </w:rPr>
        <w:t xml:space="preserve">Healthy People 2030. </w:t>
      </w:r>
      <w:r w:rsidRPr="00F85B97">
        <w:rPr>
          <w:rFonts w:ascii="Times New Roman" w:eastAsia="Times New Roman" w:hAnsi="Times New Roman" w:cs="Times New Roman"/>
          <w:sz w:val="24"/>
          <w:szCs w:val="24"/>
        </w:rPr>
        <w:t xml:space="preserve">U.S. Department of Health and Human Services. </w:t>
      </w:r>
      <w:hyperlink r:id="rId22" w:history="1">
        <w:r w:rsidRPr="00F85B97">
          <w:rPr>
            <w:rStyle w:val="Hyperlink"/>
            <w:rFonts w:ascii="Times New Roman" w:eastAsia="Times New Roman" w:hAnsi="Times New Roman" w:cs="Times New Roman"/>
            <w:sz w:val="24"/>
            <w:szCs w:val="24"/>
          </w:rPr>
          <w:t>https://health.gov/healthypeople/objectives-and-data/browse-objectives/diabetes/reduce-number-diabetes-cases-diagnosed-yearly-d-01</w:t>
        </w:r>
      </w:hyperlink>
    </w:p>
    <w:p w14:paraId="5938CAB6" w14:textId="77777777" w:rsidR="00692D5C" w:rsidRPr="00F85B97" w:rsidRDefault="00692D5C" w:rsidP="00692D5C">
      <w:pPr>
        <w:spacing w:after="0" w:line="480" w:lineRule="auto"/>
        <w:ind w:left="720" w:hanging="720"/>
        <w:rPr>
          <w:rFonts w:ascii="Times New Roman" w:hAnsi="Times New Roman" w:cs="Times New Roman"/>
          <w:color w:val="212121"/>
          <w:sz w:val="24"/>
          <w:szCs w:val="24"/>
          <w:shd w:val="clear" w:color="auto" w:fill="FFFFFF"/>
        </w:rPr>
      </w:pPr>
      <w:r w:rsidRPr="00F85B97">
        <w:rPr>
          <w:rFonts w:ascii="Times New Roman" w:hAnsi="Times New Roman" w:cs="Times New Roman"/>
          <w:color w:val="212121"/>
          <w:sz w:val="24"/>
          <w:szCs w:val="24"/>
          <w:shd w:val="clear" w:color="auto" w:fill="FFFFFF"/>
        </w:rPr>
        <w:t>Stake, M., &amp; Heinrichs, B. (2022). Ethical implications of e-health applications in early preventive healthcare. </w:t>
      </w:r>
      <w:r w:rsidRPr="00F85B97">
        <w:rPr>
          <w:rFonts w:ascii="Times New Roman" w:hAnsi="Times New Roman" w:cs="Times New Roman"/>
          <w:i/>
          <w:iCs/>
          <w:color w:val="212121"/>
          <w:sz w:val="24"/>
          <w:szCs w:val="24"/>
          <w:shd w:val="clear" w:color="auto" w:fill="FFFFFF"/>
        </w:rPr>
        <w:t>Frontiers in Genetics</w:t>
      </w:r>
      <w:r w:rsidRPr="00F85B97">
        <w:rPr>
          <w:rFonts w:ascii="Times New Roman" w:hAnsi="Times New Roman" w:cs="Times New Roman"/>
          <w:color w:val="212121"/>
          <w:sz w:val="24"/>
          <w:szCs w:val="24"/>
          <w:shd w:val="clear" w:color="auto" w:fill="FFFFFF"/>
        </w:rPr>
        <w:t>, </w:t>
      </w:r>
      <w:r w:rsidRPr="00F85B97">
        <w:rPr>
          <w:rFonts w:ascii="Times New Roman" w:hAnsi="Times New Roman" w:cs="Times New Roman"/>
          <w:i/>
          <w:iCs/>
          <w:color w:val="212121"/>
          <w:sz w:val="24"/>
          <w:szCs w:val="24"/>
          <w:shd w:val="clear" w:color="auto" w:fill="FFFFFF"/>
        </w:rPr>
        <w:t>13</w:t>
      </w:r>
      <w:r w:rsidRPr="00F85B97">
        <w:rPr>
          <w:rFonts w:ascii="Times New Roman" w:hAnsi="Times New Roman" w:cs="Times New Roman"/>
          <w:color w:val="212121"/>
          <w:sz w:val="24"/>
          <w:szCs w:val="24"/>
          <w:shd w:val="clear" w:color="auto" w:fill="FFFFFF"/>
        </w:rPr>
        <w:t xml:space="preserve">, 902631. </w:t>
      </w:r>
      <w:hyperlink r:id="rId23" w:history="1">
        <w:r w:rsidRPr="00F85B97">
          <w:rPr>
            <w:rStyle w:val="Hyperlink"/>
            <w:rFonts w:ascii="Times New Roman" w:hAnsi="Times New Roman" w:cs="Times New Roman"/>
            <w:sz w:val="24"/>
            <w:szCs w:val="24"/>
            <w:shd w:val="clear" w:color="auto" w:fill="FFFFFF"/>
          </w:rPr>
          <w:t>https://doi.org/10.3389/fgene.2022.902631</w:t>
        </w:r>
      </w:hyperlink>
      <w:r w:rsidRPr="00F85B97">
        <w:rPr>
          <w:rFonts w:ascii="Times New Roman" w:hAnsi="Times New Roman" w:cs="Times New Roman"/>
          <w:color w:val="212121"/>
          <w:sz w:val="24"/>
          <w:szCs w:val="24"/>
          <w:shd w:val="clear" w:color="auto" w:fill="FFFFFF"/>
        </w:rPr>
        <w:t xml:space="preserve"> </w:t>
      </w:r>
    </w:p>
    <w:p w14:paraId="72C5821A" w14:textId="77777777" w:rsidR="00692D5C" w:rsidRPr="00F85B97" w:rsidRDefault="00692D5C" w:rsidP="00692D5C">
      <w:pPr>
        <w:spacing w:after="0" w:line="480" w:lineRule="auto"/>
        <w:ind w:left="720" w:hanging="720"/>
        <w:rPr>
          <w:rFonts w:ascii="Times New Roman" w:eastAsia="Times New Roman" w:hAnsi="Times New Roman" w:cs="Times New Roman"/>
          <w:sz w:val="24"/>
          <w:szCs w:val="24"/>
        </w:rPr>
      </w:pPr>
      <w:r w:rsidRPr="00F85B97">
        <w:rPr>
          <w:rFonts w:ascii="Times New Roman" w:hAnsi="Times New Roman" w:cs="Times New Roman"/>
          <w:color w:val="222222"/>
          <w:sz w:val="24"/>
          <w:szCs w:val="24"/>
          <w:shd w:val="clear" w:color="auto" w:fill="FFFFFF"/>
        </w:rPr>
        <w:t xml:space="preserve">Whitehouse, C. R., Long, J. A., Maloney, L. M., Daniels, K., Horowitz, D. A., &amp; Bowles, K. H. (2020). Feasibility of diabetes self-management telehealth education for older adults </w:t>
      </w:r>
      <w:r w:rsidRPr="00F85B97">
        <w:rPr>
          <w:rFonts w:ascii="Times New Roman" w:hAnsi="Times New Roman" w:cs="Times New Roman"/>
          <w:color w:val="222222"/>
          <w:sz w:val="24"/>
          <w:szCs w:val="24"/>
          <w:shd w:val="clear" w:color="auto" w:fill="FFFFFF"/>
        </w:rPr>
        <w:lastRenderedPageBreak/>
        <w:t>during transitions in care. </w:t>
      </w:r>
      <w:r w:rsidRPr="00F85B97">
        <w:rPr>
          <w:rFonts w:ascii="Times New Roman" w:hAnsi="Times New Roman" w:cs="Times New Roman"/>
          <w:i/>
          <w:iCs/>
          <w:color w:val="222222"/>
          <w:sz w:val="24"/>
          <w:szCs w:val="24"/>
          <w:shd w:val="clear" w:color="auto" w:fill="FFFFFF"/>
        </w:rPr>
        <w:t>Research in Gerontological Nursing</w:t>
      </w:r>
      <w:r w:rsidRPr="00F85B97">
        <w:rPr>
          <w:rFonts w:ascii="Times New Roman" w:hAnsi="Times New Roman" w:cs="Times New Roman"/>
          <w:color w:val="222222"/>
          <w:sz w:val="24"/>
          <w:szCs w:val="24"/>
          <w:shd w:val="clear" w:color="auto" w:fill="FFFFFF"/>
        </w:rPr>
        <w:t>, </w:t>
      </w:r>
      <w:r w:rsidRPr="00F85B97">
        <w:rPr>
          <w:rFonts w:ascii="Times New Roman" w:hAnsi="Times New Roman" w:cs="Times New Roman"/>
          <w:i/>
          <w:iCs/>
          <w:color w:val="222222"/>
          <w:sz w:val="24"/>
          <w:szCs w:val="24"/>
          <w:shd w:val="clear" w:color="auto" w:fill="FFFFFF"/>
        </w:rPr>
        <w:t>13</w:t>
      </w:r>
      <w:r w:rsidRPr="00F85B97">
        <w:rPr>
          <w:rFonts w:ascii="Times New Roman" w:hAnsi="Times New Roman" w:cs="Times New Roman"/>
          <w:color w:val="222222"/>
          <w:sz w:val="24"/>
          <w:szCs w:val="24"/>
          <w:shd w:val="clear" w:color="auto" w:fill="FFFFFF"/>
        </w:rPr>
        <w:t xml:space="preserve">(3), 138-145. </w:t>
      </w:r>
      <w:hyperlink r:id="rId24" w:history="1">
        <w:r w:rsidRPr="00F85B97">
          <w:rPr>
            <w:rStyle w:val="Hyperlink"/>
            <w:rFonts w:ascii="Times New Roman" w:hAnsi="Times New Roman" w:cs="Times New Roman"/>
            <w:sz w:val="24"/>
            <w:szCs w:val="24"/>
            <w:shd w:val="clear" w:color="auto" w:fill="FFFFFF"/>
          </w:rPr>
          <w:t>https://doi.org/</w:t>
        </w:r>
        <w:r w:rsidRPr="00F85B97">
          <w:rPr>
            <w:rStyle w:val="Hyperlink"/>
            <w:rFonts w:ascii="Times New Roman" w:hAnsi="Times New Roman" w:cs="Times New Roman"/>
            <w:sz w:val="24"/>
            <w:szCs w:val="24"/>
          </w:rPr>
          <w:t>10.3928/19404921-20191210-03</w:t>
        </w:r>
      </w:hyperlink>
      <w:r w:rsidRPr="00F85B97">
        <w:rPr>
          <w:rFonts w:ascii="Times New Roman" w:hAnsi="Times New Roman" w:cs="Times New Roman"/>
          <w:sz w:val="24"/>
          <w:szCs w:val="24"/>
        </w:rPr>
        <w:t xml:space="preserve"> </w:t>
      </w:r>
    </w:p>
    <w:p w14:paraId="7CBA2276" w14:textId="5F314B04" w:rsidR="00692D5C" w:rsidRPr="00692D5C" w:rsidRDefault="00692D5C" w:rsidP="00692D5C">
      <w:pPr>
        <w:spacing w:after="0" w:line="480" w:lineRule="auto"/>
        <w:ind w:left="720" w:hanging="720"/>
        <w:rPr>
          <w:rFonts w:ascii="Times New Roman" w:eastAsia="Times New Roman" w:hAnsi="Times New Roman" w:cs="Times New Roman"/>
          <w:sz w:val="24"/>
          <w:szCs w:val="24"/>
          <w:lang w:val="en-GB" w:eastAsia="en-GB"/>
        </w:rPr>
      </w:pPr>
      <w:r w:rsidRPr="002D4D0F">
        <w:rPr>
          <w:rFonts w:ascii="Times New Roman" w:eastAsia="Times New Roman" w:hAnsi="Times New Roman" w:cs="Times New Roman"/>
          <w:sz w:val="24"/>
          <w:szCs w:val="24"/>
          <w:lang w:val="en-GB" w:eastAsia="en-GB"/>
        </w:rPr>
        <w:t xml:space="preserve">Wilson, J., Thomson, C., Sabo, S., </w:t>
      </w:r>
      <w:proofErr w:type="spellStart"/>
      <w:r w:rsidRPr="002D4D0F">
        <w:rPr>
          <w:rFonts w:ascii="Times New Roman" w:eastAsia="Times New Roman" w:hAnsi="Times New Roman" w:cs="Times New Roman"/>
          <w:sz w:val="24"/>
          <w:szCs w:val="24"/>
          <w:lang w:val="en-GB" w:eastAsia="en-GB"/>
        </w:rPr>
        <w:t>Edleman</w:t>
      </w:r>
      <w:proofErr w:type="spellEnd"/>
      <w:r w:rsidRPr="002D4D0F">
        <w:rPr>
          <w:rFonts w:ascii="Times New Roman" w:eastAsia="Times New Roman" w:hAnsi="Times New Roman" w:cs="Times New Roman"/>
          <w:sz w:val="24"/>
          <w:szCs w:val="24"/>
          <w:lang w:val="en-GB" w:eastAsia="en-GB"/>
        </w:rPr>
        <w:t xml:space="preserve">, A., &amp; Kahn-John, M. (2022). </w:t>
      </w:r>
      <w:r w:rsidRPr="00F85B97">
        <w:rPr>
          <w:rFonts w:ascii="Times New Roman" w:eastAsia="Times New Roman" w:hAnsi="Times New Roman" w:cs="Times New Roman"/>
          <w:sz w:val="24"/>
          <w:szCs w:val="24"/>
          <w:lang w:val="en-GB" w:eastAsia="en-GB"/>
        </w:rPr>
        <w:t xml:space="preserve">Development of an American Indian diabetes education cultural supplement: A qualitative approach. </w:t>
      </w:r>
      <w:r w:rsidRPr="002D4D0F">
        <w:rPr>
          <w:rFonts w:ascii="Times New Roman" w:eastAsia="Times New Roman" w:hAnsi="Times New Roman" w:cs="Times New Roman"/>
          <w:i/>
          <w:iCs/>
          <w:sz w:val="24"/>
          <w:szCs w:val="24"/>
          <w:lang w:val="en-GB" w:eastAsia="en-GB"/>
        </w:rPr>
        <w:t>Frontiers in public health</w:t>
      </w:r>
      <w:r w:rsidRPr="002D4D0F">
        <w:rPr>
          <w:rFonts w:ascii="Times New Roman" w:eastAsia="Times New Roman" w:hAnsi="Times New Roman" w:cs="Times New Roman"/>
          <w:sz w:val="24"/>
          <w:szCs w:val="24"/>
          <w:lang w:val="en-GB" w:eastAsia="en-GB"/>
        </w:rPr>
        <w:t xml:space="preserve">, </w:t>
      </w:r>
      <w:r w:rsidRPr="002D4D0F">
        <w:rPr>
          <w:rFonts w:ascii="Times New Roman" w:eastAsia="Times New Roman" w:hAnsi="Times New Roman" w:cs="Times New Roman"/>
          <w:i/>
          <w:iCs/>
          <w:sz w:val="24"/>
          <w:szCs w:val="24"/>
          <w:lang w:val="en-GB" w:eastAsia="en-GB"/>
        </w:rPr>
        <w:t>10</w:t>
      </w:r>
      <w:r w:rsidRPr="002D4D0F">
        <w:rPr>
          <w:rFonts w:ascii="Times New Roman" w:eastAsia="Times New Roman" w:hAnsi="Times New Roman" w:cs="Times New Roman"/>
          <w:sz w:val="24"/>
          <w:szCs w:val="24"/>
          <w:lang w:val="en-GB" w:eastAsia="en-GB"/>
        </w:rPr>
        <w:t xml:space="preserve">, 790015. </w:t>
      </w:r>
      <w:hyperlink r:id="rId25" w:history="1">
        <w:r w:rsidRPr="002D4D0F">
          <w:rPr>
            <w:rStyle w:val="Hyperlink"/>
            <w:rFonts w:ascii="Times New Roman" w:eastAsia="Times New Roman" w:hAnsi="Times New Roman" w:cs="Times New Roman"/>
            <w:sz w:val="24"/>
            <w:szCs w:val="24"/>
            <w:lang w:val="en-GB" w:eastAsia="en-GB"/>
          </w:rPr>
          <w:t>https://doi.org/10.3389/fpubh.2022.790015</w:t>
        </w:r>
      </w:hyperlink>
      <w:r w:rsidRPr="00F85B97">
        <w:rPr>
          <w:rFonts w:ascii="Times New Roman" w:eastAsia="Times New Roman" w:hAnsi="Times New Roman" w:cs="Times New Roman"/>
          <w:sz w:val="24"/>
          <w:szCs w:val="24"/>
          <w:lang w:val="en-GB" w:eastAsia="en-GB"/>
        </w:rPr>
        <w:t xml:space="preserve"> </w:t>
      </w:r>
    </w:p>
    <w:sectPr w:rsidR="00692D5C" w:rsidRPr="00692D5C">
      <w:head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A78B4" w14:textId="77777777" w:rsidR="00D07215" w:rsidRDefault="00D07215" w:rsidP="00C50AFC">
      <w:pPr>
        <w:spacing w:after="0" w:line="240" w:lineRule="auto"/>
      </w:pPr>
      <w:r>
        <w:separator/>
      </w:r>
    </w:p>
  </w:endnote>
  <w:endnote w:type="continuationSeparator" w:id="0">
    <w:p w14:paraId="3C575ECC" w14:textId="77777777" w:rsidR="00D07215" w:rsidRDefault="00D07215" w:rsidP="00C50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A1D74" w14:textId="77777777" w:rsidR="00D07215" w:rsidRDefault="00D07215" w:rsidP="00C50AFC">
      <w:pPr>
        <w:spacing w:after="0" w:line="240" w:lineRule="auto"/>
      </w:pPr>
      <w:r>
        <w:separator/>
      </w:r>
    </w:p>
  </w:footnote>
  <w:footnote w:type="continuationSeparator" w:id="0">
    <w:p w14:paraId="576C46A9" w14:textId="77777777" w:rsidR="00D07215" w:rsidRDefault="00D07215" w:rsidP="00C50A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517D" w14:textId="0DC9A266" w:rsidR="00C50AFC" w:rsidRPr="00C50AFC" w:rsidRDefault="00C50AFC">
    <w:pPr>
      <w:pStyle w:val="Header"/>
      <w:rPr>
        <w:rFonts w:ascii="Times New Roman" w:hAnsi="Times New Roman" w:cs="Times New Roman"/>
        <w:sz w:val="24"/>
        <w:szCs w:val="24"/>
      </w:rPr>
    </w:pPr>
    <w:r w:rsidRPr="00C50AFC">
      <w:rPr>
        <w:rFonts w:ascii="Times New Roman" w:hAnsi="Times New Roman" w:cs="Times New Roman"/>
        <w:sz w:val="24"/>
        <w:szCs w:val="24"/>
      </w:rPr>
      <w:tab/>
    </w:r>
    <w:r w:rsidRPr="00C50AFC">
      <w:rPr>
        <w:rFonts w:ascii="Times New Roman" w:hAnsi="Times New Roman" w:cs="Times New Roman"/>
        <w:sz w:val="24"/>
        <w:szCs w:val="24"/>
      </w:rPr>
      <w:tab/>
    </w:r>
    <w:r w:rsidRPr="00C50AFC">
      <w:rPr>
        <w:rFonts w:ascii="Times New Roman" w:hAnsi="Times New Roman" w:cs="Times New Roman"/>
        <w:sz w:val="24"/>
        <w:szCs w:val="24"/>
      </w:rPr>
      <w:fldChar w:fldCharType="begin"/>
    </w:r>
    <w:r w:rsidRPr="00C50AFC">
      <w:rPr>
        <w:rFonts w:ascii="Times New Roman" w:hAnsi="Times New Roman" w:cs="Times New Roman"/>
        <w:sz w:val="24"/>
        <w:szCs w:val="24"/>
      </w:rPr>
      <w:instrText xml:space="preserve"> PAGE   \* MERGEFORMAT </w:instrText>
    </w:r>
    <w:r w:rsidRPr="00C50AFC">
      <w:rPr>
        <w:rFonts w:ascii="Times New Roman" w:hAnsi="Times New Roman" w:cs="Times New Roman"/>
        <w:sz w:val="24"/>
        <w:szCs w:val="24"/>
      </w:rPr>
      <w:fldChar w:fldCharType="separate"/>
    </w:r>
    <w:r w:rsidRPr="00C50AFC">
      <w:rPr>
        <w:rFonts w:ascii="Times New Roman" w:hAnsi="Times New Roman" w:cs="Times New Roman"/>
        <w:noProof/>
        <w:sz w:val="24"/>
        <w:szCs w:val="24"/>
      </w:rPr>
      <w:t>1</w:t>
    </w:r>
    <w:r w:rsidRPr="00C50AFC">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1AB"/>
    <w:rsid w:val="00007716"/>
    <w:rsid w:val="00185E9A"/>
    <w:rsid w:val="003334F4"/>
    <w:rsid w:val="00333A87"/>
    <w:rsid w:val="00343319"/>
    <w:rsid w:val="003661AB"/>
    <w:rsid w:val="004E1012"/>
    <w:rsid w:val="00666592"/>
    <w:rsid w:val="00676B3F"/>
    <w:rsid w:val="00692D5C"/>
    <w:rsid w:val="00784297"/>
    <w:rsid w:val="007E3307"/>
    <w:rsid w:val="009721A3"/>
    <w:rsid w:val="009E3C54"/>
    <w:rsid w:val="009F79DA"/>
    <w:rsid w:val="00A02087"/>
    <w:rsid w:val="00A26797"/>
    <w:rsid w:val="00B10DDB"/>
    <w:rsid w:val="00C50AFC"/>
    <w:rsid w:val="00CC03C6"/>
    <w:rsid w:val="00CC3A3C"/>
    <w:rsid w:val="00CF0EB3"/>
    <w:rsid w:val="00D027C4"/>
    <w:rsid w:val="00D07215"/>
    <w:rsid w:val="00DA6507"/>
    <w:rsid w:val="00DF4B34"/>
    <w:rsid w:val="00E2548D"/>
    <w:rsid w:val="00E47FD7"/>
    <w:rsid w:val="00E93086"/>
    <w:rsid w:val="00ED55B8"/>
    <w:rsid w:val="00F43D6D"/>
    <w:rsid w:val="00F97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61470"/>
  <w15:chartTrackingRefBased/>
  <w15:docId w15:val="{102A6258-B0C7-4E5B-B0D0-F6936FFFA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3307"/>
    <w:rPr>
      <w:color w:val="0563C1" w:themeColor="hyperlink"/>
      <w:u w:val="single"/>
    </w:rPr>
  </w:style>
  <w:style w:type="character" w:styleId="UnresolvedMention">
    <w:name w:val="Unresolved Mention"/>
    <w:basedOn w:val="DefaultParagraphFont"/>
    <w:uiPriority w:val="99"/>
    <w:semiHidden/>
    <w:unhideWhenUsed/>
    <w:rsid w:val="007E3307"/>
    <w:rPr>
      <w:color w:val="605E5C"/>
      <w:shd w:val="clear" w:color="auto" w:fill="E1DFDD"/>
    </w:rPr>
  </w:style>
  <w:style w:type="paragraph" w:styleId="Header">
    <w:name w:val="header"/>
    <w:basedOn w:val="Normal"/>
    <w:link w:val="HeaderChar"/>
    <w:uiPriority w:val="99"/>
    <w:unhideWhenUsed/>
    <w:rsid w:val="00C50A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AFC"/>
    <w:rPr>
      <w:lang w:val="en-US"/>
    </w:rPr>
  </w:style>
  <w:style w:type="paragraph" w:styleId="Footer">
    <w:name w:val="footer"/>
    <w:basedOn w:val="Normal"/>
    <w:link w:val="FooterChar"/>
    <w:uiPriority w:val="99"/>
    <w:unhideWhenUsed/>
    <w:rsid w:val="00C50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AF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71/journal.pone.0279282" TargetMode="External"/><Relationship Id="rId13" Type="http://schemas.openxmlformats.org/officeDocument/2006/relationships/hyperlink" Target="https://doi.org/10.1186/s12913-023-09299-6" TargetMode="External"/><Relationship Id="rId18" Type="http://schemas.openxmlformats.org/officeDocument/2006/relationships/hyperlink" Target="https://doi.org/10.3390/healthcare12030368"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s://doi.org/10.3390/healthcare11071034" TargetMode="External"/><Relationship Id="rId7" Type="http://schemas.openxmlformats.org/officeDocument/2006/relationships/hyperlink" Target="https://doi.org/10.1007/s40615-021-01174-6" TargetMode="External"/><Relationship Id="rId12" Type="http://schemas.openxmlformats.org/officeDocument/2006/relationships/hyperlink" Target="https://doi.org/10.3390/ijerph20196854" TargetMode="External"/><Relationship Id="rId17" Type="http://schemas.openxmlformats.org/officeDocument/2006/relationships/hyperlink" Target="https://doi.org/10.1177/1559827619892547" TargetMode="External"/><Relationship Id="rId25" Type="http://schemas.openxmlformats.org/officeDocument/2006/relationships/hyperlink" Target="https://doi.org/10.3389/fpubh.2022.790015" TargetMode="External"/><Relationship Id="rId2" Type="http://schemas.openxmlformats.org/officeDocument/2006/relationships/settings" Target="settings.xml"/><Relationship Id="rId16" Type="http://schemas.openxmlformats.org/officeDocument/2006/relationships/hyperlink" Target="https://doi.org/10.1186/s12913-022-08501-5" TargetMode="External"/><Relationship Id="rId20" Type="http://schemas.openxmlformats.org/officeDocument/2006/relationships/hyperlink" Target="https://doi.org/10.1177/23743735221125439" TargetMode="External"/><Relationship Id="rId1" Type="http://schemas.openxmlformats.org/officeDocument/2006/relationships/styles" Target="styles.xml"/><Relationship Id="rId6" Type="http://schemas.openxmlformats.org/officeDocument/2006/relationships/hyperlink" Target="https://doi.org/10.2196/28153" TargetMode="External"/><Relationship Id="rId11" Type="http://schemas.openxmlformats.org/officeDocument/2006/relationships/hyperlink" Target="https://doi.org/10.1007/s40292-022-00524-7" TargetMode="External"/><Relationship Id="rId24" Type="http://schemas.openxmlformats.org/officeDocument/2006/relationships/hyperlink" Target="https://doi.org/10.3928/19404921-20191210-03" TargetMode="External"/><Relationship Id="rId5" Type="http://schemas.openxmlformats.org/officeDocument/2006/relationships/endnotes" Target="endnotes.xml"/><Relationship Id="rId15" Type="http://schemas.openxmlformats.org/officeDocument/2006/relationships/hyperlink" Target="https://doi.org/10.1371/journal.pone.0216112" TargetMode="External"/><Relationship Id="rId23" Type="http://schemas.openxmlformats.org/officeDocument/2006/relationships/hyperlink" Target="https://doi.org/10.3389/fgene.2022.902631" TargetMode="External"/><Relationship Id="rId28" Type="http://schemas.openxmlformats.org/officeDocument/2006/relationships/theme" Target="theme/theme1.xml"/><Relationship Id="rId10" Type="http://schemas.openxmlformats.org/officeDocument/2006/relationships/hyperlink" Target="http://dx.doi.org/10.2196/14201" TargetMode="External"/><Relationship Id="rId19" Type="http://schemas.openxmlformats.org/officeDocument/2006/relationships/hyperlink" Target="https://doi.org/10.3390/ijerph18189886" TargetMode="External"/><Relationship Id="rId4" Type="http://schemas.openxmlformats.org/officeDocument/2006/relationships/footnotes" Target="footnotes.xml"/><Relationship Id="rId9" Type="http://schemas.openxmlformats.org/officeDocument/2006/relationships/hyperlink" Target="https://doi.org/10.1353/hpu.2017.0073" TargetMode="External"/><Relationship Id="rId14" Type="http://schemas.openxmlformats.org/officeDocument/2006/relationships/hyperlink" Target="https://doi.org/10.3389/fpubh.2022.780851" TargetMode="External"/><Relationship Id="rId22" Type="http://schemas.openxmlformats.org/officeDocument/2006/relationships/hyperlink" Target="https://health.gov/healthypeople/objectives-and-data/browse-objectives/diabetes/reduce-number-diabetes-cases-diagnosed-yearly-d-0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10</Pages>
  <Words>2310</Words>
  <Characters>13167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2024-05-05T17:30:00Z</dcterms:created>
  <dcterms:modified xsi:type="dcterms:W3CDTF">2024-05-06T00:01:00Z</dcterms:modified>
</cp:coreProperties>
</file>