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93F7" w14:textId="77777777" w:rsidR="007E2FC1" w:rsidRPr="00B67C00" w:rsidRDefault="00DB1F7A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621BB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08C2D9" w14:textId="77777777" w:rsidR="00FB4124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27D659" w14:textId="77777777" w:rsidR="00B67C00" w:rsidRDefault="00B67C00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6F42A" w14:textId="77777777" w:rsidR="00B67C00" w:rsidRPr="00B67C00" w:rsidRDefault="00B67C00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1D550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120D3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5126D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0ACED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00">
        <w:rPr>
          <w:rFonts w:ascii="Times New Roman" w:hAnsi="Times New Roman" w:cs="Times New Roman"/>
          <w:b/>
          <w:sz w:val="24"/>
          <w:szCs w:val="24"/>
        </w:rPr>
        <w:t xml:space="preserve">Weekly Reflection </w:t>
      </w:r>
    </w:p>
    <w:p w14:paraId="17C808EE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B4483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03C50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6CA77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sz w:val="24"/>
          <w:szCs w:val="24"/>
        </w:rPr>
        <w:t xml:space="preserve"> Name </w:t>
      </w:r>
    </w:p>
    <w:p w14:paraId="7B320561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sz w:val="24"/>
          <w:szCs w:val="24"/>
        </w:rPr>
        <w:t>School Affiliation</w:t>
      </w:r>
    </w:p>
    <w:p w14:paraId="49054563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sz w:val="24"/>
          <w:szCs w:val="24"/>
        </w:rPr>
        <w:t>Course</w:t>
      </w:r>
    </w:p>
    <w:p w14:paraId="6A43B736" w14:textId="77777777" w:rsidR="00FB4124" w:rsidRPr="00B67C00" w:rsidRDefault="00FB4124" w:rsidP="00FB4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sz w:val="24"/>
          <w:szCs w:val="24"/>
        </w:rPr>
        <w:t>Instructor</w:t>
      </w:r>
    </w:p>
    <w:p w14:paraId="42D88110" w14:textId="2476590A" w:rsidR="00FB4124" w:rsidRPr="00B67C00" w:rsidRDefault="00A10A89" w:rsidP="00FB4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FB4124" w:rsidRPr="00B67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24" w:rsidRPr="00B67C00">
        <w:rPr>
          <w:rFonts w:ascii="Times New Roman" w:hAnsi="Times New Roman" w:cs="Times New Roman"/>
          <w:sz w:val="24"/>
          <w:szCs w:val="24"/>
        </w:rPr>
        <w:t>Due</w:t>
      </w:r>
    </w:p>
    <w:p w14:paraId="149D26CE" w14:textId="77777777" w:rsidR="00A10A89" w:rsidRDefault="00A10A8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End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BE2897" w14:textId="3D377C02" w:rsidR="00FB4124" w:rsidRPr="00B67C00" w:rsidRDefault="00FB4124" w:rsidP="00FB4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00">
        <w:rPr>
          <w:rFonts w:ascii="Times New Roman" w:hAnsi="Times New Roman" w:cs="Times New Roman"/>
          <w:b/>
          <w:sz w:val="24"/>
          <w:szCs w:val="24"/>
        </w:rPr>
        <w:lastRenderedPageBreak/>
        <w:t>Week 1 Reflection</w:t>
      </w:r>
    </w:p>
    <w:p w14:paraId="57281A25" w14:textId="4A4A77AD" w:rsidR="00FB4124" w:rsidRPr="00B67C00" w:rsidRDefault="00FB4124" w:rsidP="00FB41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7C00">
        <w:rPr>
          <w:rFonts w:ascii="Times New Roman" w:hAnsi="Times New Roman" w:cs="Times New Roman"/>
          <w:sz w:val="24"/>
          <w:szCs w:val="24"/>
        </w:rPr>
        <w:tab/>
      </w:r>
      <w:r w:rsidR="00F90654" w:rsidRPr="00B67C00">
        <w:rPr>
          <w:rFonts w:ascii="Times New Roman" w:hAnsi="Times New Roman" w:cs="Times New Roman"/>
          <w:sz w:val="24"/>
          <w:szCs w:val="24"/>
        </w:rPr>
        <w:t xml:space="preserve">The reflection centers on an engagement with a female patient diagnosed with alcohol use disorder. The patient has </w:t>
      </w:r>
      <w:r w:rsidR="00A10A89">
        <w:rPr>
          <w:rFonts w:ascii="Times New Roman" w:hAnsi="Times New Roman" w:cs="Times New Roman"/>
          <w:sz w:val="24"/>
          <w:szCs w:val="24"/>
        </w:rPr>
        <w:t xml:space="preserve">made several quit attempts but </w:t>
      </w:r>
      <w:r w:rsidR="00F90654" w:rsidRPr="00B67C00">
        <w:rPr>
          <w:rFonts w:ascii="Times New Roman" w:hAnsi="Times New Roman" w:cs="Times New Roman"/>
          <w:sz w:val="24"/>
          <w:szCs w:val="24"/>
        </w:rPr>
        <w:t>experienced challenges with maintaining abstinence</w:t>
      </w:r>
      <w:r w:rsidR="00A10A89">
        <w:rPr>
          <w:rFonts w:ascii="Times New Roman" w:hAnsi="Times New Roman" w:cs="Times New Roman"/>
          <w:sz w:val="24"/>
          <w:szCs w:val="24"/>
        </w:rPr>
        <w:t>. She also reported</w:t>
      </w:r>
      <w:r w:rsidR="00F90654" w:rsidRPr="00B67C00">
        <w:rPr>
          <w:rFonts w:ascii="Times New Roman" w:hAnsi="Times New Roman" w:cs="Times New Roman"/>
          <w:sz w:val="24"/>
          <w:szCs w:val="24"/>
        </w:rPr>
        <w:t xml:space="preserve"> difficulties in social and occupational settings</w:t>
      </w:r>
      <w:r w:rsidR="00A10A89">
        <w:rPr>
          <w:rFonts w:ascii="Times New Roman" w:hAnsi="Times New Roman" w:cs="Times New Roman"/>
          <w:sz w:val="24"/>
          <w:szCs w:val="24"/>
        </w:rPr>
        <w:t xml:space="preserve"> and</w:t>
      </w:r>
      <w:r w:rsidR="00F90654" w:rsidRPr="00B67C00">
        <w:rPr>
          <w:rFonts w:ascii="Times New Roman" w:hAnsi="Times New Roman" w:cs="Times New Roman"/>
          <w:sz w:val="24"/>
          <w:szCs w:val="24"/>
        </w:rPr>
        <w:t xml:space="preserve"> strained interpersonal relationships due to alcohol-related </w:t>
      </w:r>
      <w:r w:rsidR="00DF7AFF" w:rsidRPr="00B67C00">
        <w:rPr>
          <w:rFonts w:ascii="Times New Roman" w:hAnsi="Times New Roman" w:cs="Times New Roman"/>
          <w:sz w:val="24"/>
          <w:szCs w:val="24"/>
        </w:rPr>
        <w:t>problem</w:t>
      </w:r>
      <w:r w:rsidR="000A0B60">
        <w:rPr>
          <w:rFonts w:ascii="Times New Roman" w:hAnsi="Times New Roman" w:cs="Times New Roman"/>
          <w:sz w:val="24"/>
          <w:szCs w:val="24"/>
        </w:rPr>
        <w:t xml:space="preserve">. The interaction </w:t>
      </w:r>
      <w:r w:rsidR="00F90654" w:rsidRPr="00B67C00">
        <w:rPr>
          <w:rFonts w:ascii="Times New Roman" w:hAnsi="Times New Roman" w:cs="Times New Roman"/>
          <w:sz w:val="24"/>
          <w:szCs w:val="24"/>
        </w:rPr>
        <w:t xml:space="preserve">experience provided </w:t>
      </w:r>
      <w:r w:rsidR="00DF7AFF" w:rsidRPr="00B67C00">
        <w:rPr>
          <w:rFonts w:ascii="Times New Roman" w:hAnsi="Times New Roman" w:cs="Times New Roman"/>
          <w:sz w:val="24"/>
          <w:szCs w:val="24"/>
        </w:rPr>
        <w:t>valuable insights</w:t>
      </w:r>
      <w:r w:rsidR="00F90654" w:rsidRPr="00B67C00">
        <w:rPr>
          <w:rFonts w:ascii="Times New Roman" w:hAnsi="Times New Roman" w:cs="Times New Roman"/>
          <w:sz w:val="24"/>
          <w:szCs w:val="24"/>
        </w:rPr>
        <w:t xml:space="preserve"> into my nurse practitioner role in managing </w:t>
      </w:r>
      <w:r w:rsidR="000A0B60">
        <w:rPr>
          <w:rFonts w:ascii="Times New Roman" w:hAnsi="Times New Roman" w:cs="Times New Roman"/>
          <w:sz w:val="24"/>
          <w:szCs w:val="24"/>
        </w:rPr>
        <w:t>diverse mental and behavioral health problems</w:t>
      </w:r>
      <w:r w:rsidR="00F90654" w:rsidRPr="00B67C00">
        <w:rPr>
          <w:rFonts w:ascii="Times New Roman" w:hAnsi="Times New Roman" w:cs="Times New Roman"/>
          <w:sz w:val="24"/>
          <w:szCs w:val="24"/>
        </w:rPr>
        <w:t xml:space="preserve">. </w:t>
      </w:r>
      <w:r w:rsidR="00C602E1" w:rsidRPr="00B67C00">
        <w:rPr>
          <w:rFonts w:ascii="Times New Roman" w:hAnsi="Times New Roman" w:cs="Times New Roman"/>
          <w:sz w:val="24"/>
          <w:szCs w:val="24"/>
        </w:rPr>
        <w:t xml:space="preserve">Throughout the interaction, my focus was on establishing a therapeutic bond, carrying out a thorough evaluation, and devising a comprehensive </w:t>
      </w:r>
      <w:r w:rsidR="001C2E29" w:rsidRPr="00B67C00">
        <w:rPr>
          <w:rFonts w:ascii="Times New Roman" w:hAnsi="Times New Roman" w:cs="Times New Roman"/>
          <w:sz w:val="24"/>
          <w:szCs w:val="24"/>
        </w:rPr>
        <w:t xml:space="preserve">treatment strategy. </w:t>
      </w:r>
      <w:r w:rsidR="00A5100A" w:rsidRPr="00B67C00">
        <w:rPr>
          <w:rFonts w:ascii="Times New Roman" w:hAnsi="Times New Roman" w:cs="Times New Roman"/>
          <w:sz w:val="24"/>
          <w:szCs w:val="24"/>
        </w:rPr>
        <w:t>However, h</w:t>
      </w:r>
      <w:r w:rsidR="001C2E29" w:rsidRPr="00B67C00">
        <w:rPr>
          <w:rFonts w:ascii="Times New Roman" w:hAnsi="Times New Roman" w:cs="Times New Roman"/>
          <w:sz w:val="24"/>
          <w:szCs w:val="24"/>
        </w:rPr>
        <w:t xml:space="preserve">andling </w:t>
      </w:r>
      <w:r w:rsidR="00A5100A" w:rsidRPr="00B67C00">
        <w:rPr>
          <w:rFonts w:ascii="Times New Roman" w:hAnsi="Times New Roman" w:cs="Times New Roman"/>
          <w:sz w:val="24"/>
          <w:szCs w:val="24"/>
        </w:rPr>
        <w:t xml:space="preserve">the patient required application of empathy and non-judgment, given the complex nature of AUD and the challenges the patient faced. </w:t>
      </w:r>
      <w:r w:rsidR="00422CF2" w:rsidRPr="00B67C00">
        <w:rPr>
          <w:rFonts w:ascii="Times New Roman" w:hAnsi="Times New Roman" w:cs="Times New Roman"/>
          <w:sz w:val="24"/>
          <w:szCs w:val="24"/>
        </w:rPr>
        <w:t>I will reflect on how I handled the situation and consider how I can improve my approach for similar situations in the future.</w:t>
      </w:r>
    </w:p>
    <w:p w14:paraId="387FEFDC" w14:textId="1D96CD6E" w:rsidR="00422CF2" w:rsidRPr="00B67C00" w:rsidRDefault="00001BC7" w:rsidP="00FB4124">
      <w:pPr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sz w:val="24"/>
          <w:szCs w:val="24"/>
        </w:rPr>
        <w:tab/>
        <w:t xml:space="preserve">The primary goal of the treatment was to stabilize the patient’s mood to ensure the safety of both staff and other patients. </w:t>
      </w:r>
      <w:r w:rsidR="006B6637" w:rsidRPr="00B67C00">
        <w:rPr>
          <w:rFonts w:ascii="Times New Roman" w:hAnsi="Times New Roman" w:cs="Times New Roman"/>
          <w:sz w:val="24"/>
          <w:szCs w:val="24"/>
        </w:rPr>
        <w:t xml:space="preserve">I performed a detailed evaluation, which included a thorough review of the patient’s alcohol use history, a physical exam, and screening for mental health condition that may coexist. </w:t>
      </w:r>
      <w:r w:rsidR="000A0B60">
        <w:rPr>
          <w:rFonts w:ascii="Times New Roman" w:hAnsi="Times New Roman" w:cs="Times New Roman"/>
          <w:sz w:val="24"/>
          <w:szCs w:val="24"/>
        </w:rPr>
        <w:t>B</w:t>
      </w:r>
      <w:r w:rsidRPr="00B67C00">
        <w:rPr>
          <w:rFonts w:ascii="Times New Roman" w:hAnsi="Times New Roman" w:cs="Times New Roman"/>
          <w:sz w:val="24"/>
          <w:szCs w:val="24"/>
        </w:rPr>
        <w:t>uilding a trusting and empathetic therapeutic relationship</w:t>
      </w:r>
      <w:r w:rsidR="000A0B60">
        <w:rPr>
          <w:rFonts w:ascii="Times New Roman" w:hAnsi="Times New Roman" w:cs="Times New Roman"/>
          <w:sz w:val="24"/>
          <w:szCs w:val="24"/>
        </w:rPr>
        <w:t xml:space="preserve"> was critical to the success of the interaction, considering its established effectiveness in enhancing person-centeredness in the care of individuals with mental health disorders (</w:t>
      </w:r>
      <w:r w:rsidR="00C205B1" w:rsidRPr="00B67C00">
        <w:rPr>
          <w:rFonts w:ascii="Times New Roman" w:hAnsi="Times New Roman" w:cs="Times New Roman"/>
          <w:sz w:val="24"/>
          <w:szCs w:val="24"/>
        </w:rPr>
        <w:t>Cox &amp; Reichel</w:t>
      </w:r>
      <w:r w:rsidR="000A0B60">
        <w:rPr>
          <w:rFonts w:ascii="Times New Roman" w:hAnsi="Times New Roman" w:cs="Times New Roman"/>
          <w:sz w:val="24"/>
          <w:szCs w:val="24"/>
        </w:rPr>
        <w:t xml:space="preserve">, </w:t>
      </w:r>
      <w:r w:rsidR="00C205B1" w:rsidRPr="00B67C00">
        <w:rPr>
          <w:rFonts w:ascii="Times New Roman" w:hAnsi="Times New Roman" w:cs="Times New Roman"/>
          <w:sz w:val="24"/>
          <w:szCs w:val="24"/>
        </w:rPr>
        <w:t>2023</w:t>
      </w:r>
      <w:r w:rsidR="00DF7AFF" w:rsidRPr="00B67C00">
        <w:rPr>
          <w:rFonts w:ascii="Times New Roman" w:hAnsi="Times New Roman" w:cs="Times New Roman"/>
          <w:sz w:val="24"/>
          <w:szCs w:val="24"/>
        </w:rPr>
        <w:t>)</w:t>
      </w:r>
      <w:r w:rsidR="000A0B60">
        <w:rPr>
          <w:rFonts w:ascii="Times New Roman" w:hAnsi="Times New Roman" w:cs="Times New Roman"/>
          <w:sz w:val="24"/>
          <w:szCs w:val="24"/>
        </w:rPr>
        <w:t>. D</w:t>
      </w:r>
      <w:r w:rsidR="00165B26" w:rsidRPr="00B67C00">
        <w:rPr>
          <w:rFonts w:ascii="Times New Roman" w:hAnsi="Times New Roman" w:cs="Times New Roman"/>
          <w:sz w:val="24"/>
          <w:szCs w:val="24"/>
        </w:rPr>
        <w:t xml:space="preserve">uring the interview I </w:t>
      </w:r>
      <w:r w:rsidR="000A0B60">
        <w:rPr>
          <w:rFonts w:ascii="Times New Roman" w:hAnsi="Times New Roman" w:cs="Times New Roman"/>
          <w:sz w:val="24"/>
          <w:szCs w:val="24"/>
        </w:rPr>
        <w:t>acknowledge</w:t>
      </w:r>
      <w:r w:rsidR="006953B2">
        <w:rPr>
          <w:rFonts w:ascii="Times New Roman" w:hAnsi="Times New Roman" w:cs="Times New Roman"/>
          <w:sz w:val="24"/>
          <w:szCs w:val="24"/>
        </w:rPr>
        <w:t xml:space="preserve">d that social interactions and accessibility to alcohol were among the triggers of craving that resulted in frequent relapses. </w:t>
      </w:r>
      <w:r w:rsidR="00F85EA5" w:rsidRPr="00B67C00">
        <w:rPr>
          <w:rFonts w:ascii="Times New Roman" w:hAnsi="Times New Roman" w:cs="Times New Roman"/>
          <w:sz w:val="24"/>
          <w:szCs w:val="24"/>
        </w:rPr>
        <w:t xml:space="preserve">As </w:t>
      </w:r>
      <w:r w:rsidR="006953B2">
        <w:rPr>
          <w:rFonts w:ascii="Times New Roman" w:hAnsi="Times New Roman" w:cs="Times New Roman"/>
          <w:sz w:val="24"/>
          <w:szCs w:val="24"/>
        </w:rPr>
        <w:t xml:space="preserve">discussed </w:t>
      </w:r>
      <w:r w:rsidR="00F85EA5" w:rsidRPr="00B67C00">
        <w:rPr>
          <w:rFonts w:ascii="Times New Roman" w:hAnsi="Times New Roman" w:cs="Times New Roman"/>
          <w:sz w:val="24"/>
          <w:szCs w:val="24"/>
        </w:rPr>
        <w:t xml:space="preserve">by </w:t>
      </w:r>
      <w:r w:rsidR="00C205B1" w:rsidRPr="00B67C00">
        <w:rPr>
          <w:rFonts w:ascii="Times New Roman" w:hAnsi="Times New Roman" w:cs="Times New Roman"/>
          <w:sz w:val="24"/>
          <w:szCs w:val="24"/>
        </w:rPr>
        <w:t>Ghita et al. (</w:t>
      </w:r>
      <w:r w:rsidR="00B87F86" w:rsidRPr="00B67C00">
        <w:rPr>
          <w:rFonts w:ascii="Times New Roman" w:hAnsi="Times New Roman" w:cs="Times New Roman"/>
          <w:sz w:val="24"/>
          <w:szCs w:val="24"/>
        </w:rPr>
        <w:t>2019</w:t>
      </w:r>
      <w:r w:rsidR="00F85EA5" w:rsidRPr="00B67C00">
        <w:rPr>
          <w:rFonts w:ascii="Times New Roman" w:hAnsi="Times New Roman" w:cs="Times New Roman"/>
          <w:sz w:val="24"/>
          <w:szCs w:val="24"/>
        </w:rPr>
        <w:t xml:space="preserve">), </w:t>
      </w:r>
      <w:r w:rsidR="006953B2">
        <w:rPr>
          <w:rFonts w:ascii="Times New Roman" w:hAnsi="Times New Roman" w:cs="Times New Roman"/>
          <w:sz w:val="24"/>
          <w:szCs w:val="24"/>
        </w:rPr>
        <w:t>c</w:t>
      </w:r>
      <w:r w:rsidR="00F85EA5" w:rsidRPr="00B67C00">
        <w:rPr>
          <w:rFonts w:ascii="Times New Roman" w:hAnsi="Times New Roman" w:cs="Times New Roman"/>
          <w:sz w:val="24"/>
          <w:szCs w:val="24"/>
        </w:rPr>
        <w:t xml:space="preserve">raving for alcohol involves different aspects and is connected to how we think, including paying more attention to things related to alcohol. </w:t>
      </w:r>
      <w:r w:rsidR="00165B26" w:rsidRPr="00B67C00">
        <w:rPr>
          <w:rFonts w:ascii="Times New Roman" w:hAnsi="Times New Roman" w:cs="Times New Roman"/>
          <w:sz w:val="24"/>
          <w:szCs w:val="24"/>
        </w:rPr>
        <w:t>Cue exposure therapy</w:t>
      </w:r>
      <w:r w:rsidR="006953B2">
        <w:rPr>
          <w:rFonts w:ascii="Times New Roman" w:hAnsi="Times New Roman" w:cs="Times New Roman"/>
          <w:sz w:val="24"/>
          <w:szCs w:val="24"/>
        </w:rPr>
        <w:t xml:space="preserve"> was recommended as the first approach that would be used to reduce cravings. The strategy has been </w:t>
      </w:r>
      <w:r w:rsidR="006953B2">
        <w:rPr>
          <w:rFonts w:ascii="Times New Roman" w:hAnsi="Times New Roman" w:cs="Times New Roman"/>
          <w:sz w:val="24"/>
          <w:szCs w:val="24"/>
        </w:rPr>
        <w:lastRenderedPageBreak/>
        <w:t>proved effective in reducing craving, drinks per day, drinking days, and relapse (</w:t>
      </w:r>
      <w:proofErr w:type="spellStart"/>
      <w:r w:rsidR="006953B2">
        <w:rPr>
          <w:rFonts w:ascii="Times New Roman" w:hAnsi="Times New Roman" w:cs="Times New Roman"/>
          <w:sz w:val="24"/>
          <w:szCs w:val="24"/>
        </w:rPr>
        <w:t>Kiyak</w:t>
      </w:r>
      <w:proofErr w:type="spellEnd"/>
      <w:r w:rsidR="006953B2">
        <w:rPr>
          <w:rFonts w:ascii="Times New Roman" w:hAnsi="Times New Roman" w:cs="Times New Roman"/>
          <w:sz w:val="24"/>
          <w:szCs w:val="24"/>
        </w:rPr>
        <w:t xml:space="preserve"> et al., 2023). </w:t>
      </w:r>
      <w:r w:rsidR="007B1A11" w:rsidRPr="00B67C00">
        <w:rPr>
          <w:rFonts w:ascii="Times New Roman" w:hAnsi="Times New Roman" w:cs="Times New Roman"/>
          <w:sz w:val="24"/>
          <w:szCs w:val="24"/>
        </w:rPr>
        <w:t xml:space="preserve">I also </w:t>
      </w:r>
      <w:r w:rsidR="006953B2">
        <w:rPr>
          <w:rFonts w:ascii="Times New Roman" w:hAnsi="Times New Roman" w:cs="Times New Roman"/>
          <w:sz w:val="24"/>
          <w:szCs w:val="24"/>
        </w:rPr>
        <w:t xml:space="preserve">provided patient education on other strategies that could help </w:t>
      </w:r>
      <w:r w:rsidR="007B1A11" w:rsidRPr="00B67C00">
        <w:rPr>
          <w:rFonts w:ascii="Times New Roman" w:hAnsi="Times New Roman" w:cs="Times New Roman"/>
          <w:sz w:val="24"/>
          <w:szCs w:val="24"/>
        </w:rPr>
        <w:t>reducing alcohol consumption, managing triggers</w:t>
      </w:r>
      <w:r w:rsidR="00F85EA5" w:rsidRPr="00B67C00">
        <w:rPr>
          <w:rFonts w:ascii="Times New Roman" w:hAnsi="Times New Roman" w:cs="Times New Roman"/>
          <w:sz w:val="24"/>
          <w:szCs w:val="24"/>
        </w:rPr>
        <w:t>, and the importance of long-term management and relapse prevention.</w:t>
      </w:r>
    </w:p>
    <w:p w14:paraId="1F218C69" w14:textId="63AAD9DC" w:rsidR="00BF4B28" w:rsidRPr="00B67C00" w:rsidRDefault="00BF4B28" w:rsidP="00FB4124">
      <w:pPr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sz w:val="24"/>
          <w:szCs w:val="24"/>
        </w:rPr>
        <w:tab/>
      </w:r>
      <w:r w:rsidR="006953B2">
        <w:rPr>
          <w:rFonts w:ascii="Times New Roman" w:hAnsi="Times New Roman" w:cs="Times New Roman"/>
          <w:sz w:val="24"/>
          <w:szCs w:val="24"/>
        </w:rPr>
        <w:t xml:space="preserve">A multidisciplinary approach was essential to managing the patient, considering her history of AUD and other relevant social determinant risk factors. </w:t>
      </w:r>
      <w:r w:rsidR="00A10A89" w:rsidRPr="00B67C00">
        <w:rPr>
          <w:rFonts w:ascii="Times New Roman" w:hAnsi="Times New Roman" w:cs="Times New Roman"/>
          <w:sz w:val="24"/>
          <w:szCs w:val="24"/>
        </w:rPr>
        <w:t xml:space="preserve">In collaboration with the patient, we discussed the risks and benefits of various treatment options, including medication-assisted therapy, counseling and support groups. </w:t>
      </w:r>
      <w:r w:rsidR="006953B2">
        <w:rPr>
          <w:rFonts w:ascii="Times New Roman" w:hAnsi="Times New Roman" w:cs="Times New Roman"/>
          <w:sz w:val="24"/>
          <w:szCs w:val="24"/>
        </w:rPr>
        <w:t xml:space="preserve">The patient was prescribed </w:t>
      </w:r>
      <w:r w:rsidR="009514F2" w:rsidRPr="00B67C00">
        <w:rPr>
          <w:rFonts w:ascii="Times New Roman" w:hAnsi="Times New Roman" w:cs="Times New Roman"/>
          <w:sz w:val="24"/>
          <w:szCs w:val="24"/>
        </w:rPr>
        <w:t xml:space="preserve">naltrexone </w:t>
      </w:r>
      <w:r w:rsidR="00A10A89">
        <w:rPr>
          <w:rFonts w:ascii="Times New Roman" w:hAnsi="Times New Roman" w:cs="Times New Roman"/>
          <w:sz w:val="24"/>
          <w:szCs w:val="24"/>
        </w:rPr>
        <w:t xml:space="preserve">50 mg PO once daily for 12 weeks. Naltrexone is among the FDA-approved drugs for AUD with established efficacy. Indeed, </w:t>
      </w:r>
      <w:proofErr w:type="spellStart"/>
      <w:r w:rsidR="00B87F86" w:rsidRPr="00B67C00">
        <w:rPr>
          <w:rFonts w:ascii="Times New Roman" w:hAnsi="Times New Roman" w:cs="Times New Roman"/>
          <w:sz w:val="24"/>
          <w:szCs w:val="24"/>
        </w:rPr>
        <w:t>Stoklosa</w:t>
      </w:r>
      <w:proofErr w:type="spellEnd"/>
      <w:r w:rsidR="00B87F86" w:rsidRPr="00B67C00">
        <w:rPr>
          <w:rFonts w:ascii="Times New Roman" w:hAnsi="Times New Roman" w:cs="Times New Roman"/>
          <w:sz w:val="24"/>
          <w:szCs w:val="24"/>
        </w:rPr>
        <w:t xml:space="preserve"> et al. </w:t>
      </w:r>
      <w:r w:rsidR="006B6637" w:rsidRPr="00B67C00">
        <w:rPr>
          <w:rFonts w:ascii="Times New Roman" w:hAnsi="Times New Roman" w:cs="Times New Roman"/>
          <w:sz w:val="24"/>
          <w:szCs w:val="24"/>
        </w:rPr>
        <w:t>(</w:t>
      </w:r>
      <w:r w:rsidR="00B87F86" w:rsidRPr="00B67C00">
        <w:rPr>
          <w:rFonts w:ascii="Times New Roman" w:hAnsi="Times New Roman" w:cs="Times New Roman"/>
          <w:sz w:val="24"/>
          <w:szCs w:val="24"/>
        </w:rPr>
        <w:t>2023</w:t>
      </w:r>
      <w:r w:rsidR="006B6637" w:rsidRPr="00B67C00">
        <w:rPr>
          <w:rFonts w:ascii="Times New Roman" w:hAnsi="Times New Roman" w:cs="Times New Roman"/>
          <w:sz w:val="24"/>
          <w:szCs w:val="24"/>
        </w:rPr>
        <w:t>)</w:t>
      </w:r>
      <w:r w:rsidR="00A10A89">
        <w:rPr>
          <w:rFonts w:ascii="Times New Roman" w:hAnsi="Times New Roman" w:cs="Times New Roman"/>
          <w:sz w:val="24"/>
          <w:szCs w:val="24"/>
        </w:rPr>
        <w:t xml:space="preserve"> found it more effective than most other pharmacological agents in sustaining abstinence. </w:t>
      </w:r>
      <w:r w:rsidR="00AF6DE1" w:rsidRPr="00B67C00">
        <w:rPr>
          <w:rFonts w:ascii="Times New Roman" w:hAnsi="Times New Roman" w:cs="Times New Roman"/>
          <w:sz w:val="24"/>
          <w:szCs w:val="24"/>
        </w:rPr>
        <w:t xml:space="preserve">The CHOICE program was created to help people who drink a lot in a patient-centered </w:t>
      </w:r>
      <w:r w:rsidR="006A2DE8" w:rsidRPr="00B67C00">
        <w:rPr>
          <w:rFonts w:ascii="Times New Roman" w:hAnsi="Times New Roman" w:cs="Times New Roman"/>
          <w:sz w:val="24"/>
          <w:szCs w:val="24"/>
        </w:rPr>
        <w:t>way, which</w:t>
      </w:r>
      <w:r w:rsidR="00AF6DE1" w:rsidRPr="00B67C00">
        <w:rPr>
          <w:rFonts w:ascii="Times New Roman" w:hAnsi="Times New Roman" w:cs="Times New Roman"/>
          <w:sz w:val="24"/>
          <w:szCs w:val="24"/>
        </w:rPr>
        <w:t xml:space="preserve"> aims at improving the drinking habits by </w:t>
      </w:r>
      <w:r w:rsidR="00B87F86" w:rsidRPr="00B67C00">
        <w:rPr>
          <w:rFonts w:ascii="Times New Roman" w:hAnsi="Times New Roman" w:cs="Times New Roman"/>
          <w:sz w:val="24"/>
          <w:szCs w:val="24"/>
        </w:rPr>
        <w:t>setting personalized goals (Bradley et al., 2018</w:t>
      </w:r>
      <w:r w:rsidR="00AF6DE1" w:rsidRPr="00B67C00">
        <w:rPr>
          <w:rFonts w:ascii="Times New Roman" w:hAnsi="Times New Roman" w:cs="Times New Roman"/>
          <w:sz w:val="24"/>
          <w:szCs w:val="24"/>
        </w:rPr>
        <w:t xml:space="preserve">). </w:t>
      </w:r>
      <w:r w:rsidR="006A2DE8" w:rsidRPr="00B67C00">
        <w:rPr>
          <w:rFonts w:ascii="Times New Roman" w:hAnsi="Times New Roman" w:cs="Times New Roman"/>
          <w:sz w:val="24"/>
          <w:szCs w:val="24"/>
        </w:rPr>
        <w:t>Moreover, the patient was advised to attend family therapy sessions and attend community service. This experience showed how important it is for nurse practitioners to manage AUD. By giving comprehensive, patient-focused care, I laid the groundwork for continued support and helped the patient take charge of their health.</w:t>
      </w:r>
    </w:p>
    <w:bookmarkEnd w:id="0"/>
    <w:p w14:paraId="216D61AD" w14:textId="77777777" w:rsidR="008C293B" w:rsidRDefault="008C293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B40A1E" w14:textId="714C9141" w:rsidR="00C205B1" w:rsidRPr="00B67C00" w:rsidRDefault="00C205B1" w:rsidP="00C20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C0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0F518EF" w14:textId="77777777" w:rsidR="00B67C00" w:rsidRPr="00B67C00" w:rsidRDefault="00B67C00" w:rsidP="00B67C0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Bradley, K. A.,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Bobb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F.,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Ludman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J., Chavez, L. J., Saxon, A. J., Merrill, J. O., ... &amp;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Kivlahan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R. (2018). Alcohol-related nurse care management in primary care: a randomized clinical trial.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 internal medicine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178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613-621.</w:t>
      </w:r>
      <w:r w:rsidRPr="00B67C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67C0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https://doi.org/10.1001%2Fjamainternmed.2018.0388</w:t>
        </w:r>
      </w:hyperlink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5CA625D" w14:textId="77777777" w:rsidR="00B67C00" w:rsidRPr="00B67C00" w:rsidRDefault="00B67C00" w:rsidP="00B67C0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7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Cox, S. S., &amp; Reichel, C. M. (2023). The intersection of empathy and addiction.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Pharmacology biochemistry and behavior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222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173509.</w:t>
      </w:r>
      <w:r w:rsidRPr="00B67C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67C0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https://doi.org/10.1016%2Fj.pbb.2022.173509</w:t>
        </w:r>
      </w:hyperlink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02C65F3" w14:textId="501358B2" w:rsidR="00B67C00" w:rsidRDefault="00B67C00" w:rsidP="00B67C0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Ghiţă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Teixidor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Monras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Ortega, L.,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Mondon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Gual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... &amp; Gutiérrez-Maldonado, J. (2019). Identifying triggers of alcohol craving to develop effective virtual environments for cue exposure therapy.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74.</w:t>
      </w:r>
      <w:r w:rsidRPr="00B67C0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67C0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https://doi.org/10.3389%2Ffpsyg.2019.00074</w:t>
        </w:r>
      </w:hyperlink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13E8C98" w14:textId="61BA2558" w:rsidR="00A10A89" w:rsidRPr="00A10A89" w:rsidRDefault="00A10A89" w:rsidP="00A10A89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A10A8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Kiyak</w:t>
      </w:r>
      <w:proofErr w:type="spellEnd"/>
      <w:r w:rsidRPr="00A10A8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C., Simonetti, M. E., Norton, S., &amp; Deluca, P. (2023). The efficacy of cue exposure therapy on alcohol use disorders: A quantitative meta-analysis and systematic review. </w:t>
      </w:r>
      <w:r w:rsidRPr="00A10A8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Addictive </w:t>
      </w:r>
      <w:proofErr w:type="spellStart"/>
      <w:r w:rsidRPr="00A10A8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behaviors</w:t>
      </w:r>
      <w:proofErr w:type="spellEnd"/>
      <w:r w:rsidRPr="00A10A8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A10A89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>139</w:t>
      </w:r>
      <w:r w:rsidRPr="00A10A8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107578. </w:t>
      </w:r>
      <w:hyperlink r:id="rId9" w:history="1">
        <w:r w:rsidRPr="00A10A8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https://doi.org/10.1016/j.addbeh.2022.107578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624FDEC9" w14:textId="77777777" w:rsidR="00B67C00" w:rsidRPr="00B67C00" w:rsidRDefault="00B67C00" w:rsidP="00B67C0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Stokłosa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Więckiewicz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Stokłosa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Piegza, M.,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Pudlo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&amp; </w:t>
      </w:r>
      <w:proofErr w:type="spellStart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Gorczyca</w:t>
      </w:r>
      <w:proofErr w:type="spellEnd"/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 (2023). Medications for the treatment of alcohol dependence—current state of knowledge and future perspectives from a public health perspective.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7C0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1870.</w:t>
      </w:r>
      <w:r w:rsidRPr="00B67C0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67C0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https://doi.org/10.3390%2Fijerph20031870</w:t>
        </w:r>
      </w:hyperlink>
      <w:r w:rsidRPr="00B67C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D22B81C" w14:textId="77777777" w:rsidR="00C205B1" w:rsidRPr="00B67C00" w:rsidRDefault="00C205B1" w:rsidP="00C20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DE403" w14:textId="77777777" w:rsidR="00C205B1" w:rsidRPr="00B67C00" w:rsidRDefault="00C205B1" w:rsidP="00FB4124">
      <w:pPr>
        <w:rPr>
          <w:rFonts w:ascii="Times New Roman" w:hAnsi="Times New Roman" w:cs="Times New Roman"/>
          <w:sz w:val="24"/>
          <w:szCs w:val="24"/>
        </w:rPr>
      </w:pPr>
    </w:p>
    <w:sectPr w:rsidR="00C205B1" w:rsidRPr="00B67C00" w:rsidSect="002F4B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F6E87" w14:textId="77777777" w:rsidR="00DB1F7A" w:rsidRDefault="00DB1F7A" w:rsidP="008C293B">
      <w:pPr>
        <w:spacing w:line="240" w:lineRule="auto"/>
      </w:pPr>
      <w:r>
        <w:separator/>
      </w:r>
    </w:p>
  </w:endnote>
  <w:endnote w:type="continuationSeparator" w:id="0">
    <w:p w14:paraId="49353188" w14:textId="77777777" w:rsidR="00DB1F7A" w:rsidRDefault="00DB1F7A" w:rsidP="008C2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32CBD" w14:textId="77777777" w:rsidR="00DB1F7A" w:rsidRDefault="00DB1F7A" w:rsidP="008C293B">
      <w:pPr>
        <w:spacing w:line="240" w:lineRule="auto"/>
      </w:pPr>
      <w:r>
        <w:separator/>
      </w:r>
    </w:p>
  </w:footnote>
  <w:footnote w:type="continuationSeparator" w:id="0">
    <w:p w14:paraId="6F9FD5D2" w14:textId="77777777" w:rsidR="00DB1F7A" w:rsidRDefault="00DB1F7A" w:rsidP="008C2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EA75A" w14:textId="42A2CC4D" w:rsidR="008C293B" w:rsidRPr="008C293B" w:rsidRDefault="008C293B">
    <w:pPr>
      <w:pStyle w:val="Header"/>
      <w:rPr>
        <w:rFonts w:ascii="Times New Roman" w:hAnsi="Times New Roman" w:cs="Times New Roman"/>
        <w:sz w:val="24"/>
        <w:szCs w:val="24"/>
      </w:rPr>
    </w:pPr>
    <w:r w:rsidRPr="008C293B">
      <w:rPr>
        <w:rFonts w:ascii="Times New Roman" w:hAnsi="Times New Roman" w:cs="Times New Roman"/>
        <w:sz w:val="24"/>
        <w:szCs w:val="24"/>
      </w:rPr>
      <w:tab/>
    </w:r>
    <w:r w:rsidRPr="008C293B">
      <w:rPr>
        <w:rFonts w:ascii="Times New Roman" w:hAnsi="Times New Roman" w:cs="Times New Roman"/>
        <w:sz w:val="24"/>
        <w:szCs w:val="24"/>
      </w:rPr>
      <w:tab/>
    </w:r>
    <w:r w:rsidRPr="008C293B">
      <w:rPr>
        <w:rFonts w:ascii="Times New Roman" w:hAnsi="Times New Roman" w:cs="Times New Roman"/>
        <w:sz w:val="24"/>
        <w:szCs w:val="24"/>
      </w:rPr>
      <w:fldChar w:fldCharType="begin"/>
    </w:r>
    <w:r w:rsidRPr="008C293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C293B">
      <w:rPr>
        <w:rFonts w:ascii="Times New Roman" w:hAnsi="Times New Roman" w:cs="Times New Roman"/>
        <w:sz w:val="24"/>
        <w:szCs w:val="24"/>
      </w:rPr>
      <w:fldChar w:fldCharType="separate"/>
    </w:r>
    <w:r w:rsidRPr="008C293B">
      <w:rPr>
        <w:rFonts w:ascii="Times New Roman" w:hAnsi="Times New Roman" w:cs="Times New Roman"/>
        <w:noProof/>
        <w:sz w:val="24"/>
        <w:szCs w:val="24"/>
      </w:rPr>
      <w:t>1</w:t>
    </w:r>
    <w:r w:rsidRPr="008C293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24"/>
    <w:rsid w:val="00001BC7"/>
    <w:rsid w:val="000A0B60"/>
    <w:rsid w:val="00165B26"/>
    <w:rsid w:val="001C2E29"/>
    <w:rsid w:val="002F4BF8"/>
    <w:rsid w:val="00325151"/>
    <w:rsid w:val="00422CF2"/>
    <w:rsid w:val="004C479D"/>
    <w:rsid w:val="005315CE"/>
    <w:rsid w:val="006953B2"/>
    <w:rsid w:val="006A2DE8"/>
    <w:rsid w:val="006B6637"/>
    <w:rsid w:val="007B1A11"/>
    <w:rsid w:val="008C293B"/>
    <w:rsid w:val="009514F2"/>
    <w:rsid w:val="00A10A89"/>
    <w:rsid w:val="00A5100A"/>
    <w:rsid w:val="00AF6DE1"/>
    <w:rsid w:val="00B67C00"/>
    <w:rsid w:val="00B87F86"/>
    <w:rsid w:val="00BF4B28"/>
    <w:rsid w:val="00C205B1"/>
    <w:rsid w:val="00C602E1"/>
    <w:rsid w:val="00D345EF"/>
    <w:rsid w:val="00DB1F7A"/>
    <w:rsid w:val="00DF7AFF"/>
    <w:rsid w:val="00F85EA5"/>
    <w:rsid w:val="00F90654"/>
    <w:rsid w:val="00FB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CA3A"/>
  <w15:docId w15:val="{B4C9B508-88A7-4B63-BC6A-723AFB01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124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A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29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3B"/>
  </w:style>
  <w:style w:type="paragraph" w:styleId="Footer">
    <w:name w:val="footer"/>
    <w:basedOn w:val="Normal"/>
    <w:link w:val="FooterChar"/>
    <w:uiPriority w:val="99"/>
    <w:unhideWhenUsed/>
    <w:rsid w:val="008C29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%2Ffpsyg.2019.0007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%2Fj.pbb.2022.1735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1%2Fjamainternmed.2018.038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3390%2Fijerph200318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addbeh.2022.10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3</cp:revision>
  <dcterms:created xsi:type="dcterms:W3CDTF">2024-05-06T01:03:00Z</dcterms:created>
  <dcterms:modified xsi:type="dcterms:W3CDTF">2024-05-06T01:03:00Z</dcterms:modified>
</cp:coreProperties>
</file>