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AECD3B" w14:textId="77777777" w:rsidR="00405464" w:rsidRDefault="00405464" w:rsidP="00405464">
      <w:pPr>
        <w:shd w:val="clear" w:color="auto" w:fill="FFFFFF"/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14:paraId="4E5B222C" w14:textId="77777777" w:rsidR="00405464" w:rsidRDefault="00405464" w:rsidP="00405464">
      <w:pPr>
        <w:shd w:val="clear" w:color="auto" w:fill="FFFFFF"/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0A16435" w14:textId="77777777" w:rsidR="00405464" w:rsidRDefault="00405464" w:rsidP="00405464">
      <w:pPr>
        <w:shd w:val="clear" w:color="auto" w:fill="FFFFFF"/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8659D16" w14:textId="193AD245" w:rsidR="005F3BD3" w:rsidRPr="00405464" w:rsidRDefault="00405464" w:rsidP="00405464">
      <w:pPr>
        <w:shd w:val="clear" w:color="auto" w:fill="FFFFFF"/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54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Advanced Practice Nurse Clinical Leadership: Identifying Grants to Fund Practice Change </w:t>
      </w:r>
      <w:r w:rsidRPr="004054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Initiatives </w:t>
      </w:r>
    </w:p>
    <w:p w14:paraId="492807CA" w14:textId="0B81D544" w:rsidR="00405464" w:rsidRPr="00405464" w:rsidRDefault="00405464" w:rsidP="00405464">
      <w:pPr>
        <w:shd w:val="clear" w:color="auto" w:fill="FFFFFF"/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54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Name</w:t>
      </w:r>
    </w:p>
    <w:p w14:paraId="0EDF4196" w14:textId="091F3894" w:rsidR="00405464" w:rsidRPr="00405464" w:rsidRDefault="00405464" w:rsidP="00405464">
      <w:pPr>
        <w:shd w:val="clear" w:color="auto" w:fill="FFFFFF"/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54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Institution</w:t>
      </w:r>
    </w:p>
    <w:p w14:paraId="4782EF4D" w14:textId="03E2D9F9" w:rsidR="00405464" w:rsidRPr="00405464" w:rsidRDefault="00405464" w:rsidP="00405464">
      <w:pPr>
        <w:shd w:val="clear" w:color="auto" w:fill="FFFFFF"/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54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Course</w:t>
      </w:r>
    </w:p>
    <w:p w14:paraId="284422DA" w14:textId="75234168" w:rsidR="00405464" w:rsidRPr="00405464" w:rsidRDefault="00405464" w:rsidP="00405464">
      <w:pPr>
        <w:shd w:val="clear" w:color="auto" w:fill="FFFFFF"/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54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Instructor</w:t>
      </w:r>
    </w:p>
    <w:p w14:paraId="5075C87E" w14:textId="133EE1AA" w:rsidR="00405464" w:rsidRPr="00405464" w:rsidRDefault="00405464" w:rsidP="00405464">
      <w:pPr>
        <w:shd w:val="clear" w:color="auto" w:fill="FFFFFF"/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054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Date</w:t>
      </w:r>
    </w:p>
    <w:p w14:paraId="421C0029" w14:textId="77777777" w:rsidR="00405464" w:rsidRDefault="00405464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69AA647F" w14:textId="4A8DEF23" w:rsidR="00405464" w:rsidRPr="00405464" w:rsidRDefault="00405464" w:rsidP="00405464">
      <w:pPr>
        <w:shd w:val="clear" w:color="auto" w:fill="FFFFFF"/>
        <w:spacing w:after="0" w:line="48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0546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Identifying Grants to Fund Practice Change Initiatives </w:t>
      </w:r>
    </w:p>
    <w:p w14:paraId="5417C534" w14:textId="01641AD2" w:rsidR="00333900" w:rsidRPr="005F3BD3" w:rsidRDefault="00135594" w:rsidP="005F3BD3">
      <w:pPr>
        <w:shd w:val="clear" w:color="auto" w:fill="FFFFFF"/>
        <w:spacing w:after="0" w:line="480" w:lineRule="auto"/>
        <w:ind w:firstLine="720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Alcohol abuse is </w:t>
      </w:r>
      <w:r w:rsidR="00ED5607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one of the leading risk factors</w:t>
      </w:r>
      <w:r w:rsidR="00587D74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contributing to diseases and economic burdens. Alcohol </w:t>
      </w:r>
      <w:r w:rsidR="00940142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causes more than 200 diseases and injury </w:t>
      </w:r>
      <w:r w:rsidR="006F7DBF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conditions</w:t>
      </w:r>
      <w:r w:rsidR="00940142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such as alcohol dependence, liver cirrhosis</w:t>
      </w:r>
      <w:r w:rsidR="00ED5607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940142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cancers</w:t>
      </w:r>
      <w:r w:rsidR="009904A9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Approximately 3.3 million people die annually</w:t>
      </w:r>
      <w:r w:rsidR="00A75D30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equivalent to 5.9% of total deaths, and causes 5.1% of the </w:t>
      </w:r>
      <w:r w:rsidR="009904A9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global burden of diseases. </w:t>
      </w:r>
      <w:r w:rsidR="00342C0F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Evidence reveals that consuming one drink daily for women and 1.5 drinks daily for men is equivalent t</w:t>
      </w:r>
      <w:r w:rsidR="009D0DAB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 12 grams of pure alcohol and 18 grams daily for men and women</w:t>
      </w:r>
      <w:r w:rsidR="0045020F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respectively,</w:t>
      </w:r>
      <w:r w:rsidR="009D0DAB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accounting for 88% of overall cases of alcohol dependence and 38% cases of cirrhosis (</w:t>
      </w:r>
      <w:proofErr w:type="spellStart"/>
      <w:r w:rsidR="00C00CE6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Goryakin</w:t>
      </w:r>
      <w:proofErr w:type="spellEnd"/>
      <w:r w:rsidR="00C00CE6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 al., 2021</w:t>
      </w:r>
      <w:r w:rsidR="009D0DAB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). Approximately 1.1 billion new cases of dependenc</w:t>
      </w:r>
      <w:r w:rsidR="004F464A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38779A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37 million cases of injuries, 12 million diabetes cases, 24 million cases of cardiovascular disease, 10 million cancer</w:t>
      </w:r>
      <w:r w:rsidR="00942E62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cases, and 5 million cases of cirrhosis are attributed to alcohol consumption between 2020 and 2050. </w:t>
      </w:r>
    </w:p>
    <w:p w14:paraId="180821CD" w14:textId="7E3F0E62" w:rsidR="00135594" w:rsidRPr="005F3BD3" w:rsidRDefault="00942E62" w:rsidP="005F3BD3">
      <w:pPr>
        <w:shd w:val="clear" w:color="auto" w:fill="FFFFFF"/>
        <w:spacing w:after="0" w:line="480" w:lineRule="auto"/>
        <w:ind w:firstLine="720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Alcohol consumption</w:t>
      </w:r>
      <w:r w:rsidR="006D5E23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contributes to people dying prematurely</w:t>
      </w:r>
      <w:r w:rsidR="0045020F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especially between the ages of 30 and 70 years, approximately 1.1 million people, equivalent to 24 people</w:t>
      </w:r>
      <w:r w:rsidR="006D5E23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per 100,000</w:t>
      </w:r>
      <w:r w:rsidR="0045020F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population. Alcohol abuse increases </w:t>
      </w:r>
      <w:r w:rsidR="00202188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prevalence of diseases and costs, on average, $61 per capita</w:t>
      </w:r>
      <w:r w:rsidR="0045020F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annuall</w:t>
      </w:r>
      <w:r w:rsidR="00BC268F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 and extra health care expenditure. </w:t>
      </w:r>
      <w:r w:rsidR="0038274D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government spends $138 billion annually to treat these diseases, such as specialized treatment, inpatient hospitalization, day surgery, physician time,</w:t>
      </w:r>
      <w:r w:rsidR="009325EA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prescribed drugs (</w:t>
      </w:r>
      <w:proofErr w:type="spellStart"/>
      <w:r w:rsidR="00C00CE6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Goryakin</w:t>
      </w:r>
      <w:proofErr w:type="spellEnd"/>
      <w:r w:rsidR="00C00CE6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 al., 2021</w:t>
      </w:r>
      <w:r w:rsidR="009325EA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E13336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Other non healthcare costs related to alcohol abuse include </w:t>
      </w:r>
      <w:r w:rsidR="009325EA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nonhealthcare</w:t>
      </w:r>
      <w:r w:rsidR="00C97818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are associated with social costs</w:t>
      </w:r>
      <w:r w:rsidR="0038274D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C97818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including </w:t>
      </w:r>
      <w:r w:rsidR="0038274D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labor</w:t>
      </w:r>
      <w:r w:rsidR="00C97818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productivity losses,</w:t>
      </w:r>
      <w:r w:rsidR="00E00DF1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pain and suffering,</w:t>
      </w:r>
      <w:r w:rsidR="00C97818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loss of earnings due to premature </w:t>
      </w:r>
      <w:r w:rsidR="0038274D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mortality, increased crime, increasing incarceration rate</w:t>
      </w:r>
      <w:r w:rsidR="00E00DF1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38274D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policing, and legal costs</w:t>
      </w:r>
      <w:r w:rsidR="00E00DF1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38274D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E580EB" w14:textId="41EE7016" w:rsidR="00202188" w:rsidRPr="005F3BD3" w:rsidRDefault="00202188" w:rsidP="005F3BD3">
      <w:pPr>
        <w:shd w:val="clear" w:color="auto" w:fill="FFFFFF"/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 continuous quality improvement</w:t>
      </w:r>
      <w:r w:rsidR="00734FD6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(CQI)</w:t>
      </w:r>
      <w:r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program </w:t>
      </w:r>
      <w:r w:rsidR="008F4D9A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can help to develop strategies </w:t>
      </w:r>
      <w:r w:rsidR="00F33717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</w:t>
      </w:r>
      <w:r w:rsidR="008F4D9A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improving service provision for unhealthy alcohol use in primary </w:t>
      </w:r>
      <w:r w:rsidR="00F33717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health </w:t>
      </w:r>
      <w:r w:rsidR="008F4D9A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care</w:t>
      </w:r>
      <w:r w:rsidR="00F33717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Alcohol-focused programs are better at achieving improvements in implementing screening and</w:t>
      </w:r>
      <w:r w:rsidR="00B40668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treatment, such as </w:t>
      </w:r>
      <w:r w:rsidR="00F33717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brief interventions to reduce alcohol abuse or alcohol consumption</w:t>
      </w:r>
      <w:r w:rsidR="00B40668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915563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Dzidowska</w:t>
      </w:r>
      <w:proofErr w:type="spellEnd"/>
      <w:r w:rsidR="00915563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 al., 2020</w:t>
      </w:r>
      <w:r w:rsidR="00B40668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). The </w:t>
      </w:r>
      <w:r w:rsidR="00734FD6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CQI program may use systematic </w:t>
      </w:r>
      <w:r w:rsidR="00AE0F87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data-guided activities to identify the extent of the problem</w:t>
      </w:r>
      <w:r w:rsidR="00734FD6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achieve improvement. The program may be designed </w:t>
      </w:r>
      <w:r w:rsidR="005E48C1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 consider local conditions</w:t>
      </w:r>
      <w:r w:rsidR="00734FD6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use iterative development and testing </w:t>
      </w:r>
      <w:r w:rsidR="00AE0F87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processes. As such, </w:t>
      </w:r>
      <w:r w:rsidR="005E48C1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 </w:t>
      </w:r>
      <w:r w:rsidR="00AE0F87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improvement strategy may include </w:t>
      </w:r>
      <w:r w:rsidR="005E48C1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targeted</w:t>
      </w:r>
      <w:r w:rsidR="00AE0F87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clinical actions, </w:t>
      </w:r>
      <w:r w:rsidR="00915563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training staff, and considering</w:t>
      </w:r>
      <w:r w:rsidR="00415D4B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financial incentives to address barriers and achieve improvement </w:t>
      </w:r>
      <w:r w:rsidR="005E48C1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415D4B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engaging multifaceted stakeholders and organizations such as </w:t>
      </w:r>
      <w:r w:rsidR="005E48C1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all levels of government, </w:t>
      </w:r>
      <w:r w:rsidR="00F108B8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5E48C1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health system, clinicians, patients, and private sectors</w:t>
      </w:r>
      <w:r w:rsidR="00F108B8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F108B8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Dzidowska</w:t>
      </w:r>
      <w:proofErr w:type="spellEnd"/>
      <w:r w:rsidR="00F108B8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et al., 2020)</w:t>
      </w:r>
      <w:r w:rsidR="009417CF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A438741" w14:textId="1E73A4EA" w:rsidR="008318F4" w:rsidRPr="005F3BD3" w:rsidRDefault="008318F4" w:rsidP="005F3BD3">
      <w:pPr>
        <w:shd w:val="clear" w:color="auto" w:fill="FFFFFF"/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American Psychiatric Nurses Association</w:t>
      </w:r>
      <w:r w:rsidR="00374FDF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(APNA)</w:t>
      </w:r>
      <w:r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Research Grants program provides funding to improve </w:t>
      </w:r>
      <w:r w:rsidR="00374FDF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scientific contributions that advance new knowledge in psychiatric mental health nursing. The organization provides grants or funds </w:t>
      </w:r>
      <w:r w:rsidR="00FF059F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 e</w:t>
      </w:r>
      <w:r w:rsidR="00374FDF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vidence-based practice (EBP) change or quality improvement (QI) projects</w:t>
      </w:r>
      <w:r w:rsidR="00FF059F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apply evidence to practice. Priority of funding is based on potential knowledge development, relevance to practice and scientific merit</w:t>
      </w:r>
      <w:r w:rsidR="002918DA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F3BD3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APNA, 2024</w:t>
      </w:r>
      <w:r w:rsidR="002918DA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AE2B69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The </w:t>
      </w:r>
      <w:r w:rsidR="008B0C68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funding proposal</w:t>
      </w:r>
      <w:r w:rsidR="00AE2B69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should address strategies and models </w:t>
      </w:r>
      <w:r w:rsidR="00043DF0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for shared </w:t>
      </w:r>
      <w:r w:rsidR="00AE2B69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decision</w:t>
      </w:r>
      <w:r w:rsidR="00043DF0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-making to achieve positive mental health treatment outcomes. The proposal should address disparities and promote diversity, equity</w:t>
      </w:r>
      <w:r w:rsidR="008B0C68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043DF0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8B0C68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inclusion within mental health care, such as access to care and </w:t>
      </w:r>
      <w:r w:rsidR="00FB4307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8B0C68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workforce. The </w:t>
      </w:r>
      <w:r w:rsidR="00F218A2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proposal should also integrate mental health </w:t>
      </w:r>
      <w:r w:rsidR="00FB4307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care and consider holistic </w:t>
      </w:r>
      <w:r w:rsidR="002918DA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approaches</w:t>
      </w:r>
      <w:r w:rsidR="00FB4307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such as biological, social, emotional, psychological, and spiritual aspects across the lifespan. The proposal should also have innovative adaptations </w:t>
      </w:r>
      <w:r w:rsidR="002918DA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psychiatric nursing interventions to address and respond to the pandemic and its significance on mental health, recovery</w:t>
      </w:r>
      <w:r w:rsidR="00C52E8F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2918DA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healing</w:t>
      </w:r>
      <w:r w:rsidR="00F50162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F3BD3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APNA, 2024</w:t>
      </w:r>
      <w:r w:rsidR="00F50162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2918DA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9034482" w14:textId="6B5F8709" w:rsidR="002918DA" w:rsidRPr="005F3BD3" w:rsidRDefault="002918DA" w:rsidP="005F3BD3">
      <w:pPr>
        <w:shd w:val="clear" w:color="auto" w:fill="FFFFFF"/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An applicant for the </w:t>
      </w:r>
      <w:r w:rsidR="00A03EF6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APNA </w:t>
      </w:r>
      <w:r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grants</w:t>
      </w:r>
      <w:r w:rsidR="00C52E8F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must be a current member, be in the early stages of a scholarly career, and have</w:t>
      </w:r>
      <w:r w:rsidR="00A03EF6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2E8F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not previously had major intra- or extramural funding. The applicant must be licensed as a registered nurse focusing on psychiatric mental health. The APNA </w:t>
      </w:r>
      <w:r w:rsidR="003F0370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also accepts applications for master’s thesis or doctoral dissertations with the approval of the dissertation or DNP project committee</w:t>
      </w:r>
      <w:r w:rsidR="000F52E0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F3BD3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APNA, 2024</w:t>
      </w:r>
      <w:r w:rsidR="000F52E0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3F0370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The grant recipient can apply for the APNA grant after five years. </w:t>
      </w:r>
      <w:r w:rsidR="006C34CD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Proposal submission involves </w:t>
      </w:r>
      <w:r w:rsidR="000F52E0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logging in </w:t>
      </w:r>
      <w:r w:rsidR="006C34CD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D715ED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APNA account, fill the application, and uploading</w:t>
      </w:r>
      <w:r w:rsidR="006C34CD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the pr</w:t>
      </w:r>
      <w:r w:rsidR="00D715ED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6C34CD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posal</w:t>
      </w:r>
      <w:r w:rsidR="00D715ED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the EBP project. One must </w:t>
      </w:r>
      <w:r w:rsidR="00721A24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submit </w:t>
      </w:r>
      <w:r w:rsidR="000F52E0" w:rsidRPr="005F3BD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budget justification, a letter of approval from the DNP chair and facility, and attach a resume and funding history such as year, agency, amount, and purpose. </w:t>
      </w:r>
    </w:p>
    <w:p w14:paraId="2AB51E9C" w14:textId="77777777" w:rsidR="005F3BD3" w:rsidRDefault="005F3BD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E3B189B" w14:textId="74CAFF68" w:rsidR="00107193" w:rsidRPr="005F3BD3" w:rsidRDefault="00E00DF1" w:rsidP="005F3BD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BD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D4237B9" w14:textId="77777777" w:rsidR="005F3BD3" w:rsidRPr="005F3BD3" w:rsidRDefault="005F3BD3" w:rsidP="005F3BD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5F3B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American Psychiatric Nurses Association (APNA). (2024, March 8). </w:t>
      </w:r>
      <w:r w:rsidRPr="005F3BD3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Research grants</w:t>
      </w:r>
      <w:r w:rsidRPr="005F3BD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APNA. </w:t>
      </w:r>
      <w:hyperlink r:id="rId7" w:history="1">
        <w:r w:rsidRPr="005F3BD3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https://www.apna.org/grants/</w:t>
        </w:r>
      </w:hyperlink>
    </w:p>
    <w:p w14:paraId="306092C5" w14:textId="77777777" w:rsidR="005F3BD3" w:rsidRPr="005F3BD3" w:rsidRDefault="005F3BD3" w:rsidP="005F3BD3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F3B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Dzidowska</w:t>
      </w:r>
      <w:proofErr w:type="spellEnd"/>
      <w:r w:rsidRPr="005F3B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Lee, K. K., Wylie, C., </w:t>
      </w:r>
      <w:proofErr w:type="spellStart"/>
      <w:r w:rsidRPr="005F3B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Bailie</w:t>
      </w:r>
      <w:proofErr w:type="spellEnd"/>
      <w:r w:rsidRPr="005F3B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J., Percival, N., Conigrave, J. H., ... &amp; Conigrave, K. M. (2020). A systematic review of approaches to improve practice, detection and treatment of unhealthy alcohol use in primary health care: a role for continuous quality improvement. </w:t>
      </w:r>
      <w:r w:rsidRPr="005F3BD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BMC family practice</w:t>
      </w:r>
      <w:r w:rsidRPr="005F3B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F3BD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21</w:t>
      </w:r>
      <w:r w:rsidRPr="005F3B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1-22.</w:t>
      </w:r>
      <w:r w:rsidRPr="005F3B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8" w:history="1">
        <w:r w:rsidRPr="005F3BD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https://doi.org/10.1186/s12875-020-1101-x</w:t>
        </w:r>
      </w:hyperlink>
      <w:r w:rsidRPr="005F3BD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03EB4BE3" w14:textId="77777777" w:rsidR="005F3BD3" w:rsidRPr="005F3BD3" w:rsidRDefault="005F3BD3" w:rsidP="005F3BD3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5F3B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Goryakin</w:t>
      </w:r>
      <w:proofErr w:type="spellEnd"/>
      <w:r w:rsidRPr="005F3B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Y., Aldea, A., Devaux, M., Guillemette, Y., Feigl, A., </w:t>
      </w:r>
      <w:proofErr w:type="spellStart"/>
      <w:r w:rsidRPr="005F3B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Vuik</w:t>
      </w:r>
      <w:proofErr w:type="spellEnd"/>
      <w:r w:rsidRPr="005F3B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&amp; Lerouge, A. (2021). The health and economic burden of alcohol consumption.</w:t>
      </w:r>
      <w:r w:rsidRPr="005F3BD3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5F3BD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https://www.oecd-ilibrary.org/sites/2304eb8c-en/index.html?itemId=/content/component/2304eb8c-en</w:t>
        </w:r>
      </w:hyperlink>
      <w:r w:rsidRPr="005F3B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5F3BD3" w:rsidRPr="005F3BD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584D9" w14:textId="77777777" w:rsidR="005B033C" w:rsidRDefault="005B033C" w:rsidP="00405464">
      <w:pPr>
        <w:spacing w:after="0" w:line="240" w:lineRule="auto"/>
      </w:pPr>
      <w:r>
        <w:separator/>
      </w:r>
    </w:p>
  </w:endnote>
  <w:endnote w:type="continuationSeparator" w:id="0">
    <w:p w14:paraId="4797EE39" w14:textId="77777777" w:rsidR="005B033C" w:rsidRDefault="005B033C" w:rsidP="0040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BBB0E" w14:textId="77777777" w:rsidR="005B033C" w:rsidRDefault="005B033C" w:rsidP="00405464">
      <w:pPr>
        <w:spacing w:after="0" w:line="240" w:lineRule="auto"/>
      </w:pPr>
      <w:r>
        <w:separator/>
      </w:r>
    </w:p>
  </w:footnote>
  <w:footnote w:type="continuationSeparator" w:id="0">
    <w:p w14:paraId="7D771717" w14:textId="77777777" w:rsidR="005B033C" w:rsidRDefault="005B033C" w:rsidP="00405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61873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7EAA035" w14:textId="72A57C9A" w:rsidR="00405464" w:rsidRPr="00405464" w:rsidRDefault="00405464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054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54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054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0546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0546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9F1002C" w14:textId="77777777" w:rsidR="00405464" w:rsidRDefault="004054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BF7E32"/>
    <w:multiLevelType w:val="multilevel"/>
    <w:tmpl w:val="5184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A61"/>
    <w:rsid w:val="00043DF0"/>
    <w:rsid w:val="000E2849"/>
    <w:rsid w:val="000F52E0"/>
    <w:rsid w:val="00107193"/>
    <w:rsid w:val="00135594"/>
    <w:rsid w:val="001A5BE6"/>
    <w:rsid w:val="00202188"/>
    <w:rsid w:val="0023616F"/>
    <w:rsid w:val="002918DA"/>
    <w:rsid w:val="00333900"/>
    <w:rsid w:val="00342C0F"/>
    <w:rsid w:val="00374FDF"/>
    <w:rsid w:val="0038274D"/>
    <w:rsid w:val="0038779A"/>
    <w:rsid w:val="003F0370"/>
    <w:rsid w:val="00405464"/>
    <w:rsid w:val="00415D4B"/>
    <w:rsid w:val="00437612"/>
    <w:rsid w:val="0045020F"/>
    <w:rsid w:val="00481C4C"/>
    <w:rsid w:val="004B76D6"/>
    <w:rsid w:val="004F464A"/>
    <w:rsid w:val="00587D74"/>
    <w:rsid w:val="005B033C"/>
    <w:rsid w:val="005E48C1"/>
    <w:rsid w:val="005F3BD3"/>
    <w:rsid w:val="005F4B41"/>
    <w:rsid w:val="006B50AF"/>
    <w:rsid w:val="006C34CD"/>
    <w:rsid w:val="006D5E23"/>
    <w:rsid w:val="006F7DBF"/>
    <w:rsid w:val="00721A24"/>
    <w:rsid w:val="00734FD6"/>
    <w:rsid w:val="008318F4"/>
    <w:rsid w:val="00893AE7"/>
    <w:rsid w:val="008B0C68"/>
    <w:rsid w:val="008F4D9A"/>
    <w:rsid w:val="00915563"/>
    <w:rsid w:val="009256AB"/>
    <w:rsid w:val="009325EA"/>
    <w:rsid w:val="00940142"/>
    <w:rsid w:val="009417CF"/>
    <w:rsid w:val="00942E62"/>
    <w:rsid w:val="009904A9"/>
    <w:rsid w:val="009D0DAB"/>
    <w:rsid w:val="00A03EF6"/>
    <w:rsid w:val="00A75D30"/>
    <w:rsid w:val="00AE0F87"/>
    <w:rsid w:val="00AE2B69"/>
    <w:rsid w:val="00B40668"/>
    <w:rsid w:val="00BC268F"/>
    <w:rsid w:val="00C00CE6"/>
    <w:rsid w:val="00C52E8F"/>
    <w:rsid w:val="00C97818"/>
    <w:rsid w:val="00D715ED"/>
    <w:rsid w:val="00D91A61"/>
    <w:rsid w:val="00E00DF1"/>
    <w:rsid w:val="00E13336"/>
    <w:rsid w:val="00ED5607"/>
    <w:rsid w:val="00F108B8"/>
    <w:rsid w:val="00F218A2"/>
    <w:rsid w:val="00F33717"/>
    <w:rsid w:val="00F50162"/>
    <w:rsid w:val="00FB4307"/>
    <w:rsid w:val="00FF059F"/>
    <w:rsid w:val="00FF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E70EB"/>
  <w15:chartTrackingRefBased/>
  <w15:docId w15:val="{9804E5DA-045A-4CB3-82C7-1F01309C7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0C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CE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5F3BD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05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464"/>
  </w:style>
  <w:style w:type="paragraph" w:styleId="Footer">
    <w:name w:val="footer"/>
    <w:basedOn w:val="Normal"/>
    <w:link w:val="FooterChar"/>
    <w:uiPriority w:val="99"/>
    <w:unhideWhenUsed/>
    <w:rsid w:val="00405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8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381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875-020-1101-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pna.org/gran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oecd-ilibrary.org/sites/2304eb8c-en/index.html?itemId=/content/component/2304eb8c-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UMC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Onyima</dc:creator>
  <cp:keywords/>
  <dc:description/>
  <cp:lastModifiedBy>office</cp:lastModifiedBy>
  <cp:revision>2</cp:revision>
  <dcterms:created xsi:type="dcterms:W3CDTF">2024-05-13T12:51:00Z</dcterms:created>
  <dcterms:modified xsi:type="dcterms:W3CDTF">2024-05-13T12:51:00Z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5c0802c738737d8a60a8576107a9860ea8e1c3e93983f24a09c066b5de073501</vt:lpwstr>
  </property>
  <property fmtid="{D5CDD505-2E9C-101B-9397-08002B2CF9AE}" pid="3" name="_DocHome">
    <vt:i4>-2108051990</vt:i4>
  </property>
</Properties>
</file>