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CBAD3" w14:textId="0BA36E2B" w:rsidR="002F175F" w:rsidRDefault="0022532F" w:rsidP="0022532F">
      <w:pPr>
        <w:jc w:val="center"/>
        <w:rPr>
          <w:rFonts w:ascii="Times New Roman" w:hAnsi="Times New Roman" w:cs="Times New Roman"/>
          <w:b/>
          <w:sz w:val="24"/>
          <w:szCs w:val="24"/>
        </w:rPr>
      </w:pPr>
      <w:r>
        <w:rPr>
          <w:rFonts w:ascii="Times New Roman" w:hAnsi="Times New Roman" w:cs="Times New Roman"/>
          <w:b/>
          <w:sz w:val="24"/>
          <w:szCs w:val="24"/>
        </w:rPr>
        <w:t>EBP Models and Conclusion</w:t>
      </w:r>
    </w:p>
    <w:p w14:paraId="6F527D5E" w14:textId="320EC0D8" w:rsidR="003C3D2C" w:rsidRDefault="0022532F" w:rsidP="003C3D2C">
      <w:pPr>
        <w:rPr>
          <w:rFonts w:ascii="Times" w:eastAsia="Times" w:hAnsi="Times" w:cs="Times"/>
        </w:rPr>
      </w:pPr>
      <w:r>
        <w:rPr>
          <w:rFonts w:ascii="Times New Roman" w:hAnsi="Times New Roman" w:cs="Times New Roman"/>
          <w:sz w:val="24"/>
          <w:szCs w:val="24"/>
        </w:rPr>
        <w:tab/>
        <w:t>According to</w:t>
      </w:r>
      <w:r w:rsidR="002840FF">
        <w:rPr>
          <w:rFonts w:ascii="Times New Roman" w:hAnsi="Times New Roman" w:cs="Times New Roman"/>
          <w:sz w:val="24"/>
          <w:szCs w:val="24"/>
        </w:rPr>
        <w:t xml:space="preserve"> </w:t>
      </w:r>
      <w:proofErr w:type="spellStart"/>
      <w:r w:rsidR="002840FF">
        <w:rPr>
          <w:rFonts w:ascii="Times New Roman" w:hAnsi="Times New Roman" w:cs="Times New Roman"/>
          <w:sz w:val="24"/>
          <w:szCs w:val="24"/>
        </w:rPr>
        <w:t>Dusin</w:t>
      </w:r>
      <w:proofErr w:type="spellEnd"/>
      <w:r w:rsidR="002840FF">
        <w:rPr>
          <w:rFonts w:ascii="Times New Roman" w:hAnsi="Times New Roman" w:cs="Times New Roman"/>
          <w:sz w:val="24"/>
          <w:szCs w:val="24"/>
        </w:rPr>
        <w:t xml:space="preserve"> et al. </w:t>
      </w:r>
      <w:bookmarkStart w:id="0" w:name="_GoBack"/>
      <w:r w:rsidR="002840FF">
        <w:rPr>
          <w:rFonts w:ascii="Times New Roman" w:hAnsi="Times New Roman" w:cs="Times New Roman"/>
          <w:sz w:val="24"/>
          <w:szCs w:val="24"/>
        </w:rPr>
        <w:t>(2023)</w:t>
      </w:r>
      <w:r>
        <w:rPr>
          <w:rFonts w:ascii="Times New Roman" w:hAnsi="Times New Roman" w:cs="Times New Roman"/>
          <w:sz w:val="24"/>
          <w:szCs w:val="24"/>
        </w:rPr>
        <w:t>, choosing an</w:t>
      </w:r>
      <w:r w:rsidR="00392A02">
        <w:rPr>
          <w:rFonts w:ascii="Times New Roman" w:hAnsi="Times New Roman" w:cs="Times New Roman"/>
          <w:sz w:val="24"/>
          <w:szCs w:val="24"/>
        </w:rPr>
        <w:t xml:space="preserve"> appropriate</w:t>
      </w:r>
      <w:r>
        <w:rPr>
          <w:rFonts w:ascii="Times New Roman" w:hAnsi="Times New Roman" w:cs="Times New Roman"/>
          <w:sz w:val="24"/>
          <w:szCs w:val="24"/>
        </w:rPr>
        <w:t xml:space="preserve"> </w:t>
      </w:r>
      <w:r w:rsidR="00392A02">
        <w:rPr>
          <w:rFonts w:ascii="Times New Roman" w:hAnsi="Times New Roman" w:cs="Times New Roman"/>
          <w:sz w:val="24"/>
          <w:szCs w:val="24"/>
        </w:rPr>
        <w:t xml:space="preserve">evidence-based practice (EBP) model </w:t>
      </w:r>
      <w:r>
        <w:rPr>
          <w:rFonts w:ascii="Times New Roman" w:hAnsi="Times New Roman" w:cs="Times New Roman"/>
          <w:sz w:val="24"/>
          <w:szCs w:val="24"/>
        </w:rPr>
        <w:t xml:space="preserve">allows implementers to map the change process, determine the resources required, identify barriers and facilitators, and plan on solutions to mitigate the barriers. </w:t>
      </w:r>
      <w:bookmarkEnd w:id="0"/>
      <w:r w:rsidR="00392A02">
        <w:rPr>
          <w:rFonts w:ascii="Times New Roman" w:hAnsi="Times New Roman" w:cs="Times New Roman"/>
          <w:sz w:val="24"/>
          <w:szCs w:val="24"/>
        </w:rPr>
        <w:t xml:space="preserve">The proposed project will use the knowledge-to-action (KTA) model. </w:t>
      </w:r>
      <w:r w:rsidR="000C436D">
        <w:rPr>
          <w:rFonts w:ascii="Times New Roman" w:hAnsi="Times New Roman" w:cs="Times New Roman"/>
          <w:sz w:val="24"/>
          <w:szCs w:val="24"/>
        </w:rPr>
        <w:t xml:space="preserve">The model allows systematic and iterative </w:t>
      </w:r>
      <w:r w:rsidR="007C014B">
        <w:rPr>
          <w:rFonts w:ascii="Times New Roman" w:hAnsi="Times New Roman" w:cs="Times New Roman"/>
          <w:sz w:val="24"/>
          <w:szCs w:val="24"/>
        </w:rPr>
        <w:t>process of knowledge translation that relies on planned action in influencing change (Graham et al., 2006; Ramos-</w:t>
      </w:r>
      <w:proofErr w:type="spellStart"/>
      <w:r w:rsidR="007C014B">
        <w:rPr>
          <w:rFonts w:ascii="Times New Roman" w:hAnsi="Times New Roman" w:cs="Times New Roman"/>
          <w:sz w:val="24"/>
          <w:szCs w:val="24"/>
        </w:rPr>
        <w:t>Morcillo</w:t>
      </w:r>
      <w:proofErr w:type="spellEnd"/>
      <w:r w:rsidR="007C014B">
        <w:rPr>
          <w:rFonts w:ascii="Times New Roman" w:hAnsi="Times New Roman" w:cs="Times New Roman"/>
          <w:sz w:val="24"/>
          <w:szCs w:val="24"/>
        </w:rPr>
        <w:t xml:space="preserve"> et al., 2020). The model encompasses two components – </w:t>
      </w:r>
      <w:r w:rsidR="007C014B">
        <w:rPr>
          <w:rFonts w:ascii="Times" w:eastAsia="Times" w:hAnsi="Times" w:cs="Times"/>
        </w:rPr>
        <w:t xml:space="preserve">the knowledge-creation cycle and action cycle – that provide a framework for change implementation (Graham </w:t>
      </w:r>
      <w:r w:rsidR="002840FF">
        <w:rPr>
          <w:rFonts w:ascii="Times" w:eastAsia="Times" w:hAnsi="Times" w:cs="Times"/>
        </w:rPr>
        <w:t>et al., 2006</w:t>
      </w:r>
      <w:r w:rsidR="007C014B">
        <w:rPr>
          <w:rFonts w:ascii="Times" w:eastAsia="Times" w:hAnsi="Times" w:cs="Times"/>
        </w:rPr>
        <w:t>).</w:t>
      </w:r>
      <w:r w:rsidR="007C014B">
        <w:rPr>
          <w:rFonts w:ascii="Times" w:eastAsia="Times" w:hAnsi="Times" w:cs="Times"/>
        </w:rPr>
        <w:t xml:space="preserve"> </w:t>
      </w:r>
      <w:r w:rsidR="002B7F54">
        <w:rPr>
          <w:rFonts w:ascii="Times" w:eastAsia="Times" w:hAnsi="Times" w:cs="Times"/>
        </w:rPr>
        <w:t xml:space="preserve">The </w:t>
      </w:r>
      <w:r w:rsidR="007C014B">
        <w:rPr>
          <w:rFonts w:ascii="Times" w:eastAsia="Times" w:hAnsi="Times" w:cs="Times"/>
        </w:rPr>
        <w:t>knowledge</w:t>
      </w:r>
      <w:r w:rsidR="002B7F54">
        <w:rPr>
          <w:rFonts w:ascii="Times" w:eastAsia="Times" w:hAnsi="Times" w:cs="Times"/>
        </w:rPr>
        <w:t>-</w:t>
      </w:r>
      <w:r w:rsidR="007C014B">
        <w:rPr>
          <w:rFonts w:ascii="Times" w:eastAsia="Times" w:hAnsi="Times" w:cs="Times"/>
        </w:rPr>
        <w:t xml:space="preserve">creation </w:t>
      </w:r>
      <w:r w:rsidR="002B7F54">
        <w:rPr>
          <w:rFonts w:ascii="Times" w:eastAsia="Times" w:hAnsi="Times" w:cs="Times"/>
        </w:rPr>
        <w:t>cycle</w:t>
      </w:r>
      <w:r w:rsidR="007C014B">
        <w:rPr>
          <w:rFonts w:ascii="Times" w:eastAsia="Times" w:hAnsi="Times" w:cs="Times"/>
        </w:rPr>
        <w:t xml:space="preserve"> involves knowledge inquiry (search for primary evidence), knowledge synthesis (appraisal of the evidence and consideration of second-generation knowledge from menta-analysis or meta-synthesis), and the generation of knowledge tools. The cycle enables the identification of appropriate supporting evidence and its presentation in a clear and understandable format to guide the change process and uptake of the knowledge. The action cycle involves seven phases focused on problem identification, contextualization of the knowledge, assessing barriers, tailoring the intervention </w:t>
      </w:r>
      <w:r w:rsidR="002B7F54">
        <w:rPr>
          <w:rFonts w:ascii="Times" w:eastAsia="Times" w:hAnsi="Times" w:cs="Times"/>
        </w:rPr>
        <w:t>implementation, monitoring knowledge use, evaluating outcomes, and sustaining knowledge use.</w:t>
      </w:r>
      <w:r w:rsidR="003C3D2C">
        <w:rPr>
          <w:rFonts w:ascii="Times" w:eastAsia="Times" w:hAnsi="Times" w:cs="Times"/>
        </w:rPr>
        <w:t xml:space="preserve"> </w:t>
      </w:r>
    </w:p>
    <w:p w14:paraId="06967BA9" w14:textId="556E51A9" w:rsidR="003C3D2C" w:rsidRDefault="003C3D2C" w:rsidP="00966089">
      <w:pPr>
        <w:ind w:firstLine="720"/>
        <w:rPr>
          <w:rFonts w:ascii="Times" w:eastAsia="Times" w:hAnsi="Times" w:cs="Times"/>
        </w:rPr>
      </w:pPr>
      <w:r>
        <w:rPr>
          <w:rFonts w:ascii="Times" w:eastAsia="Times" w:hAnsi="Times" w:cs="Times"/>
        </w:rPr>
        <w:t xml:space="preserve">Figure 1 below illustrates the fit between the framework’s components and the SPP. </w:t>
      </w:r>
      <w:r w:rsidR="00392A02">
        <w:rPr>
          <w:rFonts w:ascii="Times" w:eastAsia="Times" w:hAnsi="Times" w:cs="Times"/>
        </w:rPr>
        <w:t xml:space="preserve">The </w:t>
      </w:r>
      <w:r>
        <w:rPr>
          <w:rFonts w:ascii="Times" w:eastAsia="Times" w:hAnsi="Times" w:cs="Times"/>
        </w:rPr>
        <w:t xml:space="preserve">iterative process started with the identification of a practice problem involving the lack of a supportive nurse-led program to enhance adherence to psychotropic medications. </w:t>
      </w:r>
      <w:r w:rsidR="00966089">
        <w:rPr>
          <w:rFonts w:ascii="Times" w:eastAsia="Times" w:hAnsi="Times" w:cs="Times"/>
        </w:rPr>
        <w:t>Knowledge inquiry and synthesis focused on the problem and the role of MI in addressing it. Clinical practice guidelines were also reviewed and will enable the training of the nursing staff on MI. In addition, several barriers and facilitators that could influence the implementation have been identified. The proposed intervention will be tailored to reflect the Organizational Toolkit on Medication Adherence by the National Council of Mental Wellbeing</w:t>
      </w:r>
      <w:r w:rsidR="00D90B2A">
        <w:rPr>
          <w:rFonts w:ascii="Times" w:eastAsia="Times" w:hAnsi="Times" w:cs="Times"/>
        </w:rPr>
        <w:t xml:space="preserve"> (2021)</w:t>
      </w:r>
      <w:r w:rsidR="00966089">
        <w:rPr>
          <w:rFonts w:ascii="Times" w:eastAsia="Times" w:hAnsi="Times" w:cs="Times"/>
        </w:rPr>
        <w:t xml:space="preserve">. Monitoring of knowledge use will involve formative assessment involving weekly staff meetings, observation and review of MI sessions, tailored feedback, and ongoing support to the nursing staff. The </w:t>
      </w:r>
      <w:r w:rsidR="00966089">
        <w:rPr>
          <w:rFonts w:ascii="Times" w:eastAsia="Times" w:hAnsi="Times" w:cs="Times"/>
        </w:rPr>
        <w:lastRenderedPageBreak/>
        <w:t xml:space="preserve">outcomes will be evaluated using Morisky Medication Adherence Scale (MMAS-8) and the Medication Understanding and Self-Efficacy (MUSE) questionnaire. Sustainability measures will </w:t>
      </w:r>
      <w:r w:rsidR="00726AA6">
        <w:rPr>
          <w:rFonts w:ascii="Times" w:eastAsia="Times" w:hAnsi="Times" w:cs="Times"/>
        </w:rPr>
        <w:t>involve ongoing review of MI use in daily clinical practices</w:t>
      </w:r>
      <w:r w:rsidR="00966089">
        <w:rPr>
          <w:rFonts w:ascii="Times" w:eastAsia="Times" w:hAnsi="Times" w:cs="Times"/>
        </w:rPr>
        <w:t xml:space="preserve">, staff retraining and professional development, and monthly meetings to share experiences and knowledge about MI use. </w:t>
      </w:r>
    </w:p>
    <w:p w14:paraId="56271FA4" w14:textId="77777777" w:rsidR="00392A02" w:rsidRDefault="00392A02" w:rsidP="00392A02">
      <w:pPr>
        <w:keepNext/>
      </w:pPr>
      <w:r>
        <w:rPr>
          <w:rFonts w:ascii="Times" w:eastAsia="Times" w:hAnsi="Times" w:cs="Times"/>
          <w:noProof/>
        </w:rPr>
        <w:drawing>
          <wp:inline distT="0" distB="0" distL="0" distR="0" wp14:anchorId="389CE0EA" wp14:editId="055DA127">
            <wp:extent cx="5943600" cy="42887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TA Mode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288790"/>
                    </a:xfrm>
                    <a:prstGeom prst="rect">
                      <a:avLst/>
                    </a:prstGeom>
                  </pic:spPr>
                </pic:pic>
              </a:graphicData>
            </a:graphic>
          </wp:inline>
        </w:drawing>
      </w:r>
    </w:p>
    <w:p w14:paraId="35F5B5BD" w14:textId="00411063" w:rsidR="00392A02" w:rsidRPr="00392A02" w:rsidRDefault="00392A02" w:rsidP="00392A02">
      <w:pPr>
        <w:pStyle w:val="Caption"/>
        <w:rPr>
          <w:rFonts w:ascii="Times New Roman" w:hAnsi="Times New Roman" w:cs="Times New Roman"/>
          <w:color w:val="auto"/>
        </w:rPr>
      </w:pPr>
      <w:r w:rsidRPr="00392A02">
        <w:rPr>
          <w:rFonts w:ascii="Times New Roman" w:hAnsi="Times New Roman" w:cs="Times New Roman"/>
          <w:color w:val="auto"/>
        </w:rPr>
        <w:t xml:space="preserve">Figure </w:t>
      </w:r>
      <w:r w:rsidRPr="00392A02">
        <w:rPr>
          <w:rFonts w:ascii="Times New Roman" w:hAnsi="Times New Roman" w:cs="Times New Roman"/>
          <w:color w:val="auto"/>
        </w:rPr>
        <w:fldChar w:fldCharType="begin"/>
      </w:r>
      <w:r w:rsidRPr="00392A02">
        <w:rPr>
          <w:rFonts w:ascii="Times New Roman" w:hAnsi="Times New Roman" w:cs="Times New Roman"/>
          <w:color w:val="auto"/>
        </w:rPr>
        <w:instrText xml:space="preserve"> SEQ Figure \* ARABIC </w:instrText>
      </w:r>
      <w:r w:rsidRPr="00392A02">
        <w:rPr>
          <w:rFonts w:ascii="Times New Roman" w:hAnsi="Times New Roman" w:cs="Times New Roman"/>
          <w:color w:val="auto"/>
        </w:rPr>
        <w:fldChar w:fldCharType="separate"/>
      </w:r>
      <w:r w:rsidRPr="00392A02">
        <w:rPr>
          <w:rFonts w:ascii="Times New Roman" w:hAnsi="Times New Roman" w:cs="Times New Roman"/>
          <w:noProof/>
          <w:color w:val="auto"/>
        </w:rPr>
        <w:t>1</w:t>
      </w:r>
      <w:r w:rsidRPr="00392A02">
        <w:rPr>
          <w:rFonts w:ascii="Times New Roman" w:hAnsi="Times New Roman" w:cs="Times New Roman"/>
          <w:color w:val="auto"/>
        </w:rPr>
        <w:fldChar w:fldCharType="end"/>
      </w:r>
      <w:r w:rsidRPr="00392A02">
        <w:rPr>
          <w:rFonts w:ascii="Times New Roman" w:hAnsi="Times New Roman" w:cs="Times New Roman"/>
          <w:color w:val="auto"/>
        </w:rPr>
        <w:t xml:space="preserve">. The Knowledge-to-Action Framework. Adapted from </w:t>
      </w:r>
      <w:r w:rsidRPr="00392A02">
        <w:rPr>
          <w:rFonts w:ascii="Times New Roman" w:hAnsi="Times New Roman" w:cs="Times New Roman"/>
          <w:i w:val="0"/>
          <w:color w:val="auto"/>
        </w:rPr>
        <w:t>"Lost in knowledge translation: time for a map?</w:t>
      </w:r>
      <w:r w:rsidRPr="00392A02">
        <w:rPr>
          <w:rFonts w:ascii="Times New Roman" w:hAnsi="Times New Roman" w:cs="Times New Roman"/>
          <w:color w:val="auto"/>
        </w:rPr>
        <w:t xml:space="preserve">." </w:t>
      </w:r>
      <w:r w:rsidRPr="00392A02">
        <w:rPr>
          <w:rFonts w:ascii="Times New Roman" w:hAnsi="Times New Roman" w:cs="Times New Roman"/>
          <w:i w:val="0"/>
          <w:color w:val="auto"/>
        </w:rPr>
        <w:t>by Graham, I.D., Logan, J., Harrison, M.B., Strauss, S.E., Tetroe, J., Caswell, W., &amp; Robinson, N., 2006,</w:t>
      </w:r>
      <w:r w:rsidRPr="00392A02">
        <w:rPr>
          <w:rFonts w:ascii="Times New Roman" w:hAnsi="Times New Roman" w:cs="Times New Roman"/>
          <w:color w:val="auto"/>
        </w:rPr>
        <w:t xml:space="preserve"> Journal of Continuing Education in the Health Professions, 26</w:t>
      </w:r>
      <w:r w:rsidRPr="00392A02">
        <w:rPr>
          <w:rFonts w:ascii="Times New Roman" w:hAnsi="Times New Roman" w:cs="Times New Roman"/>
          <w:i w:val="0"/>
          <w:color w:val="auto"/>
        </w:rPr>
        <w:t>(1), 19.</w:t>
      </w:r>
    </w:p>
    <w:p w14:paraId="6885E30A" w14:textId="18843158" w:rsidR="00966089" w:rsidRDefault="00966089" w:rsidP="00392A02">
      <w:pPr>
        <w:jc w:val="center"/>
        <w:rPr>
          <w:rFonts w:ascii="Times" w:eastAsia="Times" w:hAnsi="Times" w:cs="Times"/>
          <w:b/>
        </w:rPr>
      </w:pPr>
      <w:r>
        <w:rPr>
          <w:noProof/>
        </w:rPr>
        <mc:AlternateContent>
          <mc:Choice Requires="wps">
            <w:drawing>
              <wp:anchor distT="0" distB="0" distL="114300" distR="114300" simplePos="0" relativeHeight="251682816" behindDoc="0" locked="0" layoutInCell="1" allowOverlap="1" wp14:anchorId="59DB8535" wp14:editId="67BE3F2F">
                <wp:simplePos x="0" y="0"/>
                <wp:positionH relativeFrom="column">
                  <wp:posOffset>-633095</wp:posOffset>
                </wp:positionH>
                <wp:positionV relativeFrom="paragraph">
                  <wp:posOffset>5676265</wp:posOffset>
                </wp:positionV>
                <wp:extent cx="721995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7219950" cy="635"/>
                        </a:xfrm>
                        <a:prstGeom prst="rect">
                          <a:avLst/>
                        </a:prstGeom>
                        <a:solidFill>
                          <a:prstClr val="white"/>
                        </a:solidFill>
                        <a:ln>
                          <a:noFill/>
                        </a:ln>
                      </wps:spPr>
                      <wps:txbx>
                        <w:txbxContent>
                          <w:p w14:paraId="56316833" w14:textId="4D391D35" w:rsidR="00966089" w:rsidRPr="00966089" w:rsidRDefault="00966089" w:rsidP="00966089">
                            <w:pPr>
                              <w:pStyle w:val="Caption"/>
                              <w:rPr>
                                <w:rFonts w:ascii="Times New Roman" w:eastAsia="Times" w:hAnsi="Times New Roman" w:cs="Times New Roman"/>
                                <w:noProof/>
                              </w:rPr>
                            </w:pPr>
                            <w:r w:rsidRPr="00966089">
                              <w:rPr>
                                <w:rFonts w:ascii="Times New Roman" w:hAnsi="Times New Roman" w:cs="Times New Roman"/>
                              </w:rPr>
                              <w:t xml:space="preserve">Figure </w:t>
                            </w:r>
                            <w:r w:rsidRPr="00966089">
                              <w:rPr>
                                <w:rFonts w:ascii="Times New Roman" w:hAnsi="Times New Roman" w:cs="Times New Roman"/>
                              </w:rPr>
                              <w:fldChar w:fldCharType="begin"/>
                            </w:r>
                            <w:r w:rsidRPr="00966089">
                              <w:rPr>
                                <w:rFonts w:ascii="Times New Roman" w:hAnsi="Times New Roman" w:cs="Times New Roman"/>
                              </w:rPr>
                              <w:instrText xml:space="preserve"> SEQ Figure \* ARABIC </w:instrText>
                            </w:r>
                            <w:r w:rsidRPr="00966089">
                              <w:rPr>
                                <w:rFonts w:ascii="Times New Roman" w:hAnsi="Times New Roman" w:cs="Times New Roman"/>
                              </w:rPr>
                              <w:fldChar w:fldCharType="separate"/>
                            </w:r>
                            <w:r w:rsidR="00392A02">
                              <w:rPr>
                                <w:rFonts w:ascii="Times New Roman" w:hAnsi="Times New Roman" w:cs="Times New Roman"/>
                                <w:noProof/>
                              </w:rPr>
                              <w:t>2</w:t>
                            </w:r>
                            <w:r w:rsidRPr="00966089">
                              <w:rPr>
                                <w:rFonts w:ascii="Times New Roman" w:hAnsi="Times New Roman" w:cs="Times New Roman"/>
                              </w:rPr>
                              <w:fldChar w:fldCharType="end"/>
                            </w:r>
                            <w:r w:rsidRPr="00966089">
                              <w:rPr>
                                <w:rFonts w:ascii="Times New Roman" w:hAnsi="Times New Roman" w:cs="Times New Roman"/>
                              </w:rPr>
                              <w:t xml:space="preserve">. The Knowledge-to-Action Framework. Adapted from </w:t>
                            </w:r>
                            <w:r w:rsidRPr="00966089">
                              <w:rPr>
                                <w:rFonts w:ascii="Times New Roman" w:hAnsi="Times New Roman" w:cs="Times New Roman"/>
                                <w:i w:val="0"/>
                              </w:rPr>
                              <w:t>"Lost in knowledge translation: time for a map?." by Graham, I.D., Logan, J., Harrison, M.B., Strauss, S.E., Tetroe, J., Caswell, W., &amp; Robinson, N., 2006,</w:t>
                            </w:r>
                            <w:r w:rsidRPr="00966089">
                              <w:rPr>
                                <w:rFonts w:ascii="Times New Roman" w:hAnsi="Times New Roman" w:cs="Times New Roman"/>
                              </w:rPr>
                              <w:t xml:space="preserve"> Journal of Continuing Education in the Health Professions</w:t>
                            </w:r>
                            <w:r w:rsidRPr="00966089">
                              <w:rPr>
                                <w:rFonts w:ascii="Times New Roman" w:hAnsi="Times New Roman" w:cs="Times New Roman"/>
                                <w:i w:val="0"/>
                              </w:rPr>
                              <w:t>, 26(1), 13-24</w:t>
                            </w:r>
                            <w:r w:rsidRPr="00966089">
                              <w:rPr>
                                <w:rFonts w:ascii="Times New Roman" w:hAnsi="Times New Roman" w:cs="Times New Roman"/>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DB8535" id="_x0000_t202" coordsize="21600,21600" o:spt="202" path="m,l,21600r21600,l21600,xe">
                <v:stroke joinstyle="miter"/>
                <v:path gradientshapeok="t" o:connecttype="rect"/>
              </v:shapetype>
              <v:shape id="Text Box 1" o:spid="_x0000_s1026" type="#_x0000_t202" style="position:absolute;left:0;text-align:left;margin-left:-49.85pt;margin-top:446.95pt;width:568.5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" stroked="f">
                <v:textbox style="mso-fit-shape-to-text:t" inset="0,0,0,0">
                  <w:txbxContent>
                    <w:p w14:paraId="56316833" w14:textId="4D391D35" w:rsidR="00966089" w:rsidRPr="00966089" w:rsidRDefault="00966089" w:rsidP="00966089">
                      <w:pPr>
                        <w:pStyle w:val="Caption"/>
                        <w:rPr>
                          <w:rFonts w:ascii="Times New Roman" w:eastAsia="Times" w:hAnsi="Times New Roman" w:cs="Times New Roman"/>
                          <w:noProof/>
                        </w:rPr>
                      </w:pPr>
                      <w:r w:rsidRPr="00966089">
                        <w:rPr>
                          <w:rFonts w:ascii="Times New Roman" w:hAnsi="Times New Roman" w:cs="Times New Roman"/>
                        </w:rPr>
                        <w:t xml:space="preserve">Figure </w:t>
                      </w:r>
                      <w:r w:rsidRPr="00966089">
                        <w:rPr>
                          <w:rFonts w:ascii="Times New Roman" w:hAnsi="Times New Roman" w:cs="Times New Roman"/>
                        </w:rPr>
                        <w:fldChar w:fldCharType="begin"/>
                      </w:r>
                      <w:r w:rsidRPr="00966089">
                        <w:rPr>
                          <w:rFonts w:ascii="Times New Roman" w:hAnsi="Times New Roman" w:cs="Times New Roman"/>
                        </w:rPr>
                        <w:instrText xml:space="preserve"> SEQ Figure \* ARABIC </w:instrText>
                      </w:r>
                      <w:r w:rsidRPr="00966089">
                        <w:rPr>
                          <w:rFonts w:ascii="Times New Roman" w:hAnsi="Times New Roman" w:cs="Times New Roman"/>
                        </w:rPr>
                        <w:fldChar w:fldCharType="separate"/>
                      </w:r>
                      <w:r w:rsidR="00392A02">
                        <w:rPr>
                          <w:rFonts w:ascii="Times New Roman" w:hAnsi="Times New Roman" w:cs="Times New Roman"/>
                          <w:noProof/>
                        </w:rPr>
                        <w:t>2</w:t>
                      </w:r>
                      <w:r w:rsidRPr="00966089">
                        <w:rPr>
                          <w:rFonts w:ascii="Times New Roman" w:hAnsi="Times New Roman" w:cs="Times New Roman"/>
                        </w:rPr>
                        <w:fldChar w:fldCharType="end"/>
                      </w:r>
                      <w:r w:rsidRPr="00966089">
                        <w:rPr>
                          <w:rFonts w:ascii="Times New Roman" w:hAnsi="Times New Roman" w:cs="Times New Roman"/>
                        </w:rPr>
                        <w:t xml:space="preserve">. The Knowledge-to-Action Framework. Adapted from </w:t>
                      </w:r>
                      <w:r w:rsidRPr="00966089">
                        <w:rPr>
                          <w:rFonts w:ascii="Times New Roman" w:hAnsi="Times New Roman" w:cs="Times New Roman"/>
                          <w:i w:val="0"/>
                        </w:rPr>
                        <w:t>"Lost in knowledge translation: time for a map?." by Graham, I.D., Logan, J., Harrison, M.B., Strauss, S.E., Tetroe, J., Caswell, W., &amp; Robinson, N., 2006,</w:t>
                      </w:r>
                      <w:r w:rsidRPr="00966089">
                        <w:rPr>
                          <w:rFonts w:ascii="Times New Roman" w:hAnsi="Times New Roman" w:cs="Times New Roman"/>
                        </w:rPr>
                        <w:t xml:space="preserve"> Journal of Continuing Education in the Health Professions</w:t>
                      </w:r>
                      <w:r w:rsidRPr="00966089">
                        <w:rPr>
                          <w:rFonts w:ascii="Times New Roman" w:hAnsi="Times New Roman" w:cs="Times New Roman"/>
                          <w:i w:val="0"/>
                        </w:rPr>
                        <w:t>, 26(1), 13-24</w:t>
                      </w:r>
                      <w:r w:rsidRPr="00966089">
                        <w:rPr>
                          <w:rFonts w:ascii="Times New Roman" w:hAnsi="Times New Roman" w:cs="Times New Roman"/>
                        </w:rPr>
                        <w:t>.</w:t>
                      </w:r>
                    </w:p>
                  </w:txbxContent>
                </v:textbox>
              </v:shape>
            </w:pict>
          </mc:Fallback>
        </mc:AlternateContent>
      </w:r>
      <w:r w:rsidR="00392A02">
        <w:rPr>
          <w:rFonts w:ascii="Times" w:eastAsia="Times" w:hAnsi="Times" w:cs="Times"/>
          <w:b/>
        </w:rPr>
        <w:t>Conclusion</w:t>
      </w:r>
    </w:p>
    <w:p w14:paraId="67463ACB" w14:textId="4D3006E5" w:rsidR="002840FF" w:rsidRDefault="00392A02" w:rsidP="002840FF">
      <w:pPr>
        <w:rPr>
          <w:rFonts w:ascii="Times" w:eastAsia="Times" w:hAnsi="Times" w:cs="Times"/>
        </w:rPr>
      </w:pPr>
      <w:r>
        <w:rPr>
          <w:rFonts w:ascii="Times" w:eastAsia="Times" w:hAnsi="Times" w:cs="Times"/>
        </w:rPr>
        <w:tab/>
        <w:t xml:space="preserve">The chapter provided the background knowledge relating </w:t>
      </w:r>
      <w:r w:rsidR="002840FF">
        <w:rPr>
          <w:rFonts w:ascii="Times" w:eastAsia="Times" w:hAnsi="Times" w:cs="Times"/>
        </w:rPr>
        <w:t xml:space="preserve">to the lack </w:t>
      </w:r>
      <w:proofErr w:type="spellStart"/>
      <w:r w:rsidR="002840FF">
        <w:rPr>
          <w:rFonts w:ascii="Times" w:eastAsia="Times" w:hAnsi="Times" w:cs="Times"/>
        </w:rPr>
        <w:t>og</w:t>
      </w:r>
      <w:proofErr w:type="spellEnd"/>
      <w:r w:rsidR="002840FF">
        <w:rPr>
          <w:rFonts w:ascii="Times" w:eastAsia="Times" w:hAnsi="Times" w:cs="Times"/>
        </w:rPr>
        <w:t xml:space="preserve"> a supportive nurse-led program to enhance medication adherence. As revealed, nonadherence to </w:t>
      </w:r>
      <w:r w:rsidR="002840FF">
        <w:rPr>
          <w:rFonts w:ascii="Times" w:eastAsia="Times" w:hAnsi="Times" w:cs="Times"/>
          <w:bCs/>
        </w:rPr>
        <w:t>psychotropic medication poses a significant challenge for patients and the healthcare system.</w:t>
      </w:r>
      <w:r w:rsidR="002840FF">
        <w:rPr>
          <w:rFonts w:ascii="Times" w:eastAsia="Times" w:hAnsi="Times" w:cs="Times"/>
          <w:bCs/>
        </w:rPr>
        <w:t xml:space="preserve"> </w:t>
      </w:r>
      <w:r w:rsidR="002840FF">
        <w:rPr>
          <w:rFonts w:ascii="Times" w:eastAsia="Times" w:hAnsi="Times" w:cs="Times"/>
          <w:bCs/>
        </w:rPr>
        <w:t xml:space="preserve">The lack of adherence support at the practicum site compounds patient-related factors that lead to nonadherence. The </w:t>
      </w:r>
      <w:r w:rsidR="002840FF">
        <w:rPr>
          <w:rFonts w:ascii="Times" w:eastAsia="Times" w:hAnsi="Times" w:cs="Times"/>
          <w:bCs/>
        </w:rPr>
        <w:t xml:space="preserve">chapter identified </w:t>
      </w:r>
      <w:r w:rsidR="002840FF">
        <w:rPr>
          <w:rFonts w:ascii="Times" w:eastAsia="Times" w:hAnsi="Times" w:cs="Times"/>
          <w:bCs/>
        </w:rPr>
        <w:t>a nurse-led MI</w:t>
      </w:r>
      <w:r w:rsidR="002840FF">
        <w:rPr>
          <w:rFonts w:ascii="Times" w:eastAsia="Times" w:hAnsi="Times" w:cs="Times"/>
          <w:bCs/>
        </w:rPr>
        <w:t>-based</w:t>
      </w:r>
      <w:r w:rsidR="002840FF">
        <w:rPr>
          <w:rFonts w:ascii="Times" w:eastAsia="Times" w:hAnsi="Times" w:cs="Times"/>
          <w:bCs/>
        </w:rPr>
        <w:t xml:space="preserve"> program </w:t>
      </w:r>
      <w:r w:rsidR="002840FF">
        <w:rPr>
          <w:rFonts w:ascii="Times" w:eastAsia="Times" w:hAnsi="Times" w:cs="Times"/>
          <w:bCs/>
        </w:rPr>
        <w:t xml:space="preserve">as a potential intervention to address the problem. Moreover, it discussed the </w:t>
      </w:r>
      <w:r w:rsidR="002840FF">
        <w:rPr>
          <w:rFonts w:ascii="Times" w:eastAsia="Times" w:hAnsi="Times" w:cs="Times"/>
          <w:bCs/>
        </w:rPr>
        <w:lastRenderedPageBreak/>
        <w:t xml:space="preserve">significance of the program to nursing practice, research, education, and leadership. The identified problem enabled the development of a PICOT question to guide the project and the specific aims and objectives. Further, it explored the SCDT as the theoretical framework and the KTA framework as the underpinning EBP model, noting the fit of the project question into the model. It is expected that using the structured approach to implementing the program will lead to sustainable outcomes. </w:t>
      </w:r>
    </w:p>
    <w:p w14:paraId="46855895" w14:textId="68C5B40C" w:rsidR="002840FF" w:rsidRDefault="002840FF" w:rsidP="002840FF">
      <w:pPr>
        <w:jc w:val="center"/>
        <w:rPr>
          <w:rFonts w:ascii="Times" w:eastAsia="Times" w:hAnsi="Times" w:cs="Times"/>
        </w:rPr>
      </w:pPr>
      <w:r w:rsidRPr="002840FF">
        <w:rPr>
          <w:rFonts w:ascii="Times" w:eastAsia="Times" w:hAnsi="Times" w:cs="Times"/>
          <w:b/>
        </w:rPr>
        <w:t>References</w:t>
      </w:r>
    </w:p>
    <w:p w14:paraId="4A2DEF57" w14:textId="77777777" w:rsidR="00726AA6" w:rsidRPr="00726AA6" w:rsidRDefault="00726AA6" w:rsidP="002840FF">
      <w:pPr>
        <w:ind w:left="720" w:hanging="720"/>
        <w:rPr>
          <w:rFonts w:ascii="Times New Roman" w:hAnsi="Times New Roman" w:cs="Times New Roman"/>
          <w:color w:val="1B1B1B"/>
          <w:sz w:val="24"/>
          <w:szCs w:val="24"/>
          <w:shd w:val="clear" w:color="auto" w:fill="FFFFFF"/>
        </w:rPr>
      </w:pPr>
      <w:proofErr w:type="spellStart"/>
      <w:r w:rsidRPr="00726AA6">
        <w:rPr>
          <w:rFonts w:ascii="Times New Roman" w:hAnsi="Times New Roman" w:cs="Times New Roman"/>
          <w:color w:val="1B1B1B"/>
          <w:sz w:val="24"/>
          <w:szCs w:val="24"/>
          <w:shd w:val="clear" w:color="auto" w:fill="FFFFFF"/>
        </w:rPr>
        <w:t>Dusin</w:t>
      </w:r>
      <w:proofErr w:type="spellEnd"/>
      <w:r w:rsidRPr="00726AA6">
        <w:rPr>
          <w:rFonts w:ascii="Times New Roman" w:hAnsi="Times New Roman" w:cs="Times New Roman"/>
          <w:color w:val="1B1B1B"/>
          <w:sz w:val="24"/>
          <w:szCs w:val="24"/>
          <w:shd w:val="clear" w:color="auto" w:fill="FFFFFF"/>
        </w:rPr>
        <w:t xml:space="preserve">, J., </w:t>
      </w:r>
      <w:proofErr w:type="spellStart"/>
      <w:r w:rsidRPr="00726AA6">
        <w:rPr>
          <w:rFonts w:ascii="Times New Roman" w:hAnsi="Times New Roman" w:cs="Times New Roman"/>
          <w:color w:val="1B1B1B"/>
          <w:sz w:val="24"/>
          <w:szCs w:val="24"/>
          <w:shd w:val="clear" w:color="auto" w:fill="FFFFFF"/>
        </w:rPr>
        <w:t>Melanson</w:t>
      </w:r>
      <w:proofErr w:type="spellEnd"/>
      <w:r w:rsidRPr="00726AA6">
        <w:rPr>
          <w:rFonts w:ascii="Times New Roman" w:hAnsi="Times New Roman" w:cs="Times New Roman"/>
          <w:color w:val="1B1B1B"/>
          <w:sz w:val="24"/>
          <w:szCs w:val="24"/>
          <w:shd w:val="clear" w:color="auto" w:fill="FFFFFF"/>
        </w:rPr>
        <w:t xml:space="preserve">, A., &amp; </w:t>
      </w:r>
      <w:proofErr w:type="spellStart"/>
      <w:r w:rsidRPr="00726AA6">
        <w:rPr>
          <w:rFonts w:ascii="Times New Roman" w:hAnsi="Times New Roman" w:cs="Times New Roman"/>
          <w:color w:val="1B1B1B"/>
          <w:sz w:val="24"/>
          <w:szCs w:val="24"/>
          <w:shd w:val="clear" w:color="auto" w:fill="FFFFFF"/>
        </w:rPr>
        <w:t>Mische</w:t>
      </w:r>
      <w:proofErr w:type="spellEnd"/>
      <w:r w:rsidRPr="00726AA6">
        <w:rPr>
          <w:rFonts w:ascii="Times New Roman" w:hAnsi="Times New Roman" w:cs="Times New Roman"/>
          <w:color w:val="1B1B1B"/>
          <w:sz w:val="24"/>
          <w:szCs w:val="24"/>
          <w:shd w:val="clear" w:color="auto" w:fill="FFFFFF"/>
        </w:rPr>
        <w:t xml:space="preserve">-Lawson, L. (2023). Evidence-based practice models and frameworks in the healthcare setting: </w:t>
      </w:r>
      <w:r w:rsidRPr="00726AA6">
        <w:rPr>
          <w:rFonts w:ascii="Times New Roman" w:hAnsi="Times New Roman" w:cs="Times New Roman"/>
          <w:color w:val="1B1B1B"/>
          <w:sz w:val="24"/>
          <w:szCs w:val="24"/>
          <w:shd w:val="clear" w:color="auto" w:fill="FFFFFF"/>
        </w:rPr>
        <w:t>A</w:t>
      </w:r>
      <w:r w:rsidRPr="00726AA6">
        <w:rPr>
          <w:rFonts w:ascii="Times New Roman" w:hAnsi="Times New Roman" w:cs="Times New Roman"/>
          <w:color w:val="1B1B1B"/>
          <w:sz w:val="24"/>
          <w:szCs w:val="24"/>
          <w:shd w:val="clear" w:color="auto" w:fill="FFFFFF"/>
        </w:rPr>
        <w:t xml:space="preserve"> scoping review. </w:t>
      </w:r>
      <w:r w:rsidRPr="00726AA6">
        <w:rPr>
          <w:rFonts w:ascii="Times New Roman" w:hAnsi="Times New Roman" w:cs="Times New Roman"/>
          <w:i/>
          <w:iCs/>
          <w:color w:val="1B1B1B"/>
          <w:sz w:val="24"/>
          <w:szCs w:val="24"/>
          <w:shd w:val="clear" w:color="auto" w:fill="FFFFFF"/>
        </w:rPr>
        <w:t xml:space="preserve">BMJ </w:t>
      </w:r>
      <w:r w:rsidRPr="00726AA6">
        <w:rPr>
          <w:rFonts w:ascii="Times New Roman" w:hAnsi="Times New Roman" w:cs="Times New Roman"/>
          <w:i/>
          <w:iCs/>
          <w:color w:val="1B1B1B"/>
          <w:sz w:val="24"/>
          <w:szCs w:val="24"/>
          <w:shd w:val="clear" w:color="auto" w:fill="FFFFFF"/>
        </w:rPr>
        <w:t>Open</w:t>
      </w:r>
      <w:r w:rsidRPr="00726AA6">
        <w:rPr>
          <w:rFonts w:ascii="Times New Roman" w:hAnsi="Times New Roman" w:cs="Times New Roman"/>
          <w:color w:val="1B1B1B"/>
          <w:sz w:val="24"/>
          <w:szCs w:val="24"/>
          <w:shd w:val="clear" w:color="auto" w:fill="FFFFFF"/>
        </w:rPr>
        <w:t>, </w:t>
      </w:r>
      <w:r w:rsidRPr="00726AA6">
        <w:rPr>
          <w:rFonts w:ascii="Times New Roman" w:hAnsi="Times New Roman" w:cs="Times New Roman"/>
          <w:i/>
          <w:iCs/>
          <w:color w:val="1B1B1B"/>
          <w:sz w:val="24"/>
          <w:szCs w:val="24"/>
          <w:shd w:val="clear" w:color="auto" w:fill="FFFFFF"/>
        </w:rPr>
        <w:t>13</w:t>
      </w:r>
      <w:r w:rsidRPr="00726AA6">
        <w:rPr>
          <w:rFonts w:ascii="Times New Roman" w:hAnsi="Times New Roman" w:cs="Times New Roman"/>
          <w:color w:val="1B1B1B"/>
          <w:sz w:val="24"/>
          <w:szCs w:val="24"/>
          <w:shd w:val="clear" w:color="auto" w:fill="FFFFFF"/>
        </w:rPr>
        <w:t>(5), e071188. https://doi.org/10.1136/bmjopen-2022-071188</w:t>
      </w:r>
    </w:p>
    <w:p w14:paraId="5F43C3DB" w14:textId="35E8CE8C" w:rsidR="00726AA6" w:rsidRDefault="00726AA6" w:rsidP="002840FF">
      <w:pPr>
        <w:ind w:left="720" w:hanging="720"/>
        <w:rPr>
          <w:rFonts w:ascii="Times New Roman" w:hAnsi="Times New Roman" w:cs="Times New Roman"/>
          <w:sz w:val="24"/>
          <w:szCs w:val="24"/>
        </w:rPr>
      </w:pPr>
      <w:r w:rsidRPr="00726AA6">
        <w:rPr>
          <w:rFonts w:ascii="Times New Roman" w:hAnsi="Times New Roman" w:cs="Times New Roman"/>
          <w:color w:val="222222"/>
          <w:sz w:val="24"/>
          <w:szCs w:val="24"/>
          <w:shd w:val="clear" w:color="auto" w:fill="FFFFFF"/>
        </w:rPr>
        <w:t xml:space="preserve">Graham, I. D., Logan, J., Harrison, M. B., Straus, S. E., Tetroe, J., Caswell, W., &amp; Robinson, N. (2006). Lost in knowledge translation: time for a </w:t>
      </w:r>
      <w:proofErr w:type="gramStart"/>
      <w:r w:rsidRPr="00726AA6">
        <w:rPr>
          <w:rFonts w:ascii="Times New Roman" w:hAnsi="Times New Roman" w:cs="Times New Roman"/>
          <w:color w:val="222222"/>
          <w:sz w:val="24"/>
          <w:szCs w:val="24"/>
          <w:shd w:val="clear" w:color="auto" w:fill="FFFFFF"/>
        </w:rPr>
        <w:t>map?.</w:t>
      </w:r>
      <w:proofErr w:type="gramEnd"/>
      <w:r w:rsidRPr="00726AA6">
        <w:rPr>
          <w:rFonts w:ascii="Times New Roman" w:hAnsi="Times New Roman" w:cs="Times New Roman"/>
          <w:color w:val="222222"/>
          <w:sz w:val="24"/>
          <w:szCs w:val="24"/>
          <w:shd w:val="clear" w:color="auto" w:fill="FFFFFF"/>
        </w:rPr>
        <w:t> </w:t>
      </w:r>
      <w:r w:rsidRPr="00726AA6">
        <w:rPr>
          <w:rFonts w:ascii="Times New Roman" w:hAnsi="Times New Roman" w:cs="Times New Roman"/>
          <w:i/>
          <w:iCs/>
          <w:color w:val="222222"/>
          <w:sz w:val="24"/>
          <w:szCs w:val="24"/>
          <w:shd w:val="clear" w:color="auto" w:fill="FFFFFF"/>
        </w:rPr>
        <w:t>Journal of Continuing Education in the Health Professions</w:t>
      </w:r>
      <w:r w:rsidRPr="00726AA6">
        <w:rPr>
          <w:rFonts w:ascii="Times New Roman" w:hAnsi="Times New Roman" w:cs="Times New Roman"/>
          <w:color w:val="222222"/>
          <w:sz w:val="24"/>
          <w:szCs w:val="24"/>
          <w:shd w:val="clear" w:color="auto" w:fill="FFFFFF"/>
        </w:rPr>
        <w:t>, </w:t>
      </w:r>
      <w:r w:rsidRPr="00726AA6">
        <w:rPr>
          <w:rFonts w:ascii="Times New Roman" w:hAnsi="Times New Roman" w:cs="Times New Roman"/>
          <w:i/>
          <w:iCs/>
          <w:color w:val="222222"/>
          <w:sz w:val="24"/>
          <w:szCs w:val="24"/>
          <w:shd w:val="clear" w:color="auto" w:fill="FFFFFF"/>
        </w:rPr>
        <w:t>26</w:t>
      </w:r>
      <w:r w:rsidRPr="00726AA6">
        <w:rPr>
          <w:rFonts w:ascii="Times New Roman" w:hAnsi="Times New Roman" w:cs="Times New Roman"/>
          <w:color w:val="222222"/>
          <w:sz w:val="24"/>
          <w:szCs w:val="24"/>
          <w:shd w:val="clear" w:color="auto" w:fill="FFFFFF"/>
        </w:rPr>
        <w:t>(1), 13-24. https://doi.org/</w:t>
      </w:r>
      <w:r w:rsidRPr="00726AA6">
        <w:rPr>
          <w:rFonts w:ascii="Times New Roman" w:hAnsi="Times New Roman" w:cs="Times New Roman"/>
          <w:sz w:val="24"/>
          <w:szCs w:val="24"/>
        </w:rPr>
        <w:t>10.1002/chp.47</w:t>
      </w:r>
    </w:p>
    <w:p w14:paraId="3F48A4EE" w14:textId="2748FF19" w:rsidR="00D90B2A" w:rsidRPr="00D90B2A" w:rsidRDefault="00D90B2A" w:rsidP="00D90B2A">
      <w:pPr>
        <w:ind w:left="720" w:hanging="720"/>
        <w:rPr>
          <w:rFonts w:ascii="Times New Roman" w:hAnsi="Times New Roman" w:cs="Times New Roman"/>
          <w:sz w:val="24"/>
          <w:szCs w:val="24"/>
        </w:rPr>
      </w:pPr>
      <w:r w:rsidRPr="00D90B2A">
        <w:rPr>
          <w:rFonts w:ascii="Times New Roman" w:hAnsi="Times New Roman" w:cs="Times New Roman"/>
          <w:sz w:val="24"/>
          <w:szCs w:val="24"/>
        </w:rPr>
        <w:t xml:space="preserve">National Council for Mental Wellbeing. (2021). </w:t>
      </w:r>
      <w:r w:rsidRPr="00D90B2A">
        <w:rPr>
          <w:rFonts w:ascii="Times New Roman" w:hAnsi="Times New Roman" w:cs="Times New Roman"/>
          <w:i/>
          <w:sz w:val="24"/>
          <w:szCs w:val="24"/>
        </w:rPr>
        <w:t>Organizational toolkit on medication adherence.</w:t>
      </w:r>
      <w:r w:rsidRPr="00D90B2A">
        <w:rPr>
          <w:rFonts w:ascii="Times New Roman" w:hAnsi="Times New Roman" w:cs="Times New Roman"/>
          <w:sz w:val="24"/>
          <w:szCs w:val="24"/>
        </w:rPr>
        <w:t xml:space="preserve"> </w:t>
      </w:r>
      <w:hyperlink r:id="rId5" w:history="1">
        <w:r w:rsidRPr="00D90B2A">
          <w:rPr>
            <w:rStyle w:val="Hyperlink"/>
            <w:rFonts w:ascii="Times New Roman" w:hAnsi="Times New Roman" w:cs="Times New Roman"/>
            <w:sz w:val="24"/>
            <w:szCs w:val="24"/>
          </w:rPr>
          <w:t>https://www.thenationalcouncil.org/wp-content/uploads/2021/12/Medication_Adherence_Toolkit_Final.pdf</w:t>
        </w:r>
      </w:hyperlink>
      <w:r w:rsidRPr="00D90B2A">
        <w:rPr>
          <w:rFonts w:ascii="Times New Roman" w:hAnsi="Times New Roman" w:cs="Times New Roman"/>
          <w:sz w:val="24"/>
          <w:szCs w:val="24"/>
        </w:rPr>
        <w:t xml:space="preserve"> </w:t>
      </w:r>
    </w:p>
    <w:p w14:paraId="45BD8DF0" w14:textId="77777777" w:rsidR="00726AA6" w:rsidRPr="00726AA6" w:rsidRDefault="00726AA6" w:rsidP="00726AA6">
      <w:pPr>
        <w:ind w:left="720" w:hanging="720"/>
        <w:rPr>
          <w:rFonts w:ascii="Times New Roman" w:hAnsi="Times New Roman" w:cs="Times New Roman"/>
          <w:sz w:val="24"/>
          <w:szCs w:val="24"/>
          <w:lang w:val="en-GB" w:eastAsia="en-GB"/>
        </w:rPr>
      </w:pPr>
      <w:r w:rsidRPr="00726AA6">
        <w:rPr>
          <w:rFonts w:ascii="Times New Roman" w:hAnsi="Times New Roman" w:cs="Times New Roman"/>
          <w:sz w:val="24"/>
          <w:szCs w:val="24"/>
          <w:lang w:val="en-GB" w:eastAsia="en-GB"/>
        </w:rPr>
        <w:t>Ramos‐</w:t>
      </w:r>
      <w:proofErr w:type="spellStart"/>
      <w:r w:rsidRPr="00726AA6">
        <w:rPr>
          <w:rFonts w:ascii="Times New Roman" w:hAnsi="Times New Roman" w:cs="Times New Roman"/>
          <w:sz w:val="24"/>
          <w:szCs w:val="24"/>
          <w:lang w:val="en-GB" w:eastAsia="en-GB"/>
        </w:rPr>
        <w:t>Morcillo</w:t>
      </w:r>
      <w:proofErr w:type="spellEnd"/>
      <w:r w:rsidRPr="00726AA6">
        <w:rPr>
          <w:rFonts w:ascii="Times New Roman" w:hAnsi="Times New Roman" w:cs="Times New Roman"/>
          <w:sz w:val="24"/>
          <w:szCs w:val="24"/>
          <w:lang w:val="en-GB" w:eastAsia="en-GB"/>
        </w:rPr>
        <w:t xml:space="preserve">, A. J., </w:t>
      </w:r>
      <w:proofErr w:type="spellStart"/>
      <w:r w:rsidRPr="00726AA6">
        <w:rPr>
          <w:rFonts w:ascii="Times New Roman" w:hAnsi="Times New Roman" w:cs="Times New Roman"/>
          <w:sz w:val="24"/>
          <w:szCs w:val="24"/>
          <w:lang w:val="en-GB" w:eastAsia="en-GB"/>
        </w:rPr>
        <w:t>Harillo</w:t>
      </w:r>
      <w:proofErr w:type="spellEnd"/>
      <w:r w:rsidRPr="00726AA6">
        <w:rPr>
          <w:rFonts w:ascii="Times New Roman" w:hAnsi="Times New Roman" w:cs="Times New Roman"/>
          <w:sz w:val="24"/>
          <w:szCs w:val="24"/>
          <w:lang w:val="en-GB" w:eastAsia="en-GB"/>
        </w:rPr>
        <w:t xml:space="preserve">‐Acevedo, D., &amp; </w:t>
      </w:r>
      <w:proofErr w:type="spellStart"/>
      <w:r w:rsidRPr="00726AA6">
        <w:rPr>
          <w:rFonts w:ascii="Times New Roman" w:hAnsi="Times New Roman" w:cs="Times New Roman"/>
          <w:sz w:val="24"/>
          <w:szCs w:val="24"/>
          <w:lang w:val="en-GB" w:eastAsia="en-GB"/>
        </w:rPr>
        <w:t>Ruzafa</w:t>
      </w:r>
      <w:proofErr w:type="spellEnd"/>
      <w:r w:rsidRPr="00726AA6">
        <w:rPr>
          <w:rFonts w:ascii="Times New Roman" w:hAnsi="Times New Roman" w:cs="Times New Roman"/>
          <w:sz w:val="24"/>
          <w:szCs w:val="24"/>
          <w:lang w:val="en-GB" w:eastAsia="en-GB"/>
        </w:rPr>
        <w:t xml:space="preserve">‐Martinez, M. (2020). Using the Knowledge‐to‐Action framework to understand experiences of breastfeeding guideline implementation: A qualitative study. </w:t>
      </w:r>
      <w:r w:rsidRPr="00726AA6">
        <w:rPr>
          <w:rFonts w:ascii="Times New Roman" w:hAnsi="Times New Roman" w:cs="Times New Roman"/>
          <w:i/>
          <w:iCs/>
          <w:sz w:val="24"/>
          <w:szCs w:val="24"/>
          <w:lang w:val="en-GB" w:eastAsia="en-GB"/>
        </w:rPr>
        <w:t>Journal of Nursing Management</w:t>
      </w:r>
      <w:r w:rsidRPr="00726AA6">
        <w:rPr>
          <w:rFonts w:ascii="Times New Roman" w:hAnsi="Times New Roman" w:cs="Times New Roman"/>
          <w:sz w:val="24"/>
          <w:szCs w:val="24"/>
          <w:lang w:val="en-GB" w:eastAsia="en-GB"/>
        </w:rPr>
        <w:t xml:space="preserve">, </w:t>
      </w:r>
      <w:r w:rsidRPr="00726AA6">
        <w:rPr>
          <w:rFonts w:ascii="Times New Roman" w:hAnsi="Times New Roman" w:cs="Times New Roman"/>
          <w:i/>
          <w:iCs/>
          <w:sz w:val="24"/>
          <w:szCs w:val="24"/>
          <w:lang w:val="en-GB" w:eastAsia="en-GB"/>
        </w:rPr>
        <w:t>28</w:t>
      </w:r>
      <w:r w:rsidRPr="00726AA6">
        <w:rPr>
          <w:rFonts w:ascii="Times New Roman" w:hAnsi="Times New Roman" w:cs="Times New Roman"/>
          <w:sz w:val="24"/>
          <w:szCs w:val="24"/>
          <w:lang w:val="en-GB" w:eastAsia="en-GB"/>
        </w:rPr>
        <w:t xml:space="preserve">(7), 1670-1685. https://doi.org/10.1111/jonm.13123 </w:t>
      </w:r>
    </w:p>
    <w:p w14:paraId="13F30F41" w14:textId="77777777" w:rsidR="002840FF" w:rsidRPr="002840FF" w:rsidRDefault="002840FF" w:rsidP="00726AA6">
      <w:pPr>
        <w:rPr>
          <w:rFonts w:ascii="Times" w:eastAsia="Times" w:hAnsi="Times" w:cs="Times"/>
        </w:rPr>
      </w:pPr>
    </w:p>
    <w:sectPr w:rsidR="002840FF" w:rsidRPr="002840FF"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Ari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2F"/>
    <w:rsid w:val="000B7C9A"/>
    <w:rsid w:val="000C436D"/>
    <w:rsid w:val="0022532F"/>
    <w:rsid w:val="00271A3A"/>
    <w:rsid w:val="002840FF"/>
    <w:rsid w:val="002B7F54"/>
    <w:rsid w:val="002C18AD"/>
    <w:rsid w:val="002F175F"/>
    <w:rsid w:val="00392A02"/>
    <w:rsid w:val="003C1F28"/>
    <w:rsid w:val="003C3D2C"/>
    <w:rsid w:val="0043465F"/>
    <w:rsid w:val="005B6D7D"/>
    <w:rsid w:val="00664918"/>
    <w:rsid w:val="00726AA6"/>
    <w:rsid w:val="007C014B"/>
    <w:rsid w:val="008E5362"/>
    <w:rsid w:val="00931576"/>
    <w:rsid w:val="00966089"/>
    <w:rsid w:val="00D90B2A"/>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6108"/>
  <w15:chartTrackingRefBased/>
  <w15:docId w15:val="{3784E897-3770-4378-B4EE-260AAAD7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32F"/>
    <w:rPr>
      <w:color w:val="0563C1" w:themeColor="hyperlink"/>
      <w:u w:val="single"/>
    </w:rPr>
  </w:style>
  <w:style w:type="character" w:styleId="UnresolvedMention">
    <w:name w:val="Unresolved Mention"/>
    <w:basedOn w:val="DefaultParagraphFont"/>
    <w:uiPriority w:val="99"/>
    <w:semiHidden/>
    <w:unhideWhenUsed/>
    <w:rsid w:val="0022532F"/>
    <w:rPr>
      <w:color w:val="605E5C"/>
      <w:shd w:val="clear" w:color="auto" w:fill="E1DFDD"/>
    </w:rPr>
  </w:style>
  <w:style w:type="paragraph" w:styleId="BalloonText">
    <w:name w:val="Balloon Text"/>
    <w:basedOn w:val="Normal"/>
    <w:link w:val="BalloonTextChar"/>
    <w:uiPriority w:val="99"/>
    <w:semiHidden/>
    <w:unhideWhenUsed/>
    <w:rsid w:val="002253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32F"/>
    <w:rPr>
      <w:rFonts w:ascii="Segoe UI" w:hAnsi="Segoe UI" w:cs="Segoe UI"/>
      <w:sz w:val="18"/>
      <w:szCs w:val="18"/>
      <w:lang w:val="en-US"/>
    </w:rPr>
  </w:style>
  <w:style w:type="paragraph" w:styleId="Caption">
    <w:name w:val="caption"/>
    <w:basedOn w:val="Normal"/>
    <w:next w:val="Normal"/>
    <w:uiPriority w:val="35"/>
    <w:unhideWhenUsed/>
    <w:qFormat/>
    <w:rsid w:val="0022532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nationalcouncil.org/wp-content/uploads/2021/12/Medication_Adherence_Toolkit_Final.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2024-11-04T21:23:00Z</dcterms:created>
  <dcterms:modified xsi:type="dcterms:W3CDTF">2024-11-04T23:45:00Z</dcterms:modified>
</cp:coreProperties>
</file>