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A0421" w14:textId="3897CA6D" w:rsidR="005C4EC8" w:rsidRDefault="005C4EC8" w:rsidP="005C4EC8">
      <w:pPr>
        <w:rPr>
          <w:rFonts w:ascii="Lato" w:hAnsi="Lato"/>
          <w:b/>
          <w:bCs/>
          <w:color w:val="FF0000"/>
          <w:sz w:val="28"/>
          <w:szCs w:val="28"/>
          <w:shd w:val="clear" w:color="auto" w:fill="FFFFFF"/>
        </w:rPr>
      </w:pPr>
      <w:r w:rsidRPr="005C4EC8">
        <w:rPr>
          <w:rFonts w:ascii="Lato" w:hAnsi="Lato"/>
          <w:b/>
          <w:bCs/>
          <w:color w:val="FF0000"/>
          <w:sz w:val="28"/>
          <w:szCs w:val="28"/>
          <w:shd w:val="clear" w:color="auto" w:fill="FFFFFF"/>
        </w:rPr>
        <w:t xml:space="preserve">The topic </w:t>
      </w:r>
      <w:r>
        <w:rPr>
          <w:rFonts w:ascii="Lato" w:hAnsi="Lato"/>
          <w:b/>
          <w:bCs/>
          <w:color w:val="FF0000"/>
          <w:sz w:val="28"/>
          <w:szCs w:val="28"/>
          <w:shd w:val="clear" w:color="auto" w:fill="FFFFFF"/>
        </w:rPr>
        <w:t xml:space="preserve">has been </w:t>
      </w:r>
      <w:r w:rsidRPr="005C4EC8">
        <w:rPr>
          <w:rFonts w:ascii="Lato" w:hAnsi="Lato"/>
          <w:b/>
          <w:bCs/>
          <w:color w:val="FF0000"/>
          <w:sz w:val="28"/>
          <w:szCs w:val="28"/>
          <w:shd w:val="clear" w:color="auto" w:fill="FFFFFF"/>
        </w:rPr>
        <w:t xml:space="preserve"> changed from alcohol withdrawal to relapse rate so </w:t>
      </w:r>
      <w:proofErr w:type="spellStart"/>
      <w:r w:rsidRPr="005C4EC8">
        <w:rPr>
          <w:rFonts w:ascii="Lato" w:hAnsi="Lato"/>
          <w:b/>
          <w:bCs/>
          <w:color w:val="FF0000"/>
          <w:sz w:val="28"/>
          <w:szCs w:val="28"/>
          <w:shd w:val="clear" w:color="auto" w:fill="FFFFFF"/>
        </w:rPr>
        <w:t>wk</w:t>
      </w:r>
      <w:proofErr w:type="spellEnd"/>
      <w:r w:rsidRPr="005C4EC8">
        <w:rPr>
          <w:rFonts w:ascii="Lato" w:hAnsi="Lato"/>
          <w:b/>
          <w:bCs/>
          <w:color w:val="FF0000"/>
          <w:sz w:val="28"/>
          <w:szCs w:val="28"/>
          <w:shd w:val="clear" w:color="auto" w:fill="FFFFFF"/>
        </w:rPr>
        <w:t xml:space="preserve"> 5 below may not help. I am currently using the AUDIT tool not CIWA</w:t>
      </w:r>
    </w:p>
    <w:p w14:paraId="024E0D50" w14:textId="3F45C2DE" w:rsidR="005C4EC8" w:rsidRPr="005C4EC8" w:rsidRDefault="005C4EC8" w:rsidP="005C4EC8">
      <w:pPr>
        <w:rPr>
          <w:rFonts w:ascii="Lato" w:hAnsi="Lato"/>
          <w:b/>
          <w:bCs/>
          <w:color w:val="FF0000"/>
          <w:sz w:val="28"/>
          <w:szCs w:val="28"/>
          <w:shd w:val="clear" w:color="auto" w:fill="FFFFFF"/>
        </w:rPr>
      </w:pPr>
    </w:p>
    <w:p w14:paraId="640C4E47" w14:textId="77777777" w:rsidR="005C4EC8" w:rsidRDefault="005C4EC8" w:rsidP="005C4EC8">
      <w:pPr>
        <w:pStyle w:val="NormalWeb"/>
        <w:shd w:val="clear" w:color="auto" w:fill="FFFFFF"/>
        <w:spacing w:before="180" w:beforeAutospacing="0" w:after="180" w:afterAutospacing="0"/>
        <w:rPr>
          <w:rFonts w:ascii="Lato" w:hAnsi="Lato"/>
          <w:b/>
          <w:bCs/>
          <w:color w:val="2D3B45"/>
          <w:sz w:val="42"/>
          <w:szCs w:val="42"/>
          <w:shd w:val="clear" w:color="auto" w:fill="FFFFFF"/>
        </w:rPr>
      </w:pPr>
    </w:p>
    <w:p w14:paraId="47E49835" w14:textId="77777777" w:rsidR="005C4EC8" w:rsidRDefault="005C4EC8" w:rsidP="005C4EC8">
      <w:pPr>
        <w:pStyle w:val="NormalWeb"/>
        <w:shd w:val="clear" w:color="auto" w:fill="FFFFFF"/>
        <w:spacing w:before="180" w:beforeAutospacing="0" w:after="180" w:afterAutospacing="0"/>
        <w:rPr>
          <w:rFonts w:ascii="Lato" w:hAnsi="Lato"/>
          <w:b/>
          <w:bCs/>
          <w:color w:val="2D3B45"/>
          <w:sz w:val="42"/>
          <w:szCs w:val="42"/>
          <w:shd w:val="clear" w:color="auto" w:fill="FFFFFF"/>
        </w:rPr>
      </w:pPr>
    </w:p>
    <w:p w14:paraId="285C2B68" w14:textId="77777777" w:rsidR="005C4EC8" w:rsidRDefault="005C4EC8" w:rsidP="005C4EC8">
      <w:pPr>
        <w:pStyle w:val="NormalWeb"/>
        <w:shd w:val="clear" w:color="auto" w:fill="FFFFFF"/>
        <w:spacing w:before="180" w:beforeAutospacing="0" w:after="180" w:afterAutospacing="0"/>
        <w:rPr>
          <w:rFonts w:ascii="Lato" w:hAnsi="Lato"/>
          <w:b/>
          <w:bCs/>
          <w:color w:val="2D3B45"/>
          <w:sz w:val="42"/>
          <w:szCs w:val="42"/>
          <w:shd w:val="clear" w:color="auto" w:fill="FFFFFF"/>
        </w:rPr>
      </w:pPr>
    </w:p>
    <w:p w14:paraId="34074EA3" w14:textId="27B00FD5" w:rsidR="005C4EC8" w:rsidRDefault="005C4EC8" w:rsidP="005C4EC8">
      <w:pPr>
        <w:pStyle w:val="NormalWeb"/>
        <w:shd w:val="clear" w:color="auto" w:fill="FFFFFF"/>
        <w:spacing w:before="180" w:beforeAutospacing="0" w:after="180" w:afterAutospacing="0"/>
        <w:rPr>
          <w:rFonts w:ascii="Lato" w:hAnsi="Lato"/>
          <w:b/>
          <w:bCs/>
          <w:color w:val="2D3B45"/>
          <w:sz w:val="42"/>
          <w:szCs w:val="42"/>
          <w:shd w:val="clear" w:color="auto" w:fill="FFFFFF"/>
        </w:rPr>
      </w:pPr>
      <w:r>
        <w:rPr>
          <w:rFonts w:ascii="Lato" w:hAnsi="Lato"/>
          <w:b/>
          <w:bCs/>
          <w:color w:val="2D3B45"/>
          <w:sz w:val="42"/>
          <w:szCs w:val="42"/>
          <w:shd w:val="clear" w:color="auto" w:fill="FFFFFF"/>
        </w:rPr>
        <w:t>Week 1: Discussion | Analyzing a Practice Gap</w:t>
      </w:r>
    </w:p>
    <w:p w14:paraId="2D680ED9" w14:textId="3299171F" w:rsidR="005C4EC8" w:rsidRDefault="005C4EC8" w:rsidP="005C4EC8">
      <w:pPr>
        <w:pStyle w:val="NormalWeb"/>
        <w:shd w:val="clear" w:color="auto" w:fill="FFFFFF"/>
        <w:spacing w:before="180" w:beforeAutospacing="0" w:after="180" w:afterAutospacing="0"/>
        <w:rPr>
          <w:rFonts w:ascii="Lato" w:hAnsi="Lato"/>
          <w:color w:val="2D3B45"/>
        </w:rPr>
      </w:pPr>
      <w:r>
        <w:rPr>
          <w:rFonts w:ascii="Lato" w:hAnsi="Lato"/>
          <w:b/>
          <w:bCs/>
          <w:color w:val="2D3B45"/>
          <w:sz w:val="42"/>
          <w:szCs w:val="42"/>
          <w:shd w:val="clear" w:color="auto" w:fill="FFFFFF"/>
        </w:rPr>
        <w:t>NU 730</w:t>
      </w:r>
    </w:p>
    <w:p w14:paraId="689B9BAE" w14:textId="6CB6988D" w:rsidR="005C4EC8" w:rsidRDefault="005C4EC8" w:rsidP="005C4EC8">
      <w:pPr>
        <w:pStyle w:val="NormalWeb"/>
        <w:shd w:val="clear" w:color="auto" w:fill="FFFFFF"/>
        <w:spacing w:before="180" w:beforeAutospacing="0" w:after="180" w:afterAutospacing="0"/>
        <w:rPr>
          <w:rFonts w:ascii="Lato" w:hAnsi="Lato"/>
          <w:color w:val="2D3B45"/>
        </w:rPr>
      </w:pPr>
      <w:r>
        <w:rPr>
          <w:rFonts w:ascii="Lato" w:hAnsi="Lato"/>
          <w:color w:val="2D3B45"/>
        </w:rPr>
        <w:t>Alcohol addiction is a prevalent problem in the United States. There is a gap in the treatment of alcohol use disorder (AUD) despite the numerous treatment modalities. The treatment gap in practice refers to the disconnection between AUD treatment and those who receive treatment. Approximately less than 8% of the adult population who require treatment receive any treatment within one year either behavioral or medical (Koob, 2024). In 2019, less than 2% only received one Food and Drug Administration (FDA) approved medication. Factors associated with gaps in practice include a lack of knowledge and general misconceptions that AUD can only be treated in 28-day inpatient rehabilitation to achieve complete abstinence. Also, a general lack of understanding of standard drinks and FDA-approved medication increases the gap in the treatment of AUD (Koob, 2024).</w:t>
      </w:r>
    </w:p>
    <w:p w14:paraId="34B048A4" w14:textId="77777777" w:rsidR="005C4EC8" w:rsidRDefault="005C4EC8" w:rsidP="005C4EC8">
      <w:pPr>
        <w:pStyle w:val="NormalWeb"/>
        <w:shd w:val="clear" w:color="auto" w:fill="FFFFFF"/>
        <w:spacing w:before="180" w:beforeAutospacing="0" w:after="180" w:afterAutospacing="0"/>
        <w:rPr>
          <w:rFonts w:ascii="Lato" w:hAnsi="Lato"/>
          <w:color w:val="2D3B45"/>
        </w:rPr>
      </w:pPr>
      <w:r>
        <w:rPr>
          <w:rFonts w:ascii="Lato" w:hAnsi="Lato"/>
          <w:color w:val="2D3B45"/>
        </w:rPr>
        <w:t>Lack of uptake of Screening, Brief Intervention, and Referral to Treatment (SBIRT) by clinicians increases the prevalence of AUD. SBIRT is an evidence-based intervention that requires little effort to detect unhealthy alcohol use. Lack of treatment facilities may perpetuate the gap in practice for addiction evidenced by long waiting lists, and inadequate inpatient beds (Koob, 2024). Challenges for medication to identify possible treatment targets for AUD and FDA-approved medication widen the gap in the treatment process. Lack of commitment by the pharmaceutical industry to drug development for addiction pharmacotherapies contributes to job losses, early deaths, and social impacts such as increased criminal activities associated with AUD. Lack of funding by industry associated with a lack of perceived return on investment and low approval rate for medication increase the treatment gap. Stigma and negative perceptions of people who struggle with alcohol misuse led to low pursuant of care as a moral problem and a treatable condition (Koob, 2024).</w:t>
      </w:r>
    </w:p>
    <w:p w14:paraId="69DF7AAA" w14:textId="77777777" w:rsidR="005C4EC8" w:rsidRDefault="005C4EC8" w:rsidP="005C4EC8">
      <w:pPr>
        <w:pStyle w:val="NormalWeb"/>
        <w:shd w:val="clear" w:color="auto" w:fill="FFFFFF"/>
        <w:spacing w:before="180" w:beforeAutospacing="0" w:after="180" w:afterAutospacing="0"/>
        <w:rPr>
          <w:rFonts w:ascii="Lato" w:hAnsi="Lato"/>
          <w:color w:val="2D3B45"/>
        </w:rPr>
      </w:pPr>
      <w:r>
        <w:rPr>
          <w:rFonts w:ascii="Lato" w:hAnsi="Lato"/>
          <w:color w:val="2D3B45"/>
        </w:rPr>
        <w:t xml:space="preserve">The adult population is most affected by alcohol misuse and AUD with a lifetime prevalence of 83.17%. Alcohol is associated with high blood pressure especially systolic </w:t>
      </w:r>
      <w:r>
        <w:rPr>
          <w:rFonts w:ascii="Lato" w:hAnsi="Lato"/>
          <w:color w:val="2D3B45"/>
        </w:rPr>
        <w:lastRenderedPageBreak/>
        <w:t>blood pressure with heavy drinking associated with four times higher than non-drinkers (</w:t>
      </w:r>
      <w:proofErr w:type="spellStart"/>
      <w:r>
        <w:rPr>
          <w:rFonts w:ascii="Lato" w:hAnsi="Lato"/>
          <w:color w:val="2D3B45"/>
        </w:rPr>
        <w:t>AshaRani</w:t>
      </w:r>
      <w:proofErr w:type="spellEnd"/>
      <w:r>
        <w:rPr>
          <w:rFonts w:ascii="Lato" w:hAnsi="Lato"/>
          <w:color w:val="2D3B45"/>
        </w:rPr>
        <w:t xml:space="preserve"> et al., 2023). Alcohol use is further associated with worsened management of the condition by interfering with the pharmacokinetics of the medications in patients with AUD. Alcohol causes numerous behavioral conditions and serious mental issues characterized by dual diagnosis such as smoking and depressive disorders. Dual diagnosis in the adult population leads to worsening and relapse of serious mental issues along with adverse impacts on family, finances, health, and legal issues leading to substance use (</w:t>
      </w:r>
      <w:proofErr w:type="spellStart"/>
      <w:r>
        <w:rPr>
          <w:rFonts w:ascii="Lato" w:hAnsi="Lato"/>
          <w:color w:val="2D3B45"/>
        </w:rPr>
        <w:t>AshaRani</w:t>
      </w:r>
      <w:proofErr w:type="spellEnd"/>
      <w:r>
        <w:rPr>
          <w:rFonts w:ascii="Lato" w:hAnsi="Lato"/>
          <w:color w:val="2D3B45"/>
        </w:rPr>
        <w:t xml:space="preserve"> et al., 2023). Binge drinking further leads to an increased risk of hypertension, stroke, cardiovascular diseases, and a high mortality rate.  </w:t>
      </w:r>
    </w:p>
    <w:p w14:paraId="3D71C9B6" w14:textId="77777777" w:rsidR="005C4EC8" w:rsidRDefault="005C4EC8" w:rsidP="005C4EC8">
      <w:pPr>
        <w:pStyle w:val="NormalWeb"/>
        <w:shd w:val="clear" w:color="auto" w:fill="FFFFFF"/>
        <w:spacing w:before="180" w:beforeAutospacing="0" w:after="180" w:afterAutospacing="0"/>
        <w:rPr>
          <w:rFonts w:ascii="Lato" w:hAnsi="Lato"/>
          <w:color w:val="2D3B45"/>
        </w:rPr>
      </w:pPr>
      <w:r>
        <w:rPr>
          <w:rFonts w:ascii="Lato" w:hAnsi="Lato"/>
          <w:color w:val="2D3B45"/>
        </w:rPr>
        <w:t>The goal of the project is to evaluate the efficacy and effectiveness of cognitive-behavioral therapy (CBT) combined with medication-assisted treatment (MAT) compared to CBT alone in the treatment of alcohol addiction. Evidence reveals that combining behavioral therapy and pharmacotherapy enhances treatment adherence, improves treatment retention, and addresses symptoms and issues that cannot be addressed by medication alone (Ray et al., 2020). A combination of these interventions ensures optimal clinical outcomes for alcohol addiction compared to usual care employing CBT. Notably, effective behavioral health treatments and FDA-approved medications are utilized in clinical practice contributing to the major gap in practice.</w:t>
      </w:r>
    </w:p>
    <w:p w14:paraId="515431EB" w14:textId="77777777" w:rsidR="005C4EC8" w:rsidRDefault="005C4EC8" w:rsidP="005C4EC8">
      <w:pPr>
        <w:pStyle w:val="NormalWeb"/>
        <w:shd w:val="clear" w:color="auto" w:fill="FFFFFF"/>
        <w:spacing w:before="180" w:beforeAutospacing="0" w:after="180" w:afterAutospacing="0"/>
        <w:rPr>
          <w:rFonts w:ascii="Lato" w:hAnsi="Lato"/>
          <w:color w:val="2D3B45"/>
        </w:rPr>
      </w:pPr>
      <w:r>
        <w:rPr>
          <w:rStyle w:val="Strong"/>
          <w:rFonts w:ascii="Lato" w:eastAsiaTheme="majorEastAsia" w:hAnsi="Lato"/>
          <w:color w:val="2D3B45"/>
        </w:rPr>
        <w:t>                                                                                                                                                         References</w:t>
      </w:r>
    </w:p>
    <w:p w14:paraId="260BE64E" w14:textId="77777777" w:rsidR="005C4EC8" w:rsidRDefault="005C4EC8" w:rsidP="005C4EC8">
      <w:pPr>
        <w:pStyle w:val="NormalWeb"/>
        <w:shd w:val="clear" w:color="auto" w:fill="FFFFFF"/>
        <w:spacing w:before="0" w:beforeAutospacing="0" w:after="0" w:afterAutospacing="0"/>
        <w:rPr>
          <w:rFonts w:ascii="Lato" w:hAnsi="Lato"/>
          <w:color w:val="2D3B45"/>
        </w:rPr>
      </w:pPr>
      <w:proofErr w:type="spellStart"/>
      <w:r>
        <w:rPr>
          <w:rFonts w:ascii="Lato" w:hAnsi="Lato"/>
          <w:color w:val="2D3B45"/>
        </w:rPr>
        <w:t>AshaRani</w:t>
      </w:r>
      <w:proofErr w:type="spellEnd"/>
      <w:r>
        <w:rPr>
          <w:rFonts w:ascii="Lato" w:hAnsi="Lato"/>
          <w:color w:val="2D3B45"/>
        </w:rPr>
        <w:t xml:space="preserve">, P. V., </w:t>
      </w:r>
      <w:proofErr w:type="spellStart"/>
      <w:r>
        <w:rPr>
          <w:rFonts w:ascii="Lato" w:hAnsi="Lato"/>
          <w:color w:val="2D3B45"/>
        </w:rPr>
        <w:t>Karuvetil</w:t>
      </w:r>
      <w:proofErr w:type="spellEnd"/>
      <w:r>
        <w:rPr>
          <w:rFonts w:ascii="Lato" w:hAnsi="Lato"/>
          <w:color w:val="2D3B45"/>
        </w:rPr>
        <w:t xml:space="preserve">, M. Z., Brian, T. Y. W., </w:t>
      </w:r>
      <w:proofErr w:type="spellStart"/>
      <w:r>
        <w:rPr>
          <w:rFonts w:ascii="Lato" w:hAnsi="Lato"/>
          <w:color w:val="2D3B45"/>
        </w:rPr>
        <w:t>Satghare</w:t>
      </w:r>
      <w:proofErr w:type="spellEnd"/>
      <w:r>
        <w:rPr>
          <w:rFonts w:ascii="Lato" w:hAnsi="Lato"/>
          <w:color w:val="2D3B45"/>
        </w:rPr>
        <w:t xml:space="preserve">, P., </w:t>
      </w:r>
      <w:proofErr w:type="spellStart"/>
      <w:r>
        <w:rPr>
          <w:rFonts w:ascii="Lato" w:hAnsi="Lato"/>
          <w:color w:val="2D3B45"/>
        </w:rPr>
        <w:t>Roystonn</w:t>
      </w:r>
      <w:proofErr w:type="spellEnd"/>
      <w:r>
        <w:rPr>
          <w:rFonts w:ascii="Lato" w:hAnsi="Lato"/>
          <w:color w:val="2D3B45"/>
        </w:rPr>
        <w:t>, K., Peizhi, W., ... &amp; Subramaniam, M. (2023). Prevalence and correlates of physical comorbidities in alcohol use disorder (AUD): a pilot study in treatment-seeking population. </w:t>
      </w:r>
      <w:r>
        <w:rPr>
          <w:rStyle w:val="Emphasis"/>
          <w:rFonts w:ascii="Lato" w:eastAsiaTheme="majorEastAsia" w:hAnsi="Lato"/>
          <w:color w:val="2D3B45"/>
        </w:rPr>
        <w:t>International Journal of Mental Health and Addiction</w:t>
      </w:r>
      <w:r>
        <w:rPr>
          <w:rFonts w:ascii="Lato" w:hAnsi="Lato"/>
          <w:color w:val="2D3B45"/>
        </w:rPr>
        <w:t>, </w:t>
      </w:r>
      <w:r>
        <w:rPr>
          <w:rStyle w:val="Emphasis"/>
          <w:rFonts w:ascii="Lato" w:eastAsiaTheme="majorEastAsia" w:hAnsi="Lato"/>
          <w:color w:val="2D3B45"/>
        </w:rPr>
        <w:t>21</w:t>
      </w:r>
      <w:r>
        <w:rPr>
          <w:rFonts w:ascii="Lato" w:hAnsi="Lato"/>
          <w:color w:val="2D3B45"/>
        </w:rPr>
        <w:t>(4), 2508-2525. </w:t>
      </w:r>
      <w:hyperlink r:id="rId4" w:tgtFrame="_blank" w:history="1">
        <w:r>
          <w:rPr>
            <w:rStyle w:val="Hyperlink"/>
            <w:rFonts w:ascii="Lato" w:eastAsiaTheme="majorEastAsia" w:hAnsi="Lato"/>
          </w:rPr>
          <w:t>https://doi.org/10.1007/s11469-021-00734-5</w:t>
        </w:r>
        <w:r>
          <w:rPr>
            <w:rStyle w:val="screenreader-only"/>
            <w:rFonts w:ascii="Lato" w:eastAsiaTheme="majorEastAsia" w:hAnsi="Lato"/>
            <w:color w:val="0000FF"/>
            <w:u w:val="single"/>
            <w:bdr w:val="none" w:sz="0" w:space="0" w:color="auto" w:frame="1"/>
          </w:rPr>
          <w:t>Links to an external site.</w:t>
        </w:r>
      </w:hyperlink>
    </w:p>
    <w:p w14:paraId="318F0153" w14:textId="77777777" w:rsidR="005C4EC8" w:rsidRDefault="005C4EC8" w:rsidP="005C4EC8">
      <w:pPr>
        <w:pStyle w:val="NormalWeb"/>
        <w:shd w:val="clear" w:color="auto" w:fill="FFFFFF"/>
        <w:spacing w:before="0" w:beforeAutospacing="0" w:after="0" w:afterAutospacing="0"/>
        <w:rPr>
          <w:rFonts w:ascii="Lato" w:hAnsi="Lato"/>
          <w:color w:val="2D3B45"/>
        </w:rPr>
      </w:pPr>
      <w:r>
        <w:rPr>
          <w:rFonts w:ascii="Lato" w:hAnsi="Lato"/>
          <w:color w:val="2D3B45"/>
        </w:rPr>
        <w:t>Koob, G. F. (2024). Alcohol use disorder treatment: Problems and solutions. </w:t>
      </w:r>
      <w:r>
        <w:rPr>
          <w:rStyle w:val="Emphasis"/>
          <w:rFonts w:ascii="Lato" w:eastAsiaTheme="majorEastAsia" w:hAnsi="Lato"/>
          <w:color w:val="2D3B45"/>
        </w:rPr>
        <w:t>Annual Review of Pharmacology and Toxicology</w:t>
      </w:r>
      <w:r>
        <w:rPr>
          <w:rFonts w:ascii="Lato" w:hAnsi="Lato"/>
          <w:color w:val="2D3B45"/>
        </w:rPr>
        <w:t>, </w:t>
      </w:r>
      <w:r>
        <w:rPr>
          <w:rStyle w:val="Emphasis"/>
          <w:rFonts w:ascii="Lato" w:eastAsiaTheme="majorEastAsia" w:hAnsi="Lato"/>
          <w:color w:val="2D3B45"/>
        </w:rPr>
        <w:t>64</w:t>
      </w:r>
      <w:r>
        <w:rPr>
          <w:rFonts w:ascii="Lato" w:hAnsi="Lato"/>
          <w:color w:val="2D3B45"/>
        </w:rPr>
        <w:t>(1), 255-275. </w:t>
      </w:r>
      <w:hyperlink r:id="rId5" w:tgtFrame="_blank" w:history="1">
        <w:r>
          <w:rPr>
            <w:rStyle w:val="Hyperlink"/>
            <w:rFonts w:ascii="Lato" w:eastAsiaTheme="majorEastAsia" w:hAnsi="Lato"/>
          </w:rPr>
          <w:t>https://doi.org/10.1146/annurev-pharmtox-031323-115847</w:t>
        </w:r>
        <w:r>
          <w:rPr>
            <w:rStyle w:val="screenreader-only"/>
            <w:rFonts w:ascii="Lato" w:eastAsiaTheme="majorEastAsia" w:hAnsi="Lato"/>
            <w:color w:val="0000FF"/>
            <w:u w:val="single"/>
            <w:bdr w:val="none" w:sz="0" w:space="0" w:color="auto" w:frame="1"/>
          </w:rPr>
          <w:t>Links to an external site.</w:t>
        </w:r>
      </w:hyperlink>
    </w:p>
    <w:p w14:paraId="56328F76" w14:textId="77777777" w:rsidR="005C4EC8" w:rsidRDefault="005C4EC8" w:rsidP="005C4EC8">
      <w:pPr>
        <w:pStyle w:val="NormalWeb"/>
        <w:shd w:val="clear" w:color="auto" w:fill="FFFFFF"/>
        <w:spacing w:before="0" w:beforeAutospacing="0" w:after="0" w:afterAutospacing="0"/>
        <w:rPr>
          <w:rFonts w:ascii="Lato" w:hAnsi="Lato"/>
          <w:color w:val="2D3B45"/>
        </w:rPr>
      </w:pPr>
      <w:r>
        <w:rPr>
          <w:rStyle w:val="postmention"/>
          <w:rFonts w:ascii="Lato" w:eastAsiaTheme="majorEastAsia" w:hAnsi="Lato"/>
          <w:color w:val="2D3B45"/>
        </w:rPr>
        <w:t>Ray, L. A., Meredith, L. R., Kiluk, B. D., Walthers, J., Carroll, K. M., &amp; Magill, M. (2020). Combined pharmacotherapy and cognitive behavioral therapy for adults with alcohol or substance use disorders: a systematic review and meta-analysis. </w:t>
      </w:r>
      <w:r>
        <w:rPr>
          <w:rStyle w:val="Emphasis"/>
          <w:rFonts w:ascii="Lato" w:eastAsiaTheme="majorEastAsia" w:hAnsi="Lato"/>
          <w:color w:val="2D3B45"/>
        </w:rPr>
        <w:t>JAMA network open</w:t>
      </w:r>
      <w:r>
        <w:rPr>
          <w:rStyle w:val="postmention"/>
          <w:rFonts w:ascii="Lato" w:eastAsiaTheme="majorEastAsia" w:hAnsi="Lato"/>
          <w:color w:val="2D3B45"/>
        </w:rPr>
        <w:t>, </w:t>
      </w:r>
      <w:r>
        <w:rPr>
          <w:rStyle w:val="Emphasis"/>
          <w:rFonts w:ascii="Lato" w:eastAsiaTheme="majorEastAsia" w:hAnsi="Lato"/>
          <w:color w:val="2D3B45"/>
        </w:rPr>
        <w:t>3</w:t>
      </w:r>
      <w:r>
        <w:rPr>
          <w:rStyle w:val="postmention"/>
          <w:rFonts w:ascii="Lato" w:eastAsiaTheme="majorEastAsia" w:hAnsi="Lato"/>
          <w:color w:val="2D3B45"/>
        </w:rPr>
        <w:t>(6), e208279-e208279. </w:t>
      </w:r>
      <w:hyperlink r:id="rId6" w:tgtFrame="_blank" w:history="1">
        <w:r>
          <w:rPr>
            <w:rStyle w:val="Hyperlink"/>
            <w:rFonts w:ascii="Lato" w:eastAsiaTheme="majorEastAsia" w:hAnsi="Lato"/>
          </w:rPr>
          <w:t>https://doi.org/10.1001%2Fjamanetworkopen.2020.8279</w:t>
        </w:r>
        <w:r>
          <w:rPr>
            <w:rStyle w:val="screenreader-only"/>
            <w:rFonts w:ascii="Lato" w:eastAsiaTheme="majorEastAsia" w:hAnsi="Lato"/>
            <w:color w:val="0000FF"/>
            <w:u w:val="single"/>
            <w:bdr w:val="none" w:sz="0" w:space="0" w:color="auto" w:frame="1"/>
          </w:rPr>
          <w:t>Links to an external site.</w:t>
        </w:r>
      </w:hyperlink>
    </w:p>
    <w:p w14:paraId="329D4ACE" w14:textId="59147565" w:rsidR="005C4EC8" w:rsidRDefault="005C4EC8">
      <w:pPr>
        <w:rPr>
          <w:rFonts w:ascii="Lato" w:hAnsi="Lato"/>
          <w:b/>
          <w:bCs/>
          <w:color w:val="2D3B45"/>
          <w:sz w:val="42"/>
          <w:szCs w:val="42"/>
          <w:shd w:val="clear" w:color="auto" w:fill="FFFFFF"/>
        </w:rPr>
      </w:pPr>
      <w:r>
        <w:rPr>
          <w:rFonts w:ascii="Lato" w:hAnsi="Lato"/>
          <w:b/>
          <w:bCs/>
          <w:color w:val="2D3B45"/>
          <w:sz w:val="42"/>
          <w:szCs w:val="42"/>
          <w:shd w:val="clear" w:color="auto" w:fill="FFFFFF"/>
        </w:rPr>
        <w:t>Week 5: Discussion | The Ethical and Legal Aspects of Practice Change</w:t>
      </w:r>
      <w:r>
        <w:rPr>
          <w:rFonts w:ascii="Lato" w:hAnsi="Lato"/>
          <w:b/>
          <w:bCs/>
          <w:color w:val="2D3B45"/>
          <w:sz w:val="42"/>
          <w:szCs w:val="42"/>
          <w:shd w:val="clear" w:color="auto" w:fill="FFFFFF"/>
        </w:rPr>
        <w:t xml:space="preserve"> NU 730</w:t>
      </w:r>
    </w:p>
    <w:p w14:paraId="5A41492E" w14:textId="59A659E1" w:rsidR="005C4EC8" w:rsidRPr="005C4EC8" w:rsidRDefault="005C4EC8">
      <w:pPr>
        <w:rPr>
          <w:rFonts w:ascii="Lato" w:hAnsi="Lato"/>
          <w:b/>
          <w:bCs/>
          <w:color w:val="FF0000"/>
          <w:sz w:val="42"/>
          <w:szCs w:val="42"/>
          <w:shd w:val="clear" w:color="auto" w:fill="FFFFFF"/>
        </w:rPr>
      </w:pPr>
      <w:r w:rsidRPr="005C4EC8">
        <w:rPr>
          <w:rFonts w:ascii="Lato" w:hAnsi="Lato"/>
          <w:b/>
          <w:bCs/>
          <w:color w:val="FF0000"/>
          <w:sz w:val="42"/>
          <w:szCs w:val="42"/>
          <w:shd w:val="clear" w:color="auto" w:fill="FFFFFF"/>
        </w:rPr>
        <w:lastRenderedPageBreak/>
        <w:t xml:space="preserve">The topic was changed from alcohol withdrawal to relapse rate so </w:t>
      </w:r>
      <w:proofErr w:type="spellStart"/>
      <w:r w:rsidRPr="005C4EC8">
        <w:rPr>
          <w:rFonts w:ascii="Lato" w:hAnsi="Lato"/>
          <w:b/>
          <w:bCs/>
          <w:color w:val="FF0000"/>
          <w:sz w:val="42"/>
          <w:szCs w:val="42"/>
          <w:shd w:val="clear" w:color="auto" w:fill="FFFFFF"/>
        </w:rPr>
        <w:t>wk</w:t>
      </w:r>
      <w:proofErr w:type="spellEnd"/>
      <w:r w:rsidRPr="005C4EC8">
        <w:rPr>
          <w:rFonts w:ascii="Lato" w:hAnsi="Lato"/>
          <w:b/>
          <w:bCs/>
          <w:color w:val="FF0000"/>
          <w:sz w:val="42"/>
          <w:szCs w:val="42"/>
          <w:shd w:val="clear" w:color="auto" w:fill="FFFFFF"/>
        </w:rPr>
        <w:t xml:space="preserve"> 5 below may not help. I am currently using the AUDIT tool not CIWA</w:t>
      </w:r>
    </w:p>
    <w:p w14:paraId="689F6A18" w14:textId="77777777" w:rsidR="005C4EC8" w:rsidRDefault="005C4EC8" w:rsidP="005C4EC8">
      <w:pPr>
        <w:pStyle w:val="NormalWeb"/>
        <w:shd w:val="clear" w:color="auto" w:fill="FFFFFF"/>
        <w:spacing w:before="180" w:beforeAutospacing="0" w:after="180" w:afterAutospacing="0"/>
        <w:rPr>
          <w:rFonts w:ascii="Lato" w:hAnsi="Lato"/>
          <w:color w:val="2D3B45"/>
        </w:rPr>
      </w:pPr>
      <w:r>
        <w:rPr>
          <w:rFonts w:ascii="Lato" w:hAnsi="Lato"/>
          <w:color w:val="2D3B45"/>
        </w:rPr>
        <w:t xml:space="preserve">The identified project for my DNP project is the issue of Alcoholism or alcohol use disorder (AUD). There is a high prevalence </w:t>
      </w:r>
      <w:proofErr w:type="gramStart"/>
      <w:r>
        <w:rPr>
          <w:rFonts w:ascii="Lato" w:hAnsi="Lato"/>
          <w:color w:val="2D3B45"/>
        </w:rPr>
        <w:t>of</w:t>
      </w:r>
      <w:proofErr w:type="gramEnd"/>
      <w:r>
        <w:rPr>
          <w:rFonts w:ascii="Lato" w:hAnsi="Lato"/>
          <w:color w:val="2D3B45"/>
        </w:rPr>
        <w:t xml:space="preserve"> and negative impact associated with AUD, and the treatment rate is quite estimated to be 10% (Kools et al., 2022). Alcohol misuse is associated with approximately 140,000 deaths annually accounting for about 89,697 deaths in adults aged 20 to 64 years and 4000 in under 21 in the United States (US). In 2020, about 70% of people living in the US aged 21 and above accounting for 166.6 million were reported to drinking alcohol for the past year (SAMHSA, 2022). It is also linked to long-term physical harm, influence, jeopardize public safety, and influence productivity (SAMHSA, 2022). Sadly, AUD is usually undiagnosed, untreated, and not referred, and if diagnosed, treatment is suboptimal or fragmented. There are various factors associated with the degradation of safety in caring for individuals with AUD including stigma, poor organizational culture, and skewed health infrastructure. (Zipperer et al., 2022).</w:t>
      </w:r>
    </w:p>
    <w:p w14:paraId="46B5FA07" w14:textId="77777777" w:rsidR="005C4EC8" w:rsidRDefault="005C4EC8" w:rsidP="005C4EC8">
      <w:pPr>
        <w:pStyle w:val="NormalWeb"/>
        <w:shd w:val="clear" w:color="auto" w:fill="FFFFFF"/>
        <w:spacing w:before="180" w:beforeAutospacing="0" w:after="180" w:afterAutospacing="0"/>
        <w:rPr>
          <w:rFonts w:ascii="Lato" w:hAnsi="Lato"/>
          <w:color w:val="2D3B45"/>
        </w:rPr>
      </w:pPr>
      <w:r>
        <w:rPr>
          <w:rFonts w:ascii="Lato" w:hAnsi="Lato"/>
          <w:color w:val="2D3B45"/>
        </w:rPr>
        <w:t>In exploring my practice change project, the following PICOT will be utilized: For Adults diagnosed with alcohol use disorder in an outpatient mental health clinic, does implementing nurse-led 1:1 CBT, impact CIWA scores compared to current practice over 8-10 weeks? The evidence-based intervention to be implemented is the CBT approach. By implementing the CBT approach for individuals with AUD in the outpatient setting, it is expected that these individuals will develop effective coping mechanisms and strategies to manage their withdrawal symptoms effectively (Chen et al., 2019). This intervention is expected to result in a reduction of the severity of withdrawal as evidenced in the reduction in the CIWA scores.</w:t>
      </w:r>
    </w:p>
    <w:p w14:paraId="4E45BA2E" w14:textId="77777777" w:rsidR="005C4EC8" w:rsidRDefault="005C4EC8" w:rsidP="005C4EC8">
      <w:pPr>
        <w:pStyle w:val="NormalWeb"/>
        <w:shd w:val="clear" w:color="auto" w:fill="FFFFFF"/>
        <w:spacing w:before="180" w:beforeAutospacing="0" w:after="180" w:afterAutospacing="0"/>
        <w:rPr>
          <w:rFonts w:ascii="Lato" w:hAnsi="Lato"/>
          <w:color w:val="2D3B45"/>
        </w:rPr>
      </w:pPr>
      <w:r>
        <w:rPr>
          <w:rFonts w:ascii="Lato" w:hAnsi="Lato"/>
          <w:color w:val="2D3B45"/>
        </w:rPr>
        <w:t>The participants for my proposed DNP practice change project involve adult patients diagnosed with alcohol use disorder who will be receiving treatment at the outpatient mental health clinic. After satisfying the inclusion and exclusion criteria, the participants will receive nurse-led 1:1 CBT intervention aimed at reducing CIWA scores over an 8-10-week period. The effectiveness of the intervention will be established by comparing the CIWA scores of the intervention group before and after the intervention. The participants will help in establishing the effectiveness of the nurse-led 1:1 CBT in improving outcomes for individuals with alcohol use disorder in outpatient settings.</w:t>
      </w:r>
    </w:p>
    <w:p w14:paraId="6404562B" w14:textId="77777777" w:rsidR="005C4EC8" w:rsidRDefault="005C4EC8" w:rsidP="005C4EC8">
      <w:pPr>
        <w:pStyle w:val="NormalWeb"/>
        <w:shd w:val="clear" w:color="auto" w:fill="FFFFFF"/>
        <w:spacing w:before="180" w:beforeAutospacing="0" w:after="180" w:afterAutospacing="0"/>
        <w:rPr>
          <w:rFonts w:ascii="Lato" w:hAnsi="Lato"/>
          <w:color w:val="2D3B45"/>
        </w:rPr>
      </w:pPr>
      <w:r>
        <w:rPr>
          <w:rFonts w:ascii="Lato" w:hAnsi="Lato"/>
          <w:color w:val="2D3B45"/>
        </w:rPr>
        <w:t xml:space="preserve">The involvement in the project is projected to have some benefits including potentially improving patient outcomes for their alcohol use disorder through the implementation of nurse-led 1:1 CBT. The involvement in the project is also expected to increase self-awareness and coping skills for managing alcohol use disorder. However, the involvement in the project might expose the participants to the risk of potential discomfort, in addition to the possibility of not experiencing the desired improvements. </w:t>
      </w:r>
      <w:r>
        <w:rPr>
          <w:rFonts w:ascii="Lato" w:hAnsi="Lato"/>
          <w:color w:val="2D3B45"/>
        </w:rPr>
        <w:lastRenderedPageBreak/>
        <w:t>Educating the participants regarding the intervention and what to expect will be significant in effectively identifying and addressing any arising challenges during the project implementation.</w:t>
      </w:r>
    </w:p>
    <w:p w14:paraId="156A9933" w14:textId="77777777" w:rsidR="005C4EC8" w:rsidRDefault="005C4EC8" w:rsidP="005C4EC8">
      <w:pPr>
        <w:pStyle w:val="NormalWeb"/>
        <w:shd w:val="clear" w:color="auto" w:fill="FFFFFF"/>
        <w:spacing w:before="180" w:beforeAutospacing="0" w:after="180" w:afterAutospacing="0"/>
        <w:rPr>
          <w:rFonts w:ascii="Lato" w:hAnsi="Lato"/>
          <w:color w:val="2D3B45"/>
        </w:rPr>
      </w:pPr>
      <w:r>
        <w:rPr>
          <w:rFonts w:ascii="Lato" w:hAnsi="Lato"/>
          <w:color w:val="2D3B45"/>
        </w:rPr>
        <w:t>During the implementation of the project, the protection of the human rights of the participants will be ensured by obtaining informed consent and ensuring the confidentiality of their personal information (Strini et al., 2021). The participants will also be provided with the option of withdrawing from the intervention at any time without any consequences. Additionally, the provision of the nurse-led CBT will follow the ethical guidelines and principles which will promote the wellbeing and autonomy of the participants. The project will adhere to the university's ethical requirements and comply with health institution regulations and site policies.</w:t>
      </w:r>
    </w:p>
    <w:p w14:paraId="3583EA62" w14:textId="77777777" w:rsidR="005C4EC8" w:rsidRDefault="005C4EC8" w:rsidP="005C4EC8">
      <w:pPr>
        <w:pStyle w:val="NormalWeb"/>
        <w:shd w:val="clear" w:color="auto" w:fill="FFFFFF"/>
        <w:spacing w:before="180" w:beforeAutospacing="0" w:after="180" w:afterAutospacing="0"/>
        <w:rPr>
          <w:rFonts w:ascii="Lato" w:hAnsi="Lato"/>
          <w:color w:val="2D3B45"/>
        </w:rPr>
      </w:pPr>
      <w:r>
        <w:rPr>
          <w:rStyle w:val="Strong"/>
          <w:rFonts w:ascii="Lato" w:eastAsiaTheme="majorEastAsia" w:hAnsi="Lato"/>
          <w:color w:val="2D3B45"/>
        </w:rPr>
        <w:t>                                                                                                                                      References</w:t>
      </w:r>
    </w:p>
    <w:p w14:paraId="20C37590" w14:textId="77777777" w:rsidR="005C4EC8" w:rsidRDefault="005C4EC8" w:rsidP="005C4EC8">
      <w:pPr>
        <w:pStyle w:val="NormalWeb"/>
        <w:shd w:val="clear" w:color="auto" w:fill="FFFFFF"/>
        <w:spacing w:before="0" w:beforeAutospacing="0" w:after="0" w:afterAutospacing="0"/>
        <w:rPr>
          <w:rFonts w:ascii="Lato" w:hAnsi="Lato"/>
          <w:color w:val="2D3B45"/>
        </w:rPr>
      </w:pPr>
      <w:r>
        <w:rPr>
          <w:rFonts w:ascii="Lato" w:hAnsi="Lato"/>
          <w:color w:val="2D3B45"/>
        </w:rPr>
        <w:t>Chen, J., Qian, M., Sun, C., Lin, M., &amp; Tang, W. (2019). Clinical effectiveness of cognitive behavioral therapy on alcohol-dependent patients: an observation with the WeChat platform. </w:t>
      </w:r>
      <w:r>
        <w:rPr>
          <w:rStyle w:val="Emphasis"/>
          <w:rFonts w:ascii="Lato" w:eastAsiaTheme="majorEastAsia" w:hAnsi="Lato"/>
          <w:color w:val="2D3B45"/>
        </w:rPr>
        <w:t>General psychiatry</w:t>
      </w:r>
      <w:r>
        <w:rPr>
          <w:rFonts w:ascii="Lato" w:hAnsi="Lato"/>
          <w:color w:val="2D3B45"/>
        </w:rPr>
        <w:t>, </w:t>
      </w:r>
      <w:r>
        <w:rPr>
          <w:rStyle w:val="Emphasis"/>
          <w:rFonts w:ascii="Lato" w:eastAsiaTheme="majorEastAsia" w:hAnsi="Lato"/>
          <w:color w:val="2D3B45"/>
        </w:rPr>
        <w:t>32</w:t>
      </w:r>
      <w:r>
        <w:rPr>
          <w:rFonts w:ascii="Lato" w:hAnsi="Lato"/>
          <w:color w:val="2D3B45"/>
        </w:rPr>
        <w:t>(5), e100087. </w:t>
      </w:r>
      <w:hyperlink r:id="rId7" w:tgtFrame="_blank" w:history="1">
        <w:r>
          <w:rPr>
            <w:rStyle w:val="Hyperlink"/>
            <w:rFonts w:ascii="Lato" w:eastAsiaTheme="majorEastAsia" w:hAnsi="Lato"/>
          </w:rPr>
          <w:t>https://doi.org/10.1136/gpsych-2019-100087</w:t>
        </w:r>
        <w:r>
          <w:rPr>
            <w:rStyle w:val="screenreader-only"/>
            <w:rFonts w:ascii="Lato" w:eastAsiaTheme="majorEastAsia" w:hAnsi="Lato"/>
            <w:color w:val="0000FF"/>
            <w:u w:val="single"/>
            <w:bdr w:val="none" w:sz="0" w:space="0" w:color="auto" w:frame="1"/>
          </w:rPr>
          <w:t>Links to an external site.</w:t>
        </w:r>
      </w:hyperlink>
    </w:p>
    <w:p w14:paraId="0581E57D" w14:textId="77777777" w:rsidR="005C4EC8" w:rsidRDefault="005C4EC8" w:rsidP="005C4EC8">
      <w:pPr>
        <w:pStyle w:val="NormalWeb"/>
        <w:shd w:val="clear" w:color="auto" w:fill="FFFFFF"/>
        <w:spacing w:before="0" w:beforeAutospacing="0" w:after="0" w:afterAutospacing="0"/>
        <w:rPr>
          <w:rFonts w:ascii="Lato" w:hAnsi="Lato"/>
          <w:color w:val="2D3B45"/>
        </w:rPr>
      </w:pPr>
      <w:r>
        <w:rPr>
          <w:rFonts w:ascii="Lato" w:hAnsi="Lato"/>
          <w:color w:val="2D3B45"/>
        </w:rPr>
        <w:t xml:space="preserve">Kools, N., Dekker, G. G., </w:t>
      </w:r>
      <w:proofErr w:type="spellStart"/>
      <w:r>
        <w:rPr>
          <w:rFonts w:ascii="Lato" w:hAnsi="Lato"/>
          <w:color w:val="2D3B45"/>
        </w:rPr>
        <w:t>Kaijen</w:t>
      </w:r>
      <w:proofErr w:type="spellEnd"/>
      <w:r>
        <w:rPr>
          <w:rFonts w:ascii="Lato" w:hAnsi="Lato"/>
          <w:color w:val="2D3B45"/>
        </w:rPr>
        <w:t xml:space="preserve">, B. A., </w:t>
      </w:r>
      <w:proofErr w:type="spellStart"/>
      <w:r>
        <w:rPr>
          <w:rFonts w:ascii="Lato" w:hAnsi="Lato"/>
          <w:color w:val="2D3B45"/>
        </w:rPr>
        <w:t>Meijboom</w:t>
      </w:r>
      <w:proofErr w:type="spellEnd"/>
      <w:r>
        <w:rPr>
          <w:rFonts w:ascii="Lato" w:hAnsi="Lato"/>
          <w:color w:val="2D3B45"/>
        </w:rPr>
        <w:t>, B. R., Bovens, R. H., &amp; Rozema, A. D. (2022). Interdisciplinary collaboration in the treatment of alcohol use disorders in a general hospital department: a mixed-method study. </w:t>
      </w:r>
      <w:r>
        <w:rPr>
          <w:rStyle w:val="Emphasis"/>
          <w:rFonts w:ascii="Lato" w:eastAsiaTheme="majorEastAsia" w:hAnsi="Lato"/>
          <w:color w:val="2D3B45"/>
        </w:rPr>
        <w:t>Substance abuse treatment, prevention, and policy</w:t>
      </w:r>
      <w:r>
        <w:rPr>
          <w:rFonts w:ascii="Lato" w:hAnsi="Lato"/>
          <w:color w:val="2D3B45"/>
        </w:rPr>
        <w:t>, </w:t>
      </w:r>
      <w:r>
        <w:rPr>
          <w:rStyle w:val="Emphasis"/>
          <w:rFonts w:ascii="Lato" w:eastAsiaTheme="majorEastAsia" w:hAnsi="Lato"/>
          <w:color w:val="2D3B45"/>
        </w:rPr>
        <w:t>17</w:t>
      </w:r>
      <w:r>
        <w:rPr>
          <w:rFonts w:ascii="Lato" w:hAnsi="Lato"/>
          <w:color w:val="2D3B45"/>
        </w:rPr>
        <w:t>(1), 59. </w:t>
      </w:r>
      <w:hyperlink r:id="rId8" w:tgtFrame="_blank" w:history="1">
        <w:r>
          <w:rPr>
            <w:rStyle w:val="Hyperlink"/>
            <w:rFonts w:ascii="Lato" w:eastAsiaTheme="majorEastAsia" w:hAnsi="Lato"/>
          </w:rPr>
          <w:t>https://doi.org/10.1186/s13011-022-00486-y</w:t>
        </w:r>
        <w:r>
          <w:rPr>
            <w:rStyle w:val="screenreader-only"/>
            <w:rFonts w:ascii="Lato" w:eastAsiaTheme="majorEastAsia" w:hAnsi="Lato"/>
            <w:color w:val="0000FF"/>
            <w:u w:val="single"/>
            <w:bdr w:val="none" w:sz="0" w:space="0" w:color="auto" w:frame="1"/>
          </w:rPr>
          <w:t>Links to an external site.</w:t>
        </w:r>
      </w:hyperlink>
    </w:p>
    <w:p w14:paraId="634DAD85" w14:textId="77777777" w:rsidR="005C4EC8" w:rsidRDefault="005C4EC8" w:rsidP="005C4EC8">
      <w:pPr>
        <w:pStyle w:val="NormalWeb"/>
        <w:shd w:val="clear" w:color="auto" w:fill="FFFFFF"/>
        <w:spacing w:before="0" w:beforeAutospacing="0" w:after="0" w:afterAutospacing="0"/>
        <w:rPr>
          <w:rFonts w:ascii="Lato" w:hAnsi="Lato"/>
          <w:color w:val="2D3B45"/>
        </w:rPr>
      </w:pPr>
      <w:r>
        <w:rPr>
          <w:rFonts w:ascii="Lato" w:hAnsi="Lato"/>
          <w:color w:val="2D3B45"/>
        </w:rPr>
        <w:t xml:space="preserve">Strini, V., </w:t>
      </w:r>
      <w:proofErr w:type="spellStart"/>
      <w:r>
        <w:rPr>
          <w:rFonts w:ascii="Lato" w:hAnsi="Lato"/>
          <w:color w:val="2D3B45"/>
        </w:rPr>
        <w:t>Schiavolin</w:t>
      </w:r>
      <w:proofErr w:type="spellEnd"/>
      <w:r>
        <w:rPr>
          <w:rFonts w:ascii="Lato" w:hAnsi="Lato"/>
          <w:color w:val="2D3B45"/>
        </w:rPr>
        <w:t xml:space="preserve">, R., &amp; </w:t>
      </w:r>
      <w:proofErr w:type="spellStart"/>
      <w:r>
        <w:rPr>
          <w:rFonts w:ascii="Lato" w:hAnsi="Lato"/>
          <w:color w:val="2D3B45"/>
        </w:rPr>
        <w:t>Prendin</w:t>
      </w:r>
      <w:proofErr w:type="spellEnd"/>
      <w:r>
        <w:rPr>
          <w:rFonts w:ascii="Lato" w:hAnsi="Lato"/>
          <w:color w:val="2D3B45"/>
        </w:rPr>
        <w:t>, A. (2021). The Role of the Nurse in Informed Consent to Treatments: An Observational-Descriptive Study in the Padua Hospital. </w:t>
      </w:r>
      <w:r>
        <w:rPr>
          <w:rStyle w:val="Emphasis"/>
          <w:rFonts w:ascii="Lato" w:eastAsiaTheme="majorEastAsia" w:hAnsi="Lato"/>
          <w:color w:val="2D3B45"/>
        </w:rPr>
        <w:t>Clinics and practice</w:t>
      </w:r>
      <w:r>
        <w:rPr>
          <w:rFonts w:ascii="Lato" w:hAnsi="Lato"/>
          <w:color w:val="2D3B45"/>
        </w:rPr>
        <w:t>, </w:t>
      </w:r>
      <w:r>
        <w:rPr>
          <w:rStyle w:val="Emphasis"/>
          <w:rFonts w:ascii="Lato" w:eastAsiaTheme="majorEastAsia" w:hAnsi="Lato"/>
          <w:color w:val="2D3B45"/>
        </w:rPr>
        <w:t>11</w:t>
      </w:r>
      <w:r>
        <w:rPr>
          <w:rFonts w:ascii="Lato" w:hAnsi="Lato"/>
          <w:color w:val="2D3B45"/>
        </w:rPr>
        <w:t>(3), 472–483. </w:t>
      </w:r>
      <w:hyperlink r:id="rId9" w:tgtFrame="_blank" w:history="1">
        <w:r>
          <w:rPr>
            <w:rStyle w:val="Hyperlink"/>
            <w:rFonts w:ascii="Lato" w:eastAsiaTheme="majorEastAsia" w:hAnsi="Lato"/>
          </w:rPr>
          <w:t>https://doi.org/10.3390/clinpract11030063</w:t>
        </w:r>
        <w:r>
          <w:rPr>
            <w:rStyle w:val="screenreader-only"/>
            <w:rFonts w:ascii="Lato" w:eastAsiaTheme="majorEastAsia" w:hAnsi="Lato"/>
            <w:color w:val="0000FF"/>
            <w:u w:val="single"/>
            <w:bdr w:val="none" w:sz="0" w:space="0" w:color="auto" w:frame="1"/>
          </w:rPr>
          <w:t>Links to an external site.</w:t>
        </w:r>
      </w:hyperlink>
    </w:p>
    <w:p w14:paraId="3606C19A" w14:textId="77777777" w:rsidR="005C4EC8" w:rsidRDefault="005C4EC8" w:rsidP="005C4EC8">
      <w:pPr>
        <w:pStyle w:val="NormalWeb"/>
        <w:shd w:val="clear" w:color="auto" w:fill="FFFFFF"/>
        <w:spacing w:before="0" w:beforeAutospacing="0" w:after="0" w:afterAutospacing="0"/>
        <w:rPr>
          <w:rFonts w:ascii="Lato" w:hAnsi="Lato"/>
          <w:color w:val="2D3B45"/>
        </w:rPr>
      </w:pPr>
      <w:r>
        <w:rPr>
          <w:rFonts w:ascii="Lato" w:hAnsi="Lato"/>
          <w:color w:val="2D3B45"/>
        </w:rPr>
        <w:t>Substance Abuse and Mental Health Services Administration (SAMHSA). (2022). </w:t>
      </w:r>
      <w:r>
        <w:rPr>
          <w:rStyle w:val="Emphasis"/>
          <w:rFonts w:ascii="Lato" w:eastAsiaTheme="majorEastAsia" w:hAnsi="Lato"/>
          <w:color w:val="2D3B45"/>
        </w:rPr>
        <w:t>Implementing Community-Level Policies to Prevent Alcohol Misuse</w:t>
      </w:r>
      <w:r>
        <w:rPr>
          <w:rFonts w:ascii="Lato" w:hAnsi="Lato"/>
          <w:color w:val="2D3B45"/>
        </w:rPr>
        <w:t>. SAMHSA Publication. </w:t>
      </w:r>
      <w:hyperlink r:id="rId10" w:tgtFrame="_blank" w:history="1">
        <w:r>
          <w:rPr>
            <w:rStyle w:val="Hyperlink"/>
            <w:rFonts w:ascii="Lato" w:eastAsiaTheme="majorEastAsia" w:hAnsi="Lato"/>
          </w:rPr>
          <w:t>https://store.samhsa.gov/sites/default/files/pep22-06-01-006.pdf</w:t>
        </w:r>
        <w:r>
          <w:rPr>
            <w:rStyle w:val="screenreader-only"/>
            <w:rFonts w:ascii="Lato" w:eastAsiaTheme="majorEastAsia" w:hAnsi="Lato"/>
            <w:color w:val="0000FF"/>
            <w:u w:val="single"/>
            <w:bdr w:val="none" w:sz="0" w:space="0" w:color="auto" w:frame="1"/>
          </w:rPr>
          <w:t>Links to an external site.</w:t>
        </w:r>
      </w:hyperlink>
    </w:p>
    <w:p w14:paraId="3C3DF535" w14:textId="77777777" w:rsidR="005C4EC8" w:rsidRDefault="005C4EC8" w:rsidP="005C4EC8">
      <w:pPr>
        <w:pStyle w:val="NormalWeb"/>
        <w:shd w:val="clear" w:color="auto" w:fill="FFFFFF"/>
        <w:spacing w:before="0" w:beforeAutospacing="0" w:after="0" w:afterAutospacing="0"/>
        <w:rPr>
          <w:rFonts w:ascii="Lato" w:hAnsi="Lato"/>
          <w:color w:val="2D3B45"/>
        </w:rPr>
      </w:pPr>
      <w:r>
        <w:rPr>
          <w:rFonts w:ascii="Lato" w:hAnsi="Lato"/>
          <w:color w:val="2D3B45"/>
        </w:rPr>
        <w:t>Zipperer, L., Ryan, R., &amp; Jones, B. (2022). Alcoholism and American healthcare: The case for a patient safety approach. </w:t>
      </w:r>
      <w:r>
        <w:rPr>
          <w:rStyle w:val="Emphasis"/>
          <w:rFonts w:ascii="Lato" w:eastAsiaTheme="majorEastAsia" w:hAnsi="Lato"/>
          <w:color w:val="2D3B45"/>
        </w:rPr>
        <w:t>Journal of Patient Safety and Risk Management</w:t>
      </w:r>
      <w:r>
        <w:rPr>
          <w:rFonts w:ascii="Lato" w:hAnsi="Lato"/>
          <w:color w:val="2D3B45"/>
        </w:rPr>
        <w:t>, </w:t>
      </w:r>
      <w:r>
        <w:rPr>
          <w:rStyle w:val="Emphasis"/>
          <w:rFonts w:ascii="Lato" w:eastAsiaTheme="majorEastAsia" w:hAnsi="Lato"/>
          <w:color w:val="2D3B45"/>
        </w:rPr>
        <w:t>27</w:t>
      </w:r>
      <w:r>
        <w:rPr>
          <w:rFonts w:ascii="Lato" w:hAnsi="Lato"/>
          <w:color w:val="2D3B45"/>
        </w:rPr>
        <w:t>(5), 201-208. </w:t>
      </w:r>
      <w:hyperlink r:id="rId11" w:tgtFrame="_blank" w:history="1">
        <w:r>
          <w:rPr>
            <w:rStyle w:val="Hyperlink"/>
            <w:rFonts w:ascii="Lato" w:eastAsiaTheme="majorEastAsia" w:hAnsi="Lato"/>
          </w:rPr>
          <w:t>https://doi.org/10.1177/25160435221117952</w:t>
        </w:r>
        <w:r>
          <w:rPr>
            <w:rStyle w:val="screenreader-only"/>
            <w:rFonts w:ascii="Lato" w:eastAsiaTheme="majorEastAsia" w:hAnsi="Lato"/>
            <w:color w:val="0000FF"/>
            <w:u w:val="single"/>
            <w:bdr w:val="none" w:sz="0" w:space="0" w:color="auto" w:frame="1"/>
          </w:rPr>
          <w:t>Links to an external site.</w:t>
        </w:r>
      </w:hyperlink>
    </w:p>
    <w:p w14:paraId="6E411D56" w14:textId="77777777" w:rsidR="005C4EC8" w:rsidRDefault="005C4EC8">
      <w:pPr>
        <w:rPr>
          <w:rFonts w:ascii="Lato" w:hAnsi="Lato"/>
          <w:b/>
          <w:bCs/>
          <w:color w:val="2D3B45"/>
          <w:sz w:val="42"/>
          <w:szCs w:val="42"/>
          <w:shd w:val="clear" w:color="auto" w:fill="FFFFFF"/>
        </w:rPr>
      </w:pPr>
    </w:p>
    <w:p w14:paraId="72191C98" w14:textId="77777777" w:rsidR="005C4EC8" w:rsidRDefault="005C4EC8">
      <w:pPr>
        <w:rPr>
          <w:rFonts w:ascii="Lato" w:hAnsi="Lato"/>
          <w:b/>
          <w:bCs/>
          <w:color w:val="2D3B45"/>
          <w:sz w:val="42"/>
          <w:szCs w:val="42"/>
          <w:shd w:val="clear" w:color="auto" w:fill="FFFFFF"/>
        </w:rPr>
      </w:pPr>
    </w:p>
    <w:p w14:paraId="46B0BA0F" w14:textId="77777777" w:rsidR="005C4EC8" w:rsidRDefault="005C4EC8"/>
    <w:p w14:paraId="725A0A47" w14:textId="77777777" w:rsidR="005C4EC8" w:rsidRDefault="005C4EC8"/>
    <w:sectPr w:rsidR="005C4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C8"/>
    <w:rsid w:val="005C4EC8"/>
    <w:rsid w:val="0067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4CCB9"/>
  <w15:chartTrackingRefBased/>
  <w15:docId w15:val="{7EE3095F-B060-4671-A753-2F73A7E4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E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E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E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E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E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E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E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E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E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E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E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E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EC8"/>
    <w:rPr>
      <w:rFonts w:eastAsiaTheme="majorEastAsia" w:cstheme="majorBidi"/>
      <w:color w:val="272727" w:themeColor="text1" w:themeTint="D8"/>
    </w:rPr>
  </w:style>
  <w:style w:type="paragraph" w:styleId="Title">
    <w:name w:val="Title"/>
    <w:basedOn w:val="Normal"/>
    <w:next w:val="Normal"/>
    <w:link w:val="TitleChar"/>
    <w:uiPriority w:val="10"/>
    <w:qFormat/>
    <w:rsid w:val="005C4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E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EC8"/>
    <w:pPr>
      <w:spacing w:before="160"/>
      <w:jc w:val="center"/>
    </w:pPr>
    <w:rPr>
      <w:i/>
      <w:iCs/>
      <w:color w:val="404040" w:themeColor="text1" w:themeTint="BF"/>
    </w:rPr>
  </w:style>
  <w:style w:type="character" w:customStyle="1" w:styleId="QuoteChar">
    <w:name w:val="Quote Char"/>
    <w:basedOn w:val="DefaultParagraphFont"/>
    <w:link w:val="Quote"/>
    <w:uiPriority w:val="29"/>
    <w:rsid w:val="005C4EC8"/>
    <w:rPr>
      <w:i/>
      <w:iCs/>
      <w:color w:val="404040" w:themeColor="text1" w:themeTint="BF"/>
    </w:rPr>
  </w:style>
  <w:style w:type="paragraph" w:styleId="ListParagraph">
    <w:name w:val="List Paragraph"/>
    <w:basedOn w:val="Normal"/>
    <w:uiPriority w:val="34"/>
    <w:qFormat/>
    <w:rsid w:val="005C4EC8"/>
    <w:pPr>
      <w:ind w:left="720"/>
      <w:contextualSpacing/>
    </w:pPr>
  </w:style>
  <w:style w:type="character" w:styleId="IntenseEmphasis">
    <w:name w:val="Intense Emphasis"/>
    <w:basedOn w:val="DefaultParagraphFont"/>
    <w:uiPriority w:val="21"/>
    <w:qFormat/>
    <w:rsid w:val="005C4EC8"/>
    <w:rPr>
      <w:i/>
      <w:iCs/>
      <w:color w:val="0F4761" w:themeColor="accent1" w:themeShade="BF"/>
    </w:rPr>
  </w:style>
  <w:style w:type="paragraph" w:styleId="IntenseQuote">
    <w:name w:val="Intense Quote"/>
    <w:basedOn w:val="Normal"/>
    <w:next w:val="Normal"/>
    <w:link w:val="IntenseQuoteChar"/>
    <w:uiPriority w:val="30"/>
    <w:qFormat/>
    <w:rsid w:val="005C4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EC8"/>
    <w:rPr>
      <w:i/>
      <w:iCs/>
      <w:color w:val="0F4761" w:themeColor="accent1" w:themeShade="BF"/>
    </w:rPr>
  </w:style>
  <w:style w:type="character" w:styleId="IntenseReference">
    <w:name w:val="Intense Reference"/>
    <w:basedOn w:val="DefaultParagraphFont"/>
    <w:uiPriority w:val="32"/>
    <w:qFormat/>
    <w:rsid w:val="005C4EC8"/>
    <w:rPr>
      <w:b/>
      <w:bCs/>
      <w:smallCaps/>
      <w:color w:val="0F4761" w:themeColor="accent1" w:themeShade="BF"/>
      <w:spacing w:val="5"/>
    </w:rPr>
  </w:style>
  <w:style w:type="paragraph" w:styleId="NormalWeb">
    <w:name w:val="Normal (Web)"/>
    <w:basedOn w:val="Normal"/>
    <w:uiPriority w:val="99"/>
    <w:semiHidden/>
    <w:unhideWhenUsed/>
    <w:rsid w:val="005C4EC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C4EC8"/>
    <w:rPr>
      <w:b/>
      <w:bCs/>
    </w:rPr>
  </w:style>
  <w:style w:type="character" w:styleId="Emphasis">
    <w:name w:val="Emphasis"/>
    <w:basedOn w:val="DefaultParagraphFont"/>
    <w:uiPriority w:val="20"/>
    <w:qFormat/>
    <w:rsid w:val="005C4EC8"/>
    <w:rPr>
      <w:i/>
      <w:iCs/>
    </w:rPr>
  </w:style>
  <w:style w:type="character" w:styleId="Hyperlink">
    <w:name w:val="Hyperlink"/>
    <w:basedOn w:val="DefaultParagraphFont"/>
    <w:uiPriority w:val="99"/>
    <w:semiHidden/>
    <w:unhideWhenUsed/>
    <w:rsid w:val="005C4EC8"/>
    <w:rPr>
      <w:color w:val="0000FF"/>
      <w:u w:val="single"/>
    </w:rPr>
  </w:style>
  <w:style w:type="character" w:customStyle="1" w:styleId="screenreader-only">
    <w:name w:val="screenreader-only"/>
    <w:basedOn w:val="DefaultParagraphFont"/>
    <w:rsid w:val="005C4EC8"/>
  </w:style>
  <w:style w:type="character" w:customStyle="1" w:styleId="postmention">
    <w:name w:val="post_mention"/>
    <w:basedOn w:val="DefaultParagraphFont"/>
    <w:rsid w:val="005C4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443429">
      <w:bodyDiv w:val="1"/>
      <w:marLeft w:val="0"/>
      <w:marRight w:val="0"/>
      <w:marTop w:val="0"/>
      <w:marBottom w:val="0"/>
      <w:divBdr>
        <w:top w:val="none" w:sz="0" w:space="0" w:color="auto"/>
        <w:left w:val="none" w:sz="0" w:space="0" w:color="auto"/>
        <w:bottom w:val="none" w:sz="0" w:space="0" w:color="auto"/>
        <w:right w:val="none" w:sz="0" w:space="0" w:color="auto"/>
      </w:divBdr>
    </w:div>
    <w:div w:id="145752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011-022-00486-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136/gpsych-2019-10008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1%2Fjamanetworkopen.2020.8279" TargetMode="External"/><Relationship Id="rId11" Type="http://schemas.openxmlformats.org/officeDocument/2006/relationships/hyperlink" Target="https://doi.org/10.1177/25160435221117952" TargetMode="External"/><Relationship Id="rId5" Type="http://schemas.openxmlformats.org/officeDocument/2006/relationships/hyperlink" Target="https://doi.org/10.1146/annurev-pharmtox-031323-115847" TargetMode="External"/><Relationship Id="rId10" Type="http://schemas.openxmlformats.org/officeDocument/2006/relationships/hyperlink" Target="https://store.samhsa.gov/sites/default/files/pep22-06-01-006.pdf" TargetMode="External"/><Relationship Id="rId4" Type="http://schemas.openxmlformats.org/officeDocument/2006/relationships/hyperlink" Target="https://doi.org/10.1007/s11469-021-00734-5" TargetMode="External"/><Relationship Id="rId9" Type="http://schemas.openxmlformats.org/officeDocument/2006/relationships/hyperlink" Target="https://doi.org/10.3390/clinpract11030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1472</Words>
  <Characters>9648</Characters>
  <Application>Microsoft Office Word</Application>
  <DocSecurity>0</DocSecurity>
  <Lines>155</Lines>
  <Paragraphs>28</Paragraphs>
  <ScaleCrop>false</ScaleCrop>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Doris Onyima</cp:lastModifiedBy>
  <cp:revision>1</cp:revision>
  <dcterms:created xsi:type="dcterms:W3CDTF">2024-11-07T23:24:00Z</dcterms:created>
  <dcterms:modified xsi:type="dcterms:W3CDTF">2024-11-07T23:33:00Z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0752d544-11de-4e1e-a942-7937a8effe4e</vt:lpwstr>
  </property>
</Properties>
</file>