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41A67" w14:textId="0C3A370A" w:rsidR="007E2FC1" w:rsidRPr="00F94306" w:rsidRDefault="002F7AD2" w:rsidP="001528F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ICN NP/APN Network and International Efforts to Decrease Healthcare Disparities</w:t>
      </w:r>
      <w:bookmarkStart w:id="0" w:name="_GoBack"/>
      <w:bookmarkEnd w:id="0"/>
    </w:p>
    <w:p w14:paraId="6451A277" w14:textId="77777777" w:rsidR="002F7AD2" w:rsidRDefault="00E661FB" w:rsidP="001528F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94306">
        <w:rPr>
          <w:rFonts w:ascii="Times New Roman" w:hAnsi="Times New Roman" w:cs="Times New Roman"/>
          <w:sz w:val="24"/>
          <w:szCs w:val="24"/>
        </w:rPr>
        <w:tab/>
      </w:r>
      <w:r w:rsidR="001528F6">
        <w:rPr>
          <w:rFonts w:ascii="Times New Roman" w:hAnsi="Times New Roman" w:cs="Times New Roman"/>
          <w:sz w:val="24"/>
          <w:szCs w:val="24"/>
        </w:rPr>
        <w:t>Advanced practice nurses</w:t>
      </w:r>
      <w:r w:rsidR="00FB2FA8" w:rsidRPr="00F94306">
        <w:rPr>
          <w:rFonts w:ascii="Times New Roman" w:hAnsi="Times New Roman" w:cs="Times New Roman"/>
          <w:sz w:val="24"/>
          <w:szCs w:val="24"/>
        </w:rPr>
        <w:t xml:space="preserve"> have</w:t>
      </w:r>
      <w:r w:rsidRPr="00F94306">
        <w:rPr>
          <w:rFonts w:ascii="Times New Roman" w:hAnsi="Times New Roman" w:cs="Times New Roman"/>
          <w:sz w:val="24"/>
          <w:szCs w:val="24"/>
        </w:rPr>
        <w:t xml:space="preserve"> major roles </w:t>
      </w:r>
      <w:r w:rsidR="00FB2FA8" w:rsidRPr="00F94306">
        <w:rPr>
          <w:rFonts w:ascii="Times New Roman" w:hAnsi="Times New Roman" w:cs="Times New Roman"/>
          <w:sz w:val="24"/>
          <w:szCs w:val="24"/>
        </w:rPr>
        <w:t>at all levels</w:t>
      </w:r>
      <w:r w:rsidRPr="00F94306">
        <w:rPr>
          <w:rFonts w:ascii="Times New Roman" w:hAnsi="Times New Roman" w:cs="Times New Roman"/>
          <w:sz w:val="24"/>
          <w:szCs w:val="24"/>
        </w:rPr>
        <w:t xml:space="preserve"> </w:t>
      </w:r>
      <w:r w:rsidR="00FB2FA8" w:rsidRPr="00F94306">
        <w:rPr>
          <w:rFonts w:ascii="Times New Roman" w:hAnsi="Times New Roman" w:cs="Times New Roman"/>
          <w:sz w:val="24"/>
          <w:szCs w:val="24"/>
        </w:rPr>
        <w:t>in reducing gaps</w:t>
      </w:r>
      <w:r w:rsidRPr="00F94306">
        <w:rPr>
          <w:rFonts w:ascii="Times New Roman" w:hAnsi="Times New Roman" w:cs="Times New Roman"/>
          <w:sz w:val="24"/>
          <w:szCs w:val="24"/>
        </w:rPr>
        <w:t xml:space="preserve"> in clinical outcomes</w:t>
      </w:r>
      <w:r w:rsidR="00FB2FA8" w:rsidRPr="00F94306">
        <w:rPr>
          <w:rFonts w:ascii="Times New Roman" w:hAnsi="Times New Roman" w:cs="Times New Roman"/>
          <w:sz w:val="24"/>
          <w:szCs w:val="24"/>
        </w:rPr>
        <w:t xml:space="preserve"> and improve healthcare equity, d</w:t>
      </w:r>
      <w:r w:rsidRPr="00F94306">
        <w:rPr>
          <w:rFonts w:ascii="Times New Roman" w:hAnsi="Times New Roman" w:cs="Times New Roman"/>
          <w:sz w:val="24"/>
          <w:szCs w:val="24"/>
        </w:rPr>
        <w:t xml:space="preserve">espite of the complex ethically challenges. </w:t>
      </w:r>
      <w:r w:rsidR="00FB2FA8" w:rsidRPr="00F94306">
        <w:rPr>
          <w:rFonts w:ascii="Times New Roman" w:hAnsi="Times New Roman" w:cs="Times New Roman"/>
          <w:sz w:val="24"/>
          <w:szCs w:val="24"/>
        </w:rPr>
        <w:t>Therefore, they must support patient</w:t>
      </w:r>
      <w:r w:rsidRPr="00F94306">
        <w:rPr>
          <w:rFonts w:ascii="Times New Roman" w:hAnsi="Times New Roman" w:cs="Times New Roman"/>
          <w:sz w:val="24"/>
          <w:szCs w:val="24"/>
        </w:rPr>
        <w:t xml:space="preserve"> participations irrespective of their education, language, racial or ethnic background</w:t>
      </w:r>
      <w:r w:rsidR="009E7E22">
        <w:rPr>
          <w:rFonts w:ascii="Times New Roman" w:hAnsi="Times New Roman" w:cs="Times New Roman"/>
          <w:sz w:val="24"/>
          <w:szCs w:val="24"/>
        </w:rPr>
        <w:t xml:space="preserve"> (Flaubert et al., 2021)</w:t>
      </w:r>
      <w:r w:rsidRPr="00F94306">
        <w:rPr>
          <w:rFonts w:ascii="Times New Roman" w:hAnsi="Times New Roman" w:cs="Times New Roman"/>
          <w:sz w:val="24"/>
          <w:szCs w:val="24"/>
        </w:rPr>
        <w:t>.</w:t>
      </w:r>
      <w:r w:rsidR="00FB2FA8" w:rsidRPr="00F94306">
        <w:rPr>
          <w:rFonts w:ascii="Times New Roman" w:hAnsi="Times New Roman" w:cs="Times New Roman"/>
          <w:sz w:val="24"/>
          <w:szCs w:val="24"/>
        </w:rPr>
        <w:t xml:space="preserve"> The International Council of Nurses</w:t>
      </w:r>
      <w:r w:rsidR="00CE1635" w:rsidRPr="00F94306">
        <w:rPr>
          <w:rFonts w:ascii="Times New Roman" w:hAnsi="Times New Roman" w:cs="Times New Roman"/>
          <w:sz w:val="24"/>
          <w:szCs w:val="24"/>
        </w:rPr>
        <w:t xml:space="preserve"> </w:t>
      </w:r>
      <w:r w:rsidR="001528F6">
        <w:rPr>
          <w:rFonts w:ascii="Times New Roman" w:hAnsi="Times New Roman" w:cs="Times New Roman"/>
          <w:sz w:val="24"/>
          <w:szCs w:val="24"/>
        </w:rPr>
        <w:t xml:space="preserve">(ICN) Nurse Practitioner/Advanced Practice Nurse Network (NP/APNN) offers an international resource for nurse practitioners and advanced nurses. The </w:t>
      </w:r>
      <w:r w:rsidR="00CE1635" w:rsidRPr="00F94306">
        <w:rPr>
          <w:rFonts w:ascii="Times New Roman" w:hAnsi="Times New Roman" w:cs="Times New Roman"/>
          <w:sz w:val="24"/>
          <w:szCs w:val="24"/>
        </w:rPr>
        <w:t xml:space="preserve">federation </w:t>
      </w:r>
      <w:r w:rsidR="001528F6">
        <w:rPr>
          <w:rFonts w:ascii="Times New Roman" w:hAnsi="Times New Roman" w:cs="Times New Roman"/>
          <w:sz w:val="24"/>
          <w:szCs w:val="24"/>
        </w:rPr>
        <w:t>has helped in linking nurses with other stakeholders in the healthcare sector, including regulators, health planners, policymakers, and educators at the international level</w:t>
      </w:r>
      <w:r w:rsidR="009B63C4">
        <w:rPr>
          <w:rFonts w:ascii="Times New Roman" w:hAnsi="Times New Roman" w:cs="Times New Roman"/>
          <w:sz w:val="24"/>
          <w:szCs w:val="24"/>
        </w:rPr>
        <w:t xml:space="preserve">. </w:t>
      </w:r>
      <w:r w:rsidR="001528F6">
        <w:rPr>
          <w:rFonts w:ascii="Times New Roman" w:hAnsi="Times New Roman" w:cs="Times New Roman"/>
          <w:sz w:val="24"/>
          <w:szCs w:val="24"/>
        </w:rPr>
        <w:t xml:space="preserve">The Network has been instrumental in making available relevant and timely </w:t>
      </w:r>
      <w:r w:rsidR="002F7AD2">
        <w:rPr>
          <w:rFonts w:ascii="Times New Roman" w:hAnsi="Times New Roman" w:cs="Times New Roman"/>
          <w:sz w:val="24"/>
          <w:szCs w:val="24"/>
        </w:rPr>
        <w:t>nursing-related information, providing a forum for knowledge and experience exchange, and supporting nurses in the introduction of NP or ANP practice and roles.</w:t>
      </w:r>
    </w:p>
    <w:p w14:paraId="31D9C5DF" w14:textId="5CF2E8C2" w:rsidR="007E3BEF" w:rsidRPr="00F94306" w:rsidRDefault="00F90A20" w:rsidP="002F7AD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international level, efforts have emerged to address health disparities for historically disadvantaged and marginalized populations. For example, international bodies</w:t>
      </w:r>
      <w:r w:rsidR="002F7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 been supporting the scaling up of health literacy interventions</w:t>
      </w:r>
      <w:r w:rsidR="002F7AD2">
        <w:rPr>
          <w:rFonts w:ascii="Times New Roman" w:hAnsi="Times New Roman" w:cs="Times New Roman"/>
          <w:sz w:val="24"/>
          <w:szCs w:val="24"/>
        </w:rPr>
        <w:t xml:space="preserve"> (World Health Organization, 2020)</w:t>
      </w:r>
      <w:r>
        <w:rPr>
          <w:rFonts w:ascii="Times New Roman" w:hAnsi="Times New Roman" w:cs="Times New Roman"/>
          <w:sz w:val="24"/>
          <w:szCs w:val="24"/>
        </w:rPr>
        <w:t>. In addition, efforts have emerged for the adoption of the decolonization process with the aim of addressing power imbalances between high- and low-income countries (</w:t>
      </w:r>
      <w:r w:rsidR="002F7AD2">
        <w:rPr>
          <w:rFonts w:ascii="Times New Roman" w:hAnsi="Times New Roman" w:cs="Times New Roman"/>
          <w:sz w:val="24"/>
          <w:szCs w:val="24"/>
        </w:rPr>
        <w:t>McCoy et al., 2024</w:t>
      </w:r>
      <w:r>
        <w:rPr>
          <w:rFonts w:ascii="Times New Roman" w:hAnsi="Times New Roman" w:cs="Times New Roman"/>
          <w:sz w:val="24"/>
          <w:szCs w:val="24"/>
        </w:rPr>
        <w:t xml:space="preserve">). For instance, this has involved calls and efforts to reduce the recruitment of healthcare professionals from low- and middle-income countries by high-income countries. </w:t>
      </w:r>
      <w:r w:rsidR="00D573CD">
        <w:rPr>
          <w:rFonts w:ascii="Times New Roman" w:hAnsi="Times New Roman" w:cs="Times New Roman"/>
          <w:sz w:val="24"/>
          <w:szCs w:val="24"/>
        </w:rPr>
        <w:t>In addition, many countries are adopting universal health coverage as a way of achieving sustainable development goals (</w:t>
      </w:r>
      <w:proofErr w:type="spellStart"/>
      <w:r w:rsidR="002F7AD2">
        <w:rPr>
          <w:rFonts w:ascii="Times New Roman" w:hAnsi="Times New Roman" w:cs="Times New Roman"/>
          <w:sz w:val="24"/>
          <w:szCs w:val="24"/>
        </w:rPr>
        <w:t>Ranabhat</w:t>
      </w:r>
      <w:proofErr w:type="spellEnd"/>
      <w:r w:rsidR="002F7AD2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D573CD">
        <w:rPr>
          <w:rFonts w:ascii="Times New Roman" w:hAnsi="Times New Roman" w:cs="Times New Roman"/>
          <w:sz w:val="24"/>
          <w:szCs w:val="24"/>
        </w:rPr>
        <w:t>). The efforts have involved allocating additional resources to enhance public health care and affording social health protecting for communities or individuals facing financial challenges in accessing care. C</w:t>
      </w:r>
      <w:r w:rsidR="00D573CD">
        <w:rPr>
          <w:rFonts w:ascii="Times New Roman" w:hAnsi="Times New Roman" w:cs="Times New Roman"/>
          <w:sz w:val="24"/>
          <w:szCs w:val="24"/>
        </w:rPr>
        <w:t xml:space="preserve">ommunity approaches have also emerged to empower some populations, for instance, indigenous groups, migrant workers, </w:t>
      </w:r>
      <w:r w:rsidR="00D573CD">
        <w:rPr>
          <w:rFonts w:ascii="Times New Roman" w:hAnsi="Times New Roman" w:cs="Times New Roman"/>
          <w:sz w:val="24"/>
          <w:szCs w:val="24"/>
        </w:rPr>
        <w:lastRenderedPageBreak/>
        <w:t>refugees, and hard-to-reach populations</w:t>
      </w:r>
      <w:r w:rsidR="00D573CD">
        <w:rPr>
          <w:rFonts w:ascii="Times New Roman" w:hAnsi="Times New Roman" w:cs="Times New Roman"/>
          <w:sz w:val="24"/>
          <w:szCs w:val="24"/>
        </w:rPr>
        <w:t xml:space="preserve"> in efforts aimed at UHC (</w:t>
      </w:r>
      <w:proofErr w:type="spellStart"/>
      <w:r w:rsidR="002F7AD2">
        <w:rPr>
          <w:rFonts w:ascii="Times New Roman" w:hAnsi="Times New Roman" w:cs="Times New Roman"/>
          <w:sz w:val="24"/>
          <w:szCs w:val="24"/>
        </w:rPr>
        <w:t>Tangcharoesathien</w:t>
      </w:r>
      <w:proofErr w:type="spellEnd"/>
      <w:r w:rsidR="002F7AD2">
        <w:rPr>
          <w:rFonts w:ascii="Times New Roman" w:hAnsi="Times New Roman" w:cs="Times New Roman"/>
          <w:sz w:val="24"/>
          <w:szCs w:val="24"/>
        </w:rPr>
        <w:t xml:space="preserve"> et al., 2024</w:t>
      </w:r>
      <w:r w:rsidR="00D573CD">
        <w:rPr>
          <w:rFonts w:ascii="Times New Roman" w:hAnsi="Times New Roman" w:cs="Times New Roman"/>
          <w:sz w:val="24"/>
          <w:szCs w:val="24"/>
        </w:rPr>
        <w:t xml:space="preserve">). The examples show some of the population wide efforts adopted at the international level to address inequalities. </w:t>
      </w:r>
    </w:p>
    <w:p w14:paraId="0A88BFAD" w14:textId="5D22CD58" w:rsidR="00880FEF" w:rsidRPr="00F94306" w:rsidRDefault="00A72868" w:rsidP="001528F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306">
        <w:rPr>
          <w:rFonts w:ascii="Times New Roman" w:hAnsi="Times New Roman" w:cs="Times New Roman"/>
          <w:b/>
          <w:sz w:val="24"/>
          <w:szCs w:val="24"/>
        </w:rPr>
        <w:t>Reference</w:t>
      </w:r>
      <w:r w:rsidR="00D573CD">
        <w:rPr>
          <w:rFonts w:ascii="Times New Roman" w:hAnsi="Times New Roman" w:cs="Times New Roman"/>
          <w:b/>
          <w:sz w:val="24"/>
          <w:szCs w:val="24"/>
        </w:rPr>
        <w:t>s</w:t>
      </w:r>
    </w:p>
    <w:p w14:paraId="5C29A003" w14:textId="77777777" w:rsidR="002F7AD2" w:rsidRPr="002F7AD2" w:rsidRDefault="002F7AD2" w:rsidP="002F7AD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F7A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Flaubert, J. L., Le </w:t>
      </w:r>
      <w:proofErr w:type="spellStart"/>
      <w:r w:rsidRPr="002F7A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Menestrel</w:t>
      </w:r>
      <w:proofErr w:type="spellEnd"/>
      <w:r w:rsidRPr="002F7A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S., Williams, D. R., Wakefield, M. K., &amp; National Academies of Sciences, Engineering, and Medicine. (2021). The Role of Nurses in Improving Health Care Access and Quality. In </w:t>
      </w:r>
      <w:proofErr w:type="gramStart"/>
      <w:r w:rsidRPr="002F7AD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</w:t>
      </w:r>
      <w:proofErr w:type="gramEnd"/>
      <w:r w:rsidRPr="002F7AD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Future of Nursing 2020-2030: Charting a Path to Achieve Health Equity</w:t>
      </w:r>
      <w:r w:rsidRPr="002F7A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National Academies Press (US).</w:t>
      </w:r>
      <w:r w:rsidRPr="002F7AD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2F7AD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https://www.ncbi.nlm.nih.gov/books/NBK573910/</w:t>
        </w:r>
      </w:hyperlink>
      <w:r w:rsidRPr="002F7A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43EC7792" w14:textId="77777777" w:rsidR="002F7AD2" w:rsidRPr="002F7AD2" w:rsidRDefault="002F7AD2" w:rsidP="002F7AD2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F7AD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McCoy, D., </w:t>
      </w:r>
      <w:proofErr w:type="spellStart"/>
      <w:r w:rsidRPr="002F7AD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Kapilashrami</w:t>
      </w:r>
      <w:proofErr w:type="spellEnd"/>
      <w:r w:rsidRPr="002F7AD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A., Kumar, R., </w:t>
      </w:r>
      <w:proofErr w:type="spellStart"/>
      <w:r w:rsidRPr="002F7AD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Rhule</w:t>
      </w:r>
      <w:proofErr w:type="spellEnd"/>
      <w:r w:rsidRPr="002F7AD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E., &amp; Khosla, R. (2024). Developing an agenda for the decolonization of global health. </w:t>
      </w:r>
      <w:r w:rsidRPr="002F7AD2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Bulletin of the World Health Organization</w:t>
      </w:r>
      <w:r w:rsidRPr="002F7AD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2F7AD2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102</w:t>
      </w:r>
      <w:r w:rsidRPr="002F7AD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(2), 130–136. </w:t>
      </w:r>
      <w:hyperlink r:id="rId5" w:history="1">
        <w:r w:rsidRPr="002F7AD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https://doi.org/10.2471/BLT.23.289949</w:t>
        </w:r>
      </w:hyperlink>
      <w:r w:rsidRPr="002F7AD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61B3E5C4" w14:textId="77777777" w:rsidR="002F7AD2" w:rsidRPr="002F7AD2" w:rsidRDefault="002F7AD2" w:rsidP="002F7AD2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2F7AD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Ranabhat</w:t>
      </w:r>
      <w:proofErr w:type="spellEnd"/>
      <w:r w:rsidRPr="002F7AD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C. L., Acharya, S. P., Adhikari, C., &amp; Kim, C. B. (2023). Universal health coverage evolution, ongoing trend, and future challenge: A conceptual and historical policy review. </w:t>
      </w:r>
      <w:r w:rsidRPr="002F7AD2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Frontiers in </w:t>
      </w:r>
      <w:r w:rsidRPr="002F7AD2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Public Health</w:t>
      </w:r>
      <w:r w:rsidRPr="002F7AD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2F7AD2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11</w:t>
      </w:r>
      <w:r w:rsidRPr="002F7AD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1041459. </w:t>
      </w:r>
      <w:hyperlink r:id="rId6" w:history="1">
        <w:r w:rsidRPr="002F7AD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https://doi.org/10.3389/fpubh.2023.1041459</w:t>
        </w:r>
      </w:hyperlink>
      <w:r w:rsidRPr="002F7AD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4D828637" w14:textId="77777777" w:rsidR="002F7AD2" w:rsidRPr="002F7AD2" w:rsidRDefault="002F7AD2" w:rsidP="002F7AD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F7AD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Tangcharoensathien</w:t>
      </w:r>
      <w:proofErr w:type="spellEnd"/>
      <w:r w:rsidRPr="002F7AD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V., </w:t>
      </w:r>
      <w:proofErr w:type="spellStart"/>
      <w:r w:rsidRPr="002F7AD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Lekagul</w:t>
      </w:r>
      <w:proofErr w:type="spellEnd"/>
      <w:r w:rsidRPr="002F7AD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A., &amp; Teo, Y. Y. (2024). Global health inequities: more challenges, some solutions. </w:t>
      </w:r>
      <w:r w:rsidRPr="002F7AD2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Bulletin of the World Health Organization</w:t>
      </w:r>
      <w:r w:rsidRPr="002F7AD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2F7AD2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102</w:t>
      </w:r>
      <w:r w:rsidRPr="002F7AD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(2), 86–86A. </w:t>
      </w:r>
      <w:hyperlink r:id="rId7" w:history="1">
        <w:r w:rsidRPr="002F7AD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https://doi.org/10.2471/BLT.24.291326</w:t>
        </w:r>
      </w:hyperlink>
      <w:r w:rsidRPr="002F7AD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2363C90B" w14:textId="77777777" w:rsidR="002F7AD2" w:rsidRPr="002F7AD2" w:rsidRDefault="002F7AD2" w:rsidP="002F7AD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F7AD2">
        <w:rPr>
          <w:rFonts w:ascii="Times New Roman" w:hAnsi="Times New Roman" w:cs="Times New Roman"/>
          <w:sz w:val="24"/>
          <w:szCs w:val="24"/>
        </w:rPr>
        <w:t xml:space="preserve">World Health Organization. (2020). </w:t>
      </w:r>
      <w:r w:rsidRPr="002F7AD2">
        <w:rPr>
          <w:rFonts w:ascii="Times New Roman" w:hAnsi="Times New Roman" w:cs="Times New Roman"/>
          <w:i/>
          <w:sz w:val="24"/>
          <w:szCs w:val="24"/>
        </w:rPr>
        <w:t>Optimizing health literacy: Improving health and reducing health inequalities.</w:t>
      </w:r>
      <w:r w:rsidRPr="002F7A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7AD2">
        <w:rPr>
          <w:rFonts w:ascii="Times New Roman" w:hAnsi="Times New Roman" w:cs="Times New Roman"/>
          <w:sz w:val="24"/>
          <w:szCs w:val="24"/>
        </w:rPr>
        <w:t>WHO.</w:t>
      </w:r>
      <w:proofErr w:type="gramEnd"/>
      <w:r w:rsidRPr="002F7AD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2F7AD2">
          <w:rPr>
            <w:rStyle w:val="Hyperlink"/>
            <w:rFonts w:ascii="Times New Roman" w:hAnsi="Times New Roman" w:cs="Times New Roman"/>
            <w:sz w:val="24"/>
            <w:szCs w:val="24"/>
          </w:rPr>
          <w:t>https://iris.who.int/bitstream/handle/10665/205594/B5147.pdf?sequence=1</w:t>
        </w:r>
      </w:hyperlink>
      <w:r w:rsidRPr="002F7AD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F7AD2" w:rsidRPr="002F7AD2" w:rsidSect="000F7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FB"/>
    <w:rsid w:val="000F7532"/>
    <w:rsid w:val="001528F6"/>
    <w:rsid w:val="001B09E5"/>
    <w:rsid w:val="002F7AD2"/>
    <w:rsid w:val="00325151"/>
    <w:rsid w:val="003A16A0"/>
    <w:rsid w:val="005315CE"/>
    <w:rsid w:val="00673BAB"/>
    <w:rsid w:val="007E3BEF"/>
    <w:rsid w:val="00880FEF"/>
    <w:rsid w:val="008A47D3"/>
    <w:rsid w:val="00920D2C"/>
    <w:rsid w:val="009B63C4"/>
    <w:rsid w:val="009E7E22"/>
    <w:rsid w:val="00A72868"/>
    <w:rsid w:val="00CE1635"/>
    <w:rsid w:val="00D573CD"/>
    <w:rsid w:val="00E661FB"/>
    <w:rsid w:val="00F90A20"/>
    <w:rsid w:val="00F94306"/>
    <w:rsid w:val="00FB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D609"/>
  <w15:docId w15:val="{4E1C89CC-390C-43A0-AD1A-DF0A4B6A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8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s.who.int/bitstream/handle/10665/205594/B5147.pdf?sequence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2471/BLT.24.291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89/fpubh.2023.1041459" TargetMode="External"/><Relationship Id="rId5" Type="http://schemas.openxmlformats.org/officeDocument/2006/relationships/hyperlink" Target="https://doi.org/10.2471/BLT.23.28994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ncbi.nlm.nih.gov/books/NBK57391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jbl</dc:creator>
  <cp:lastModifiedBy>Admin</cp:lastModifiedBy>
  <cp:revision>2</cp:revision>
  <dcterms:created xsi:type="dcterms:W3CDTF">2024-10-03T14:02:00Z</dcterms:created>
  <dcterms:modified xsi:type="dcterms:W3CDTF">2024-10-03T14:02:00Z</dcterms:modified>
</cp:coreProperties>
</file>