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CCE3" w14:textId="77777777" w:rsidR="004C3599" w:rsidRPr="00532556" w:rsidRDefault="004C3599" w:rsidP="004C3599">
      <w:pPr>
        <w:spacing w:after="0" w:line="480" w:lineRule="auto"/>
        <w:rPr>
          <w:rFonts w:ascii="Arial" w:hAnsi="Arial" w:cs="Arial"/>
          <w:sz w:val="24"/>
          <w:szCs w:val="24"/>
        </w:rPr>
      </w:pPr>
    </w:p>
    <w:p w14:paraId="44AB20D1" w14:textId="77777777" w:rsidR="004C3599" w:rsidRPr="00532556" w:rsidRDefault="004C3599" w:rsidP="004C3599">
      <w:pPr>
        <w:spacing w:after="0" w:line="480" w:lineRule="auto"/>
        <w:rPr>
          <w:rFonts w:ascii="Arial" w:hAnsi="Arial" w:cs="Arial"/>
          <w:sz w:val="24"/>
          <w:szCs w:val="24"/>
        </w:rPr>
      </w:pPr>
    </w:p>
    <w:p w14:paraId="7416D19B" w14:textId="77777777" w:rsidR="004C3599" w:rsidRPr="00532556" w:rsidRDefault="004C3599" w:rsidP="004C3599">
      <w:pPr>
        <w:spacing w:after="0" w:line="480" w:lineRule="auto"/>
        <w:rPr>
          <w:rFonts w:ascii="Arial" w:hAnsi="Arial" w:cs="Arial"/>
          <w:sz w:val="24"/>
          <w:szCs w:val="24"/>
        </w:rPr>
      </w:pPr>
    </w:p>
    <w:p w14:paraId="2A7425CA" w14:textId="77777777" w:rsidR="004C3599" w:rsidRPr="00532556" w:rsidRDefault="004C3599" w:rsidP="004C3599">
      <w:pPr>
        <w:spacing w:after="0" w:line="480" w:lineRule="auto"/>
        <w:rPr>
          <w:rFonts w:ascii="Times New Roman" w:hAnsi="Times New Roman" w:cs="Times New Roman"/>
          <w:sz w:val="24"/>
          <w:szCs w:val="24"/>
        </w:rPr>
      </w:pPr>
    </w:p>
    <w:p w14:paraId="44DA813C" w14:textId="77777777" w:rsidR="004C3599" w:rsidRPr="00532556" w:rsidRDefault="004C3599" w:rsidP="004C3599">
      <w:pPr>
        <w:spacing w:after="0" w:line="480" w:lineRule="auto"/>
        <w:jc w:val="center"/>
        <w:rPr>
          <w:rFonts w:ascii="Times New Roman" w:hAnsi="Times New Roman" w:cs="Times New Roman"/>
          <w:sz w:val="24"/>
          <w:szCs w:val="24"/>
        </w:rPr>
      </w:pPr>
    </w:p>
    <w:p w14:paraId="0D9CC63F" w14:textId="77777777" w:rsidR="004C3599" w:rsidRPr="00532556" w:rsidRDefault="004C3599" w:rsidP="004C3599">
      <w:pPr>
        <w:spacing w:after="0" w:line="480" w:lineRule="auto"/>
        <w:jc w:val="center"/>
        <w:rPr>
          <w:rFonts w:ascii="Times New Roman" w:hAnsi="Times New Roman" w:cs="Times New Roman"/>
          <w:sz w:val="24"/>
          <w:szCs w:val="24"/>
        </w:rPr>
      </w:pPr>
    </w:p>
    <w:p w14:paraId="526E247F" w14:textId="77777777" w:rsidR="004C3599" w:rsidRPr="00532556" w:rsidRDefault="004C3599" w:rsidP="004C3599">
      <w:pPr>
        <w:spacing w:after="0" w:line="480" w:lineRule="auto"/>
        <w:jc w:val="center"/>
        <w:rPr>
          <w:rFonts w:ascii="Times New Roman" w:eastAsia="Times New Roman" w:hAnsi="Times New Roman" w:cs="Times New Roman"/>
          <w:b/>
          <w:bCs/>
          <w:sz w:val="24"/>
          <w:szCs w:val="24"/>
        </w:rPr>
      </w:pPr>
      <w:r w:rsidRPr="00532556">
        <w:rPr>
          <w:rFonts w:ascii="Times New Roman" w:eastAsia="Times New Roman" w:hAnsi="Times New Roman" w:cs="Times New Roman"/>
          <w:b/>
          <w:bCs/>
          <w:sz w:val="24"/>
          <w:szCs w:val="24"/>
        </w:rPr>
        <w:t>Simulated DNP Evidence-based Project and Professional Leadership Capacity</w:t>
      </w:r>
    </w:p>
    <w:p w14:paraId="667AEC28" w14:textId="77777777" w:rsidR="004C3599" w:rsidRPr="00532556" w:rsidRDefault="004C3599" w:rsidP="004C3599">
      <w:pPr>
        <w:spacing w:after="0" w:line="480" w:lineRule="auto"/>
        <w:jc w:val="center"/>
        <w:rPr>
          <w:rFonts w:ascii="Times New Roman" w:hAnsi="Times New Roman" w:cs="Times New Roman"/>
          <w:sz w:val="24"/>
          <w:szCs w:val="24"/>
        </w:rPr>
      </w:pPr>
    </w:p>
    <w:p w14:paraId="14C2BA70" w14:textId="77777777" w:rsidR="004C3599" w:rsidRPr="00532556" w:rsidRDefault="004C3599" w:rsidP="004C3599">
      <w:pPr>
        <w:spacing w:after="0" w:line="480" w:lineRule="auto"/>
        <w:jc w:val="center"/>
        <w:rPr>
          <w:rFonts w:ascii="Times New Roman" w:hAnsi="Times New Roman" w:cs="Times New Roman"/>
          <w:sz w:val="24"/>
          <w:szCs w:val="24"/>
        </w:rPr>
      </w:pPr>
      <w:r w:rsidRPr="00532556">
        <w:rPr>
          <w:rFonts w:ascii="Times New Roman" w:hAnsi="Times New Roman" w:cs="Times New Roman"/>
          <w:sz w:val="24"/>
          <w:szCs w:val="24"/>
        </w:rPr>
        <w:t>Your Name</w:t>
      </w:r>
    </w:p>
    <w:p w14:paraId="0D77107D" w14:textId="77777777" w:rsidR="004C3599" w:rsidRPr="00532556" w:rsidRDefault="004C3599" w:rsidP="004C3599">
      <w:pPr>
        <w:spacing w:after="0" w:line="480" w:lineRule="auto"/>
        <w:jc w:val="center"/>
        <w:rPr>
          <w:rFonts w:ascii="Times New Roman" w:hAnsi="Times New Roman" w:cs="Times New Roman"/>
          <w:sz w:val="24"/>
          <w:szCs w:val="24"/>
        </w:rPr>
      </w:pPr>
      <w:r w:rsidRPr="00532556">
        <w:rPr>
          <w:rFonts w:ascii="Times New Roman" w:hAnsi="Times New Roman" w:cs="Times New Roman"/>
          <w:sz w:val="24"/>
          <w:szCs w:val="24"/>
        </w:rPr>
        <w:t>Chamberlain College of Nursing</w:t>
      </w:r>
    </w:p>
    <w:p w14:paraId="2BC04EEC" w14:textId="77777777" w:rsidR="004C3599" w:rsidRPr="00532556" w:rsidRDefault="004C3599" w:rsidP="004C3599">
      <w:pPr>
        <w:spacing w:after="0" w:line="480" w:lineRule="auto"/>
        <w:jc w:val="center"/>
        <w:rPr>
          <w:rFonts w:ascii="Times New Roman" w:hAnsi="Times New Roman" w:cs="Times New Roman"/>
          <w:sz w:val="24"/>
          <w:szCs w:val="24"/>
        </w:rPr>
      </w:pPr>
      <w:r w:rsidRPr="00532556">
        <w:rPr>
          <w:rFonts w:ascii="Times New Roman" w:hAnsi="Times New Roman" w:cs="Times New Roman"/>
          <w:sz w:val="24"/>
          <w:szCs w:val="24"/>
        </w:rPr>
        <w:t>NR703: Applied Organizational &amp; Leadership Concepts</w:t>
      </w:r>
    </w:p>
    <w:p w14:paraId="0BA08077" w14:textId="77777777" w:rsidR="004C3599" w:rsidRPr="00532556" w:rsidRDefault="004C3599" w:rsidP="004C3599">
      <w:pPr>
        <w:spacing w:after="0" w:line="480" w:lineRule="auto"/>
        <w:jc w:val="center"/>
        <w:rPr>
          <w:rFonts w:ascii="Times New Roman" w:hAnsi="Times New Roman" w:cs="Times New Roman"/>
          <w:sz w:val="24"/>
          <w:szCs w:val="24"/>
        </w:rPr>
      </w:pPr>
      <w:r w:rsidRPr="00532556">
        <w:rPr>
          <w:rFonts w:ascii="Times New Roman" w:hAnsi="Times New Roman" w:cs="Times New Roman"/>
          <w:sz w:val="24"/>
          <w:szCs w:val="24"/>
        </w:rPr>
        <w:t>Session Month and Year</w:t>
      </w:r>
    </w:p>
    <w:p w14:paraId="276D08B5" w14:textId="77777777" w:rsidR="004C3599" w:rsidRPr="00532556" w:rsidRDefault="004C3599" w:rsidP="004C3599">
      <w:pPr>
        <w:rPr>
          <w:rFonts w:ascii="Times New Roman" w:hAnsi="Times New Roman" w:cs="Times New Roman"/>
          <w:sz w:val="24"/>
          <w:szCs w:val="24"/>
        </w:rPr>
      </w:pPr>
      <w:r w:rsidRPr="00532556">
        <w:rPr>
          <w:rFonts w:ascii="Times New Roman" w:hAnsi="Times New Roman" w:cs="Times New Roman"/>
          <w:sz w:val="24"/>
          <w:szCs w:val="24"/>
        </w:rPr>
        <w:br w:type="page"/>
      </w:r>
    </w:p>
    <w:p w14:paraId="1CF3D96E" w14:textId="77777777" w:rsidR="004C3599" w:rsidRPr="00532556" w:rsidRDefault="004C3599" w:rsidP="004C3599">
      <w:pPr>
        <w:spacing w:after="0" w:line="480" w:lineRule="auto"/>
        <w:jc w:val="center"/>
        <w:rPr>
          <w:rFonts w:ascii="Times New Roman" w:hAnsi="Times New Roman" w:cs="Times New Roman"/>
          <w:sz w:val="24"/>
          <w:szCs w:val="24"/>
        </w:rPr>
      </w:pPr>
      <w:r w:rsidRPr="00532556">
        <w:rPr>
          <w:rFonts w:ascii="Times New Roman" w:eastAsia="Times New Roman" w:hAnsi="Times New Roman" w:cs="Times New Roman"/>
          <w:b/>
          <w:bCs/>
          <w:sz w:val="24"/>
          <w:szCs w:val="24"/>
        </w:rPr>
        <w:lastRenderedPageBreak/>
        <w:t>Simulated DNP Evidence-based Project and Professional Leadership Capacity</w:t>
      </w:r>
    </w:p>
    <w:p w14:paraId="51E903FD" w14:textId="27A17D30" w:rsidR="004C3599" w:rsidRPr="00532556" w:rsidRDefault="004C3599" w:rsidP="004C3599">
      <w:pPr>
        <w:spacing w:after="0" w:line="480" w:lineRule="auto"/>
        <w:ind w:firstLine="720"/>
        <w:rPr>
          <w:rFonts w:ascii="Times New Roman" w:hAnsi="Times New Roman" w:cs="Times New Roman"/>
          <w:sz w:val="24"/>
          <w:szCs w:val="24"/>
        </w:rPr>
      </w:pPr>
    </w:p>
    <w:p w14:paraId="734ACF22" w14:textId="77777777" w:rsidR="004C3599" w:rsidRPr="00532556" w:rsidRDefault="004C3599" w:rsidP="004C3599">
      <w:pPr>
        <w:spacing w:after="0" w:line="480" w:lineRule="auto"/>
        <w:jc w:val="center"/>
        <w:rPr>
          <w:rFonts w:ascii="Times New Roman" w:hAnsi="Times New Roman" w:cs="Times New Roman"/>
          <w:b/>
          <w:sz w:val="24"/>
          <w:szCs w:val="24"/>
        </w:rPr>
      </w:pPr>
      <w:r w:rsidRPr="00532556">
        <w:rPr>
          <w:rFonts w:ascii="Times New Roman" w:hAnsi="Times New Roman" w:cs="Times New Roman"/>
          <w:b/>
          <w:bCs/>
          <w:sz w:val="24"/>
          <w:szCs w:val="24"/>
        </w:rPr>
        <w:t>Organizational Needs Assessment</w:t>
      </w:r>
    </w:p>
    <w:p w14:paraId="17F93D78" w14:textId="432EDEA6" w:rsidR="004C3599" w:rsidRPr="005207E1" w:rsidRDefault="004C3599" w:rsidP="004C3599">
      <w:pPr>
        <w:spacing w:after="0" w:line="480" w:lineRule="auto"/>
        <w:rPr>
          <w:rFonts w:ascii="Times New Roman" w:hAnsi="Times New Roman" w:cs="Times New Roman"/>
          <w:sz w:val="24"/>
          <w:szCs w:val="24"/>
        </w:rPr>
      </w:pPr>
      <w:r w:rsidRPr="00532556">
        <w:rPr>
          <w:rFonts w:ascii="Times New Roman" w:hAnsi="Times New Roman" w:cs="Times New Roman"/>
          <w:sz w:val="24"/>
          <w:szCs w:val="24"/>
        </w:rPr>
        <w:tab/>
        <w:t xml:space="preserve"> </w:t>
      </w:r>
      <w:r w:rsidR="005207E1">
        <w:rPr>
          <w:rFonts w:ascii="Times New Roman" w:hAnsi="Times New Roman" w:cs="Times New Roman"/>
          <w:sz w:val="24"/>
          <w:szCs w:val="24"/>
        </w:rPr>
        <w:t xml:space="preserve">A focused </w:t>
      </w:r>
      <w:r w:rsidR="004159AB">
        <w:rPr>
          <w:rFonts w:ascii="Times New Roman" w:hAnsi="Times New Roman" w:cs="Times New Roman"/>
          <w:sz w:val="24"/>
          <w:szCs w:val="24"/>
        </w:rPr>
        <w:t xml:space="preserve">approach to identifying specific gaps in practice within healthcare organization is essential to the implementation of quality improvement (QI) projects for </w:t>
      </w:r>
      <w:r w:rsidR="005207E1">
        <w:rPr>
          <w:rFonts w:ascii="Times New Roman" w:hAnsi="Times New Roman" w:cs="Times New Roman"/>
          <w:sz w:val="24"/>
          <w:szCs w:val="24"/>
        </w:rPr>
        <w:t xml:space="preserve">transformative change. As observed by </w:t>
      </w:r>
      <w:proofErr w:type="spellStart"/>
      <w:r w:rsidR="005207E1" w:rsidRPr="00224E09">
        <w:rPr>
          <w:rFonts w:ascii="Times New Roman" w:hAnsi="Times New Roman" w:cs="Times New Roman"/>
          <w:sz w:val="24"/>
          <w:szCs w:val="24"/>
        </w:rPr>
        <w:t>Livergant</w:t>
      </w:r>
      <w:proofErr w:type="spellEnd"/>
      <w:r w:rsidR="005207E1" w:rsidRPr="00224E09">
        <w:rPr>
          <w:rFonts w:ascii="Times New Roman" w:hAnsi="Times New Roman" w:cs="Times New Roman"/>
          <w:sz w:val="24"/>
          <w:szCs w:val="24"/>
        </w:rPr>
        <w:t xml:space="preserve"> et al. (2021</w:t>
      </w:r>
      <w:r w:rsidR="005207E1">
        <w:rPr>
          <w:rFonts w:ascii="Times New Roman" w:hAnsi="Times New Roman" w:cs="Times New Roman"/>
          <w:sz w:val="24"/>
          <w:szCs w:val="24"/>
        </w:rPr>
        <w:t xml:space="preserve">), an organizational needs assessment </w:t>
      </w:r>
      <w:r w:rsidR="004159AB">
        <w:rPr>
          <w:rFonts w:ascii="Times New Roman" w:hAnsi="Times New Roman" w:cs="Times New Roman"/>
          <w:sz w:val="24"/>
          <w:szCs w:val="24"/>
        </w:rPr>
        <w:t xml:space="preserve">guides QI projects by mapping the current practices against the expected practices, leading to the prioritization of specific areas that require change. In this section, the paper discusses the findings of the Organizational Needs Assessment conducted, highlighting the inadequacies in fall prevention at the practicum site. As such, it maps the problem as identified by the key stakeholders and summarizes the practice gap identified from the Organizational Needs Assessment. In addition, it includes the formulated practice question that would be addressed through the QI project. </w:t>
      </w:r>
    </w:p>
    <w:p w14:paraId="4FB7F0A5" w14:textId="00DFA9F7"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 xml:space="preserve">Problem </w:t>
      </w:r>
    </w:p>
    <w:p w14:paraId="5E97D1CA" w14:textId="447A1EDC" w:rsidR="004C3599" w:rsidRDefault="004C3599" w:rsidP="004C3599">
      <w:pPr>
        <w:spacing w:after="0" w:line="480" w:lineRule="auto"/>
        <w:rPr>
          <w:rFonts w:ascii="Times New Roman" w:hAnsi="Times New Roman" w:cs="Times New Roman"/>
          <w:sz w:val="24"/>
          <w:szCs w:val="24"/>
        </w:rPr>
      </w:pPr>
      <w:r w:rsidRPr="007168F7">
        <w:rPr>
          <w:rFonts w:ascii="Times New Roman" w:hAnsi="Times New Roman" w:cs="Times New Roman"/>
          <w:sz w:val="24"/>
          <w:szCs w:val="24"/>
        </w:rPr>
        <w:tab/>
      </w:r>
      <w:bookmarkStart w:id="0" w:name="_Hlk126164567"/>
      <w:r w:rsidR="007168F7" w:rsidRPr="007168F7">
        <w:rPr>
          <w:rFonts w:ascii="Times New Roman" w:hAnsi="Times New Roman" w:cs="Times New Roman"/>
          <w:sz w:val="24"/>
          <w:szCs w:val="24"/>
        </w:rPr>
        <w:t>Inpatient</w:t>
      </w:r>
      <w:r w:rsidR="007168F7">
        <w:rPr>
          <w:rFonts w:ascii="Times New Roman" w:hAnsi="Times New Roman" w:cs="Times New Roman"/>
          <w:sz w:val="24"/>
          <w:szCs w:val="24"/>
        </w:rPr>
        <w:t xml:space="preserve"> falls remain a global problem, despite continued fall prevention efforts. While the problem is widely studied among geriatric patients, evidence shows that psychiatric patients have a high risk of falls. Indeed, </w:t>
      </w:r>
      <w:r w:rsidR="00224E09">
        <w:rPr>
          <w:rFonts w:ascii="Times New Roman" w:hAnsi="Times New Roman" w:cs="Times New Roman"/>
          <w:sz w:val="24"/>
          <w:szCs w:val="24"/>
        </w:rPr>
        <w:t xml:space="preserve">Carpels et al. (2022) </w:t>
      </w:r>
      <w:r w:rsidR="007168F7">
        <w:rPr>
          <w:rFonts w:ascii="Times New Roman" w:hAnsi="Times New Roman" w:cs="Times New Roman"/>
          <w:sz w:val="24"/>
          <w:szCs w:val="24"/>
        </w:rPr>
        <w:t xml:space="preserve">reported higher falls in psychiatric settings (13-25 falls per 1,000 patient days) compared to general surgical or medical settings (3-4 falls per 1,000 hospital days). Based on data from the National Database of Nursing Quality Indicators, </w:t>
      </w:r>
      <w:r w:rsidR="00224E09">
        <w:rPr>
          <w:rFonts w:ascii="Times New Roman" w:hAnsi="Times New Roman" w:cs="Times New Roman"/>
          <w:sz w:val="24"/>
          <w:szCs w:val="24"/>
        </w:rPr>
        <w:t xml:space="preserve">Turner et al. (2020) </w:t>
      </w:r>
      <w:r w:rsidR="007168F7">
        <w:rPr>
          <w:rFonts w:ascii="Times New Roman" w:hAnsi="Times New Roman" w:cs="Times New Roman"/>
          <w:sz w:val="24"/>
          <w:szCs w:val="24"/>
        </w:rPr>
        <w:t xml:space="preserve">found a total fall rate of 8.55 per 1,000 patient days </w:t>
      </w:r>
      <w:r w:rsidR="00203640">
        <w:rPr>
          <w:rFonts w:ascii="Times New Roman" w:hAnsi="Times New Roman" w:cs="Times New Roman"/>
          <w:sz w:val="24"/>
          <w:szCs w:val="24"/>
        </w:rPr>
        <w:t>an injurious fall rate of 1.97 per 1,000 patient days across</w:t>
      </w:r>
      <w:r w:rsidR="007168F7">
        <w:rPr>
          <w:rFonts w:ascii="Times New Roman" w:hAnsi="Times New Roman" w:cs="Times New Roman"/>
          <w:sz w:val="24"/>
          <w:szCs w:val="24"/>
        </w:rPr>
        <w:t xml:space="preserve"> psychiatric settings </w:t>
      </w:r>
      <w:r w:rsidR="00203640">
        <w:rPr>
          <w:rFonts w:ascii="Times New Roman" w:hAnsi="Times New Roman" w:cs="Times New Roman"/>
          <w:sz w:val="24"/>
          <w:szCs w:val="24"/>
        </w:rPr>
        <w:t>in the United States. Mental health disorders such as schizophrenia, psychosis, and depression and the use of psychotropic medications increase fall risk significantly</w:t>
      </w:r>
      <w:r w:rsidR="009600A0">
        <w:rPr>
          <w:rFonts w:ascii="Times New Roman" w:hAnsi="Times New Roman" w:cs="Times New Roman"/>
          <w:sz w:val="24"/>
          <w:szCs w:val="24"/>
        </w:rPr>
        <w:t xml:space="preserve"> (</w:t>
      </w:r>
      <w:proofErr w:type="spellStart"/>
      <w:r w:rsidR="00224E09">
        <w:rPr>
          <w:rFonts w:ascii="Times New Roman" w:hAnsi="Times New Roman" w:cs="Times New Roman"/>
          <w:sz w:val="24"/>
          <w:szCs w:val="24"/>
        </w:rPr>
        <w:t>Seeherunwong</w:t>
      </w:r>
      <w:proofErr w:type="spellEnd"/>
      <w:r w:rsidR="00224E09">
        <w:rPr>
          <w:rFonts w:ascii="Times New Roman" w:hAnsi="Times New Roman" w:cs="Times New Roman"/>
          <w:sz w:val="24"/>
          <w:szCs w:val="24"/>
        </w:rPr>
        <w:t xml:space="preserve"> et al., 2022</w:t>
      </w:r>
      <w:r w:rsidR="009600A0">
        <w:rPr>
          <w:rFonts w:ascii="Times New Roman" w:hAnsi="Times New Roman" w:cs="Times New Roman"/>
          <w:sz w:val="24"/>
          <w:szCs w:val="24"/>
        </w:rPr>
        <w:t>)</w:t>
      </w:r>
      <w:r w:rsidR="00203640">
        <w:rPr>
          <w:rFonts w:ascii="Times New Roman" w:hAnsi="Times New Roman" w:cs="Times New Roman"/>
          <w:sz w:val="24"/>
          <w:szCs w:val="24"/>
        </w:rPr>
        <w:t xml:space="preserve">. Evidence shows </w:t>
      </w:r>
      <w:r w:rsidR="00203640">
        <w:rPr>
          <w:rFonts w:ascii="Times New Roman" w:hAnsi="Times New Roman" w:cs="Times New Roman"/>
          <w:sz w:val="24"/>
          <w:szCs w:val="24"/>
        </w:rPr>
        <w:lastRenderedPageBreak/>
        <w:t>inconsistent use multifactorial falls risk assessment (MFRA) tools, inadequate staff training, and lack of standardized fall prevention protocols in psychiatric settings</w:t>
      </w:r>
      <w:r w:rsidR="008A63FD">
        <w:rPr>
          <w:rFonts w:ascii="Times New Roman" w:hAnsi="Times New Roman" w:cs="Times New Roman"/>
          <w:sz w:val="24"/>
          <w:szCs w:val="24"/>
        </w:rPr>
        <w:t xml:space="preserve"> </w:t>
      </w:r>
      <w:r w:rsidR="00203640">
        <w:rPr>
          <w:rFonts w:ascii="Times New Roman" w:hAnsi="Times New Roman" w:cs="Times New Roman"/>
          <w:sz w:val="24"/>
          <w:szCs w:val="24"/>
        </w:rPr>
        <w:t>(</w:t>
      </w:r>
      <w:r w:rsidR="008A63FD">
        <w:rPr>
          <w:rFonts w:ascii="Times New Roman" w:hAnsi="Times New Roman" w:cs="Times New Roman"/>
          <w:sz w:val="24"/>
          <w:szCs w:val="24"/>
        </w:rPr>
        <w:t>Alvarado et al., 2023</w:t>
      </w:r>
      <w:r w:rsidR="00203640">
        <w:rPr>
          <w:rFonts w:ascii="Times New Roman" w:hAnsi="Times New Roman" w:cs="Times New Roman"/>
          <w:sz w:val="24"/>
          <w:szCs w:val="24"/>
        </w:rPr>
        <w:t>;</w:t>
      </w:r>
      <w:r w:rsidR="008A63FD">
        <w:rPr>
          <w:rFonts w:ascii="Times New Roman" w:hAnsi="Times New Roman" w:cs="Times New Roman"/>
          <w:sz w:val="24"/>
          <w:szCs w:val="24"/>
        </w:rPr>
        <w:t xml:space="preserve"> Li et al., 2023</w:t>
      </w:r>
      <w:r w:rsidR="00203640">
        <w:rPr>
          <w:rFonts w:ascii="Times New Roman" w:hAnsi="Times New Roman" w:cs="Times New Roman"/>
          <w:sz w:val="24"/>
          <w:szCs w:val="24"/>
        </w:rPr>
        <w:t>). Consequently, the factors hinder effective fall prevention in psychiatric settings.</w:t>
      </w:r>
    </w:p>
    <w:p w14:paraId="7940E9AF" w14:textId="77E55295" w:rsidR="00203640" w:rsidRPr="007168F7" w:rsidRDefault="00F05278" w:rsidP="004C3599">
      <w:pPr>
        <w:spacing w:after="0" w:line="480" w:lineRule="auto"/>
        <w:rPr>
          <w:rFonts w:ascii="Times New Roman" w:hAnsi="Times New Roman" w:cs="Times New Roman"/>
          <w:bCs/>
          <w:sz w:val="24"/>
          <w:szCs w:val="24"/>
        </w:rPr>
      </w:pPr>
      <w:r>
        <w:rPr>
          <w:rFonts w:ascii="Times New Roman" w:hAnsi="Times New Roman" w:cs="Times New Roman"/>
          <w:sz w:val="24"/>
          <w:szCs w:val="24"/>
        </w:rPr>
        <w:tab/>
        <w:t xml:space="preserve">Consistently, the practicum site, a large inpatient psychiatric and behavioral health unit, has continuously grappled with falls, with recorded rates rarely falling to zero. The psychiatric unit has often used a hierarchical decision-making approach, with the administration responsible for approving changes. As such, the clinical staff has inadequate autonomy in selecting programs or interventions to implement, especially those that may require significant financial resources. The inadequate input from clinical staff has contributed to the ongoing challenge where the fall prevention strategies have not been updated for a long period. </w:t>
      </w:r>
      <w:r w:rsidR="00E03034">
        <w:rPr>
          <w:rFonts w:ascii="Times New Roman" w:hAnsi="Times New Roman" w:cs="Times New Roman"/>
          <w:sz w:val="24"/>
          <w:szCs w:val="24"/>
        </w:rPr>
        <w:t xml:space="preserve">However, an organization-wide discussion with all decision-makers and clinicians led to the consensus that the unit required a new approach to reducing falls incidence. </w:t>
      </w:r>
    </w:p>
    <w:bookmarkEnd w:id="0"/>
    <w:p w14:paraId="01582926" w14:textId="45415CD2"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Practice Gap</w:t>
      </w:r>
    </w:p>
    <w:p w14:paraId="2E2F4676" w14:textId="1B7A9C8C"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ab/>
      </w:r>
      <w:r w:rsidRPr="00532556">
        <w:rPr>
          <w:rFonts w:ascii="Times New Roman" w:hAnsi="Times New Roman" w:cs="Times New Roman"/>
          <w:bCs/>
          <w:sz w:val="24"/>
          <w:szCs w:val="24"/>
        </w:rPr>
        <w:t xml:space="preserve"> </w:t>
      </w:r>
      <w:r w:rsidR="00E03034">
        <w:rPr>
          <w:rFonts w:ascii="Times New Roman" w:hAnsi="Times New Roman" w:cs="Times New Roman"/>
          <w:bCs/>
          <w:sz w:val="24"/>
          <w:szCs w:val="24"/>
        </w:rPr>
        <w:t xml:space="preserve">As Table 1 illustrates, the practicum site has not updated its fall prevention strategies for more than 10 years. Patient involvement and use of multidisciplinary teams also remain inadequate. In addition, the site has not offered any formal fall prevention training to the staff. Compounding the problem is the inconsistent use of falls risk assessment, with many frontline clinicians lacking knowledge about the existing tools that they could use for the psychiatric population. Discussions with the stakeholders led to the agreement that </w:t>
      </w:r>
      <w:r w:rsidR="00D71AF5">
        <w:rPr>
          <w:rFonts w:ascii="Times New Roman" w:hAnsi="Times New Roman" w:cs="Times New Roman"/>
          <w:bCs/>
          <w:sz w:val="24"/>
          <w:szCs w:val="24"/>
        </w:rPr>
        <w:t>embedding a</w:t>
      </w:r>
      <w:r w:rsidR="00E03034">
        <w:rPr>
          <w:rFonts w:ascii="Times New Roman" w:hAnsi="Times New Roman" w:cs="Times New Roman"/>
          <w:bCs/>
          <w:sz w:val="24"/>
          <w:szCs w:val="24"/>
        </w:rPr>
        <w:t xml:space="preserve"> single falls risk assessment tool</w:t>
      </w:r>
      <w:r w:rsidR="00D71AF5">
        <w:rPr>
          <w:rFonts w:ascii="Times New Roman" w:hAnsi="Times New Roman" w:cs="Times New Roman"/>
          <w:bCs/>
          <w:sz w:val="24"/>
          <w:szCs w:val="24"/>
        </w:rPr>
        <w:t xml:space="preserve"> into an updated standardized operating procedure for fall prevention (FP-SOP),</w:t>
      </w:r>
      <w:r w:rsidR="00E03034">
        <w:rPr>
          <w:rFonts w:ascii="Times New Roman" w:hAnsi="Times New Roman" w:cs="Times New Roman"/>
          <w:bCs/>
          <w:sz w:val="24"/>
          <w:szCs w:val="24"/>
        </w:rPr>
        <w:t xml:space="preserve"> expanding staff training, and</w:t>
      </w:r>
      <w:r w:rsidR="00D71AF5">
        <w:rPr>
          <w:rFonts w:ascii="Times New Roman" w:hAnsi="Times New Roman" w:cs="Times New Roman"/>
          <w:bCs/>
          <w:sz w:val="24"/>
          <w:szCs w:val="24"/>
        </w:rPr>
        <w:t xml:space="preserve"> providing continuous patient education w</w:t>
      </w:r>
      <w:r w:rsidR="00E03034">
        <w:rPr>
          <w:rFonts w:ascii="Times New Roman" w:hAnsi="Times New Roman" w:cs="Times New Roman"/>
          <w:bCs/>
          <w:sz w:val="24"/>
          <w:szCs w:val="24"/>
        </w:rPr>
        <w:t xml:space="preserve">ould benefit the patient population. </w:t>
      </w:r>
    </w:p>
    <w:p w14:paraId="66AEE46C" w14:textId="55034935"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 xml:space="preserve">Practice Question </w:t>
      </w:r>
    </w:p>
    <w:p w14:paraId="5E7DFA7B" w14:textId="7A1C5EC7" w:rsidR="004C3599" w:rsidRPr="00532556" w:rsidRDefault="004C3599" w:rsidP="004C3599">
      <w:pPr>
        <w:spacing w:after="0" w:line="480" w:lineRule="auto"/>
        <w:contextualSpacing/>
        <w:rPr>
          <w:rFonts w:ascii="Times New Roman" w:hAnsi="Times New Roman" w:cs="Times New Roman"/>
          <w:bCs/>
          <w:sz w:val="24"/>
          <w:szCs w:val="24"/>
        </w:rPr>
      </w:pPr>
      <w:r w:rsidRPr="00532556">
        <w:rPr>
          <w:rFonts w:ascii="Times New Roman" w:hAnsi="Times New Roman" w:cs="Times New Roman"/>
          <w:b/>
          <w:sz w:val="24"/>
          <w:szCs w:val="24"/>
        </w:rPr>
        <w:lastRenderedPageBreak/>
        <w:tab/>
      </w:r>
    </w:p>
    <w:p w14:paraId="21FF30C7" w14:textId="3697EED2" w:rsidR="004C3599" w:rsidRPr="00532556" w:rsidRDefault="004C3599" w:rsidP="004C3599">
      <w:pPr>
        <w:pStyle w:val="ListParagraph"/>
        <w:numPr>
          <w:ilvl w:val="0"/>
          <w:numId w:val="1"/>
        </w:numPr>
        <w:spacing w:after="0" w:line="480" w:lineRule="auto"/>
        <w:rPr>
          <w:rFonts w:ascii="Times New Roman" w:hAnsi="Times New Roman" w:cs="Times New Roman"/>
          <w:bCs/>
          <w:sz w:val="24"/>
          <w:szCs w:val="24"/>
        </w:rPr>
      </w:pPr>
      <w:r w:rsidRPr="00532556">
        <w:rPr>
          <w:rFonts w:ascii="Times New Roman" w:eastAsia="Times New Roman" w:hAnsi="Times New Roman" w:cs="Times New Roman"/>
          <w:sz w:val="24"/>
          <w:szCs w:val="24"/>
        </w:rPr>
        <w:t xml:space="preserve">Population: </w:t>
      </w:r>
      <w:r w:rsidR="004224D2">
        <w:rPr>
          <w:rFonts w:ascii="Times New Roman" w:eastAsia="Times New Roman" w:hAnsi="Times New Roman" w:cs="Times New Roman"/>
          <w:sz w:val="24"/>
          <w:szCs w:val="24"/>
        </w:rPr>
        <w:t>Adult inpatients with mental health disorders admitted at the psychiatric and behavioral health unit – The project targets an adult population of patients admitted at the unit with confirmed diagnoses of serious mental illness, emphasizing schizophrenia, depression, and psychosis.</w:t>
      </w:r>
    </w:p>
    <w:p w14:paraId="55FF11F1" w14:textId="3B9401A5" w:rsidR="004C3599" w:rsidRPr="00532556" w:rsidRDefault="004C3599" w:rsidP="004C3599">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532556">
        <w:rPr>
          <w:rFonts w:ascii="Times New Roman" w:eastAsia="Times New Roman" w:hAnsi="Times New Roman" w:cs="Times New Roman"/>
          <w:sz w:val="24"/>
          <w:szCs w:val="24"/>
        </w:rPr>
        <w:t xml:space="preserve">Intervention: </w:t>
      </w:r>
      <w:r w:rsidR="004224D2">
        <w:rPr>
          <w:rFonts w:ascii="Times New Roman" w:eastAsia="Times New Roman" w:hAnsi="Times New Roman" w:cs="Times New Roman"/>
          <w:sz w:val="24"/>
          <w:szCs w:val="24"/>
        </w:rPr>
        <w:t>Standardized operating procedure for fall prevention (FP-SOP)</w:t>
      </w:r>
      <w:r w:rsidR="009259E1">
        <w:rPr>
          <w:rFonts w:ascii="Times New Roman" w:eastAsia="Times New Roman" w:hAnsi="Times New Roman" w:cs="Times New Roman"/>
          <w:sz w:val="24"/>
          <w:szCs w:val="24"/>
        </w:rPr>
        <w:t xml:space="preserve"> incorporating </w:t>
      </w:r>
      <w:r w:rsidR="004224D2">
        <w:rPr>
          <w:rFonts w:ascii="Times New Roman" w:eastAsia="Times New Roman" w:hAnsi="Times New Roman" w:cs="Times New Roman"/>
          <w:sz w:val="24"/>
          <w:szCs w:val="24"/>
        </w:rPr>
        <w:t>the</w:t>
      </w:r>
      <w:r w:rsidR="009600A0">
        <w:rPr>
          <w:rFonts w:ascii="Times New Roman" w:eastAsia="Times New Roman" w:hAnsi="Times New Roman" w:cs="Times New Roman"/>
          <w:sz w:val="24"/>
          <w:szCs w:val="24"/>
        </w:rPr>
        <w:t xml:space="preserve"> Wilson Sims</w:t>
      </w:r>
      <w:r w:rsidR="004224D2">
        <w:rPr>
          <w:rFonts w:ascii="Times New Roman" w:eastAsia="Times New Roman" w:hAnsi="Times New Roman" w:cs="Times New Roman"/>
          <w:sz w:val="24"/>
          <w:szCs w:val="24"/>
        </w:rPr>
        <w:t xml:space="preserve"> Fall Risk Assessment </w:t>
      </w:r>
      <w:r w:rsidR="00D71AF5">
        <w:rPr>
          <w:rFonts w:ascii="Times New Roman" w:eastAsia="Times New Roman" w:hAnsi="Times New Roman" w:cs="Times New Roman"/>
          <w:sz w:val="24"/>
          <w:szCs w:val="24"/>
        </w:rPr>
        <w:t>Tool (</w:t>
      </w:r>
      <w:r w:rsidR="009600A0">
        <w:rPr>
          <w:rFonts w:ascii="Times New Roman" w:eastAsia="Times New Roman" w:hAnsi="Times New Roman" w:cs="Times New Roman"/>
          <w:sz w:val="24"/>
          <w:szCs w:val="24"/>
        </w:rPr>
        <w:t>WS</w:t>
      </w:r>
      <w:r w:rsidR="00D71AF5">
        <w:rPr>
          <w:rFonts w:ascii="Times New Roman" w:eastAsia="Times New Roman" w:hAnsi="Times New Roman" w:cs="Times New Roman"/>
          <w:sz w:val="24"/>
          <w:szCs w:val="24"/>
        </w:rPr>
        <w:t xml:space="preserve">FRAT), clinician training, and patient education. </w:t>
      </w:r>
      <w:r w:rsidR="008A63FD">
        <w:rPr>
          <w:rFonts w:ascii="Times New Roman" w:eastAsia="Times New Roman" w:hAnsi="Times New Roman" w:cs="Times New Roman"/>
          <w:sz w:val="24"/>
          <w:szCs w:val="24"/>
        </w:rPr>
        <w:t xml:space="preserve">Wong et al. (2021) </w:t>
      </w:r>
      <w:r w:rsidR="009600A0">
        <w:rPr>
          <w:rFonts w:ascii="Times New Roman" w:eastAsia="Times New Roman" w:hAnsi="Times New Roman" w:cs="Times New Roman"/>
          <w:sz w:val="24"/>
          <w:szCs w:val="24"/>
        </w:rPr>
        <w:t xml:space="preserve">found WSFRAT effective in identifying psychiatric inpatients at high risk of falls. In addition, evidence shows </w:t>
      </w:r>
      <w:r w:rsidR="009259E1">
        <w:rPr>
          <w:rFonts w:ascii="Times New Roman" w:eastAsia="Times New Roman" w:hAnsi="Times New Roman" w:cs="Times New Roman"/>
          <w:sz w:val="24"/>
          <w:szCs w:val="24"/>
        </w:rPr>
        <w:t>that structured patient education and staff training could significantly reduce fall rates (</w:t>
      </w:r>
      <w:r w:rsidR="008A63FD">
        <w:rPr>
          <w:rFonts w:ascii="Times New Roman" w:eastAsia="Times New Roman" w:hAnsi="Times New Roman" w:cs="Times New Roman"/>
          <w:sz w:val="24"/>
          <w:szCs w:val="24"/>
        </w:rPr>
        <w:t xml:space="preserve">Li et al., 2023; Naseri et al., 2021; </w:t>
      </w:r>
      <w:proofErr w:type="spellStart"/>
      <w:r w:rsidR="008A63FD">
        <w:rPr>
          <w:rFonts w:ascii="Times New Roman" w:eastAsia="Times New Roman" w:hAnsi="Times New Roman" w:cs="Times New Roman"/>
          <w:sz w:val="24"/>
          <w:szCs w:val="24"/>
        </w:rPr>
        <w:t>Valieiny</w:t>
      </w:r>
      <w:proofErr w:type="spellEnd"/>
      <w:r w:rsidR="008A63FD">
        <w:rPr>
          <w:rFonts w:ascii="Times New Roman" w:eastAsia="Times New Roman" w:hAnsi="Times New Roman" w:cs="Times New Roman"/>
          <w:sz w:val="24"/>
          <w:szCs w:val="24"/>
        </w:rPr>
        <w:t xml:space="preserve"> et al., 2023</w:t>
      </w:r>
      <w:r w:rsidR="009259E1">
        <w:rPr>
          <w:rFonts w:ascii="Times New Roman" w:eastAsia="Times New Roman" w:hAnsi="Times New Roman" w:cs="Times New Roman"/>
          <w:sz w:val="24"/>
          <w:szCs w:val="24"/>
        </w:rPr>
        <w:t xml:space="preserve">).  </w:t>
      </w:r>
    </w:p>
    <w:p w14:paraId="3560279D" w14:textId="2124A224" w:rsidR="004C3599" w:rsidRPr="00532556" w:rsidRDefault="004C3599" w:rsidP="004C3599">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532556">
        <w:rPr>
          <w:rFonts w:ascii="Times New Roman" w:eastAsia="Times New Roman" w:hAnsi="Times New Roman" w:cs="Times New Roman"/>
          <w:sz w:val="24"/>
          <w:szCs w:val="24"/>
        </w:rPr>
        <w:t xml:space="preserve">Comparison: </w:t>
      </w:r>
      <w:r w:rsidR="009259E1">
        <w:rPr>
          <w:rFonts w:ascii="Times New Roman" w:eastAsia="Times New Roman" w:hAnsi="Times New Roman" w:cs="Times New Roman"/>
          <w:sz w:val="24"/>
          <w:szCs w:val="24"/>
        </w:rPr>
        <w:t>Compared to current practice involving no structured falls risk assessment tools, clinician training, or structured patient education.</w:t>
      </w:r>
    </w:p>
    <w:p w14:paraId="44DC7C70" w14:textId="3B20A7BE" w:rsidR="004C3599" w:rsidRPr="00532556" w:rsidRDefault="004C3599" w:rsidP="004C3599">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532556">
        <w:rPr>
          <w:rFonts w:ascii="Times New Roman" w:eastAsia="Times New Roman" w:hAnsi="Times New Roman" w:cs="Times New Roman"/>
          <w:sz w:val="24"/>
          <w:szCs w:val="24"/>
        </w:rPr>
        <w:t xml:space="preserve">Outcome: </w:t>
      </w:r>
      <w:r w:rsidR="009259E1">
        <w:rPr>
          <w:rFonts w:ascii="Times New Roman" w:eastAsia="Times New Roman" w:hAnsi="Times New Roman" w:cs="Times New Roman"/>
          <w:sz w:val="24"/>
          <w:szCs w:val="24"/>
        </w:rPr>
        <w:t xml:space="preserve">Reduction of fall rates – The outcome of interest is a reduction of fall rates among hospitalized patients. As revealed in Table 2, using </w:t>
      </w:r>
      <w:r w:rsidR="004A6E4A">
        <w:rPr>
          <w:rFonts w:ascii="Times New Roman" w:eastAsia="Times New Roman" w:hAnsi="Times New Roman" w:cs="Times New Roman"/>
          <w:sz w:val="24"/>
          <w:szCs w:val="24"/>
        </w:rPr>
        <w:t>MFRA in combination with other prevention strategies could significantly reduce fall rates in inpatient psychiatric settings (</w:t>
      </w:r>
      <w:r w:rsidR="008A63FD">
        <w:rPr>
          <w:rFonts w:ascii="Times New Roman" w:eastAsia="Times New Roman" w:hAnsi="Times New Roman" w:cs="Times New Roman"/>
          <w:sz w:val="24"/>
          <w:szCs w:val="24"/>
        </w:rPr>
        <w:t>Li et al., 2023; Naseri et al., 2021</w:t>
      </w:r>
      <w:r w:rsidR="004A6E4A">
        <w:rPr>
          <w:rFonts w:ascii="Times New Roman" w:eastAsia="Times New Roman" w:hAnsi="Times New Roman" w:cs="Times New Roman"/>
          <w:sz w:val="24"/>
          <w:szCs w:val="24"/>
        </w:rPr>
        <w:t xml:space="preserve">). </w:t>
      </w:r>
    </w:p>
    <w:p w14:paraId="599EBCB0" w14:textId="67DC1AD3" w:rsidR="004C3599" w:rsidRPr="00532556" w:rsidRDefault="004C3599" w:rsidP="004C3599">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532556">
        <w:rPr>
          <w:rFonts w:ascii="Times New Roman" w:eastAsia="Times New Roman" w:hAnsi="Times New Roman" w:cs="Times New Roman"/>
          <w:sz w:val="24"/>
          <w:szCs w:val="24"/>
        </w:rPr>
        <w:t xml:space="preserve">Time: </w:t>
      </w:r>
      <w:r w:rsidR="009259E1">
        <w:rPr>
          <w:rFonts w:ascii="Times New Roman" w:eastAsia="Times New Roman" w:hAnsi="Times New Roman" w:cs="Times New Roman"/>
          <w:sz w:val="24"/>
          <w:szCs w:val="24"/>
        </w:rPr>
        <w:t>8 weeks</w:t>
      </w:r>
    </w:p>
    <w:p w14:paraId="39B98A46" w14:textId="454D25B3" w:rsidR="004C3599" w:rsidRPr="00532556" w:rsidRDefault="004C3599" w:rsidP="004C3599">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532556">
        <w:rPr>
          <w:rFonts w:ascii="Times New Roman" w:eastAsia="Times New Roman" w:hAnsi="Times New Roman" w:cs="Times New Roman"/>
          <w:sz w:val="24"/>
          <w:szCs w:val="24"/>
        </w:rPr>
        <w:t xml:space="preserve">State the Practice Question: </w:t>
      </w:r>
      <w:r w:rsidR="009259E1">
        <w:rPr>
          <w:rFonts w:ascii="Times New Roman" w:eastAsia="Times New Roman" w:hAnsi="Times New Roman" w:cs="Times New Roman"/>
          <w:sz w:val="24"/>
          <w:szCs w:val="24"/>
        </w:rPr>
        <w:t>Among adult inpatients with serious mental illness at the psychiatric and behavioral health unit (P), will the implementation of FP-SOP incorporating WSFRAT, clinician training, and structured patient education (I), compared to the current practice (C), reduce fall rates (O) within 8 weeks?</w:t>
      </w:r>
    </w:p>
    <w:p w14:paraId="1DFA6D35" w14:textId="77777777" w:rsidR="004C3599" w:rsidRPr="00532556" w:rsidRDefault="004C3599" w:rsidP="004C3599">
      <w:pPr>
        <w:spacing w:after="0" w:line="480" w:lineRule="auto"/>
        <w:jc w:val="center"/>
        <w:rPr>
          <w:rFonts w:ascii="Times New Roman" w:hAnsi="Times New Roman" w:cs="Times New Roman"/>
          <w:b/>
          <w:bCs/>
          <w:sz w:val="24"/>
          <w:szCs w:val="24"/>
        </w:rPr>
      </w:pPr>
      <w:r w:rsidRPr="00532556">
        <w:rPr>
          <w:rFonts w:ascii="Times New Roman" w:hAnsi="Times New Roman" w:cs="Times New Roman"/>
          <w:b/>
          <w:bCs/>
          <w:sz w:val="24"/>
          <w:szCs w:val="24"/>
        </w:rPr>
        <w:t>Leading the Practice-Change Project</w:t>
      </w:r>
    </w:p>
    <w:p w14:paraId="2B3C5290" w14:textId="5128AFAD" w:rsidR="004C3599" w:rsidRPr="00532556" w:rsidRDefault="004C3599" w:rsidP="004C3599">
      <w:pPr>
        <w:spacing w:after="0" w:line="480" w:lineRule="auto"/>
        <w:rPr>
          <w:rFonts w:ascii="Times New Roman" w:hAnsi="Times New Roman" w:cs="Times New Roman"/>
          <w:sz w:val="24"/>
          <w:szCs w:val="24"/>
        </w:rPr>
      </w:pPr>
      <w:r w:rsidRPr="00532556">
        <w:rPr>
          <w:rFonts w:ascii="Times New Roman" w:hAnsi="Times New Roman" w:cs="Times New Roman"/>
          <w:sz w:val="24"/>
          <w:szCs w:val="24"/>
        </w:rPr>
        <w:lastRenderedPageBreak/>
        <w:tab/>
        <w:t xml:space="preserve"> </w:t>
      </w:r>
      <w:r w:rsidR="004A6E4A">
        <w:rPr>
          <w:rFonts w:ascii="Times New Roman" w:hAnsi="Times New Roman" w:cs="Times New Roman"/>
          <w:sz w:val="24"/>
          <w:szCs w:val="24"/>
        </w:rPr>
        <w:t xml:space="preserve">Leading practice change projects requires adequate planning, with considerations of approaches to ensuring interprofessional collaboration, communication, ethical implementation, and social justice. The section discusses the approaches to ensure interprofessional collaboration and enhance communication throughout the project duration. It also highlights the role of leadership ethics and leaders’ role in ensuring social justice. </w:t>
      </w:r>
    </w:p>
    <w:p w14:paraId="44381CA7" w14:textId="516A875D"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 xml:space="preserve">Interprofessional Collaboration in Leading Project Teams </w:t>
      </w:r>
    </w:p>
    <w:p w14:paraId="37B0114E" w14:textId="5FA87CEC" w:rsidR="004C3599" w:rsidRPr="00224E09" w:rsidRDefault="004C3599" w:rsidP="004C3599">
      <w:pPr>
        <w:spacing w:after="0" w:line="480" w:lineRule="auto"/>
        <w:rPr>
          <w:rFonts w:ascii="Times New Roman" w:hAnsi="Times New Roman" w:cs="Times New Roman"/>
          <w:sz w:val="24"/>
          <w:szCs w:val="24"/>
        </w:rPr>
      </w:pPr>
      <w:r w:rsidRPr="00532556">
        <w:rPr>
          <w:rFonts w:ascii="Times New Roman" w:hAnsi="Times New Roman" w:cs="Times New Roman"/>
          <w:b/>
          <w:sz w:val="24"/>
          <w:szCs w:val="24"/>
        </w:rPr>
        <w:tab/>
      </w:r>
      <w:r w:rsidR="004A6E4A">
        <w:rPr>
          <w:rFonts w:ascii="Times New Roman" w:hAnsi="Times New Roman" w:cs="Times New Roman"/>
          <w:sz w:val="24"/>
          <w:szCs w:val="24"/>
        </w:rPr>
        <w:t>Leading practice change projects requires the establish of an environment that values mutual respect, open-mindedness, support, and a non-judgmental attitude towards members’ contributions (</w:t>
      </w:r>
      <w:r w:rsidR="004A6E4A" w:rsidRPr="008A63FD">
        <w:rPr>
          <w:rFonts w:ascii="Times New Roman" w:hAnsi="Times New Roman" w:cs="Times New Roman"/>
          <w:sz w:val="24"/>
          <w:szCs w:val="24"/>
        </w:rPr>
        <w:t>Swani &amp; Isherwood, 2019</w:t>
      </w:r>
      <w:r w:rsidR="004A6E4A">
        <w:rPr>
          <w:rFonts w:ascii="Times New Roman" w:hAnsi="Times New Roman" w:cs="Times New Roman"/>
          <w:sz w:val="24"/>
          <w:szCs w:val="24"/>
        </w:rPr>
        <w:t>). Leadership behaviors could significantly influence the environment for interprofessional collaboration (</w:t>
      </w:r>
      <w:r w:rsidR="004A6E4A" w:rsidRPr="008A63FD">
        <w:rPr>
          <w:rFonts w:ascii="Times New Roman" w:hAnsi="Times New Roman" w:cs="Times New Roman"/>
          <w:sz w:val="24"/>
          <w:szCs w:val="24"/>
        </w:rPr>
        <w:t>George &amp; Massey, 2020</w:t>
      </w:r>
      <w:r w:rsidR="004A6E4A">
        <w:rPr>
          <w:rFonts w:ascii="Times New Roman" w:hAnsi="Times New Roman" w:cs="Times New Roman"/>
          <w:sz w:val="24"/>
          <w:szCs w:val="24"/>
        </w:rPr>
        <w:t xml:space="preserve">). Consistently, maintaining visibility, approachability, and dedicated sensitivity throughout the project duration would be essential for interprofessional collaboration. </w:t>
      </w:r>
      <w:r w:rsidR="00D313BB">
        <w:rPr>
          <w:rFonts w:ascii="Times New Roman" w:hAnsi="Times New Roman" w:cs="Times New Roman"/>
          <w:sz w:val="24"/>
          <w:szCs w:val="24"/>
        </w:rPr>
        <w:t>As supported by</w:t>
      </w:r>
      <w:r w:rsidR="008A63FD">
        <w:rPr>
          <w:rFonts w:ascii="Times New Roman" w:hAnsi="Times New Roman" w:cs="Times New Roman"/>
          <w:sz w:val="24"/>
          <w:szCs w:val="24"/>
        </w:rPr>
        <w:t xml:space="preserve"> </w:t>
      </w:r>
      <w:proofErr w:type="spellStart"/>
      <w:r w:rsidR="008A63FD" w:rsidRPr="008A63FD">
        <w:rPr>
          <w:rFonts w:ascii="Times New Roman" w:eastAsia="Times New Roman" w:hAnsi="Times New Roman" w:cs="Times New Roman"/>
          <w:sz w:val="24"/>
          <w:szCs w:val="24"/>
          <w:lang w:val="en-GB" w:eastAsia="en-GB"/>
        </w:rPr>
        <w:t>Küllenberg</w:t>
      </w:r>
      <w:proofErr w:type="spellEnd"/>
      <w:r w:rsidR="008A63FD">
        <w:rPr>
          <w:rFonts w:ascii="Times New Roman" w:eastAsia="Times New Roman" w:hAnsi="Times New Roman" w:cs="Times New Roman"/>
          <w:sz w:val="24"/>
          <w:szCs w:val="24"/>
          <w:lang w:val="en-GB" w:eastAsia="en-GB"/>
        </w:rPr>
        <w:t xml:space="preserve"> et al. (2022)</w:t>
      </w:r>
      <w:r w:rsidR="00D313BB">
        <w:rPr>
          <w:rFonts w:ascii="Times New Roman" w:hAnsi="Times New Roman" w:cs="Times New Roman"/>
          <w:sz w:val="24"/>
          <w:szCs w:val="24"/>
        </w:rPr>
        <w:t>, the qualities ensure autonomy of the team members, with the leader striving for harmonious relationships within the team. In addition, this would ensure the development of trust-based relationships, positive exchanges with team members, and open discussion of opinions without the fear of judgment (</w:t>
      </w:r>
      <w:r w:rsidR="00D313BB" w:rsidRPr="00DD504D">
        <w:rPr>
          <w:rFonts w:ascii="Times New Roman" w:hAnsi="Times New Roman" w:cs="Times New Roman"/>
          <w:sz w:val="24"/>
          <w:szCs w:val="24"/>
        </w:rPr>
        <w:t xml:space="preserve">Peck et al., 2022; </w:t>
      </w:r>
      <w:proofErr w:type="spellStart"/>
      <w:r w:rsidR="00D313BB" w:rsidRPr="00DD504D">
        <w:rPr>
          <w:rFonts w:ascii="Times New Roman" w:hAnsi="Times New Roman" w:cs="Times New Roman"/>
          <w:sz w:val="24"/>
          <w:szCs w:val="24"/>
        </w:rPr>
        <w:t>Rahmadani</w:t>
      </w:r>
      <w:proofErr w:type="spellEnd"/>
      <w:r w:rsidR="00D313BB" w:rsidRPr="00DD504D">
        <w:rPr>
          <w:rFonts w:ascii="Times New Roman" w:hAnsi="Times New Roman" w:cs="Times New Roman"/>
          <w:sz w:val="24"/>
          <w:szCs w:val="24"/>
        </w:rPr>
        <w:t xml:space="preserve"> et al., 2022</w:t>
      </w:r>
      <w:r w:rsidR="00D313BB">
        <w:rPr>
          <w:rFonts w:ascii="Times New Roman" w:hAnsi="Times New Roman" w:cs="Times New Roman"/>
          <w:sz w:val="24"/>
          <w:szCs w:val="24"/>
        </w:rPr>
        <w:t>). The open exchange of ideas would create a suitable environment for interprofessional collaboration.  Besides, the success of collaborative efforts would depend significantly on accommodating differing opinions</w:t>
      </w:r>
      <w:r w:rsidR="00224E09">
        <w:rPr>
          <w:rFonts w:ascii="Times New Roman" w:hAnsi="Times New Roman" w:cs="Times New Roman"/>
          <w:sz w:val="24"/>
          <w:szCs w:val="24"/>
        </w:rPr>
        <w:t xml:space="preserve"> and </w:t>
      </w:r>
      <w:r w:rsidR="00D313BB">
        <w:rPr>
          <w:rFonts w:ascii="Times New Roman" w:hAnsi="Times New Roman" w:cs="Times New Roman"/>
          <w:sz w:val="24"/>
          <w:szCs w:val="24"/>
        </w:rPr>
        <w:t>offering feedback</w:t>
      </w:r>
      <w:r w:rsidR="00224E09">
        <w:rPr>
          <w:rFonts w:ascii="Times New Roman" w:hAnsi="Times New Roman" w:cs="Times New Roman"/>
          <w:sz w:val="24"/>
          <w:szCs w:val="24"/>
        </w:rPr>
        <w:t>. Feedback about performance helps in highlighting areas for improvement, while accommodating differing opinions and building consensus creates a sense of belongingness (</w:t>
      </w:r>
      <w:r w:rsidR="00224E09" w:rsidRPr="00DD504D">
        <w:rPr>
          <w:rFonts w:ascii="Times New Roman" w:hAnsi="Times New Roman" w:cs="Times New Roman"/>
          <w:sz w:val="24"/>
          <w:szCs w:val="24"/>
        </w:rPr>
        <w:t>Harrison et al., 2021; Nikolova et al., 2019</w:t>
      </w:r>
      <w:r w:rsidR="00224E09">
        <w:rPr>
          <w:rFonts w:ascii="Times New Roman" w:hAnsi="Times New Roman" w:cs="Times New Roman"/>
          <w:sz w:val="24"/>
          <w:szCs w:val="24"/>
        </w:rPr>
        <w:t>). In turn, these aspects could enhance interprofessional collaboration by embedding mutual understanding of the project objectives.</w:t>
      </w:r>
    </w:p>
    <w:p w14:paraId="7894A09E" w14:textId="39526C4E"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Communicating in Project Management</w:t>
      </w:r>
    </w:p>
    <w:p w14:paraId="78E2D1F2" w14:textId="2A11C9A0" w:rsidR="004C3599" w:rsidRPr="00532556" w:rsidRDefault="004C3599" w:rsidP="004C3599">
      <w:pPr>
        <w:spacing w:after="0" w:line="480" w:lineRule="auto"/>
        <w:rPr>
          <w:rFonts w:ascii="Times New Roman" w:hAnsi="Times New Roman" w:cs="Times New Roman"/>
          <w:bCs/>
          <w:sz w:val="24"/>
          <w:szCs w:val="24"/>
        </w:rPr>
      </w:pPr>
      <w:r w:rsidRPr="00532556">
        <w:rPr>
          <w:rFonts w:ascii="Times New Roman" w:hAnsi="Times New Roman" w:cs="Times New Roman"/>
          <w:b/>
          <w:sz w:val="24"/>
          <w:szCs w:val="24"/>
        </w:rPr>
        <w:lastRenderedPageBreak/>
        <w:tab/>
      </w:r>
    </w:p>
    <w:p w14:paraId="309D1731" w14:textId="0770B813"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 xml:space="preserve">Leadership Ethics </w:t>
      </w:r>
    </w:p>
    <w:p w14:paraId="158F8A65" w14:textId="0A52662E" w:rsidR="004C3599" w:rsidRPr="00532556" w:rsidRDefault="004C3599" w:rsidP="004C3599">
      <w:pPr>
        <w:spacing w:after="0" w:line="480" w:lineRule="auto"/>
        <w:rPr>
          <w:rFonts w:ascii="Times New Roman" w:hAnsi="Times New Roman" w:cs="Times New Roman"/>
          <w:b/>
          <w:i/>
          <w:iCs/>
          <w:sz w:val="24"/>
          <w:szCs w:val="24"/>
        </w:rPr>
      </w:pPr>
      <w:r w:rsidRPr="00532556">
        <w:rPr>
          <w:rFonts w:ascii="Times New Roman" w:hAnsi="Times New Roman" w:cs="Times New Roman"/>
          <w:b/>
          <w:sz w:val="24"/>
          <w:szCs w:val="24"/>
        </w:rPr>
        <w:tab/>
      </w:r>
    </w:p>
    <w:p w14:paraId="3EBD0521" w14:textId="07FE36FF"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 xml:space="preserve">Lead Social Justice Change within the Project Environment </w:t>
      </w:r>
    </w:p>
    <w:p w14:paraId="747AA4EB" w14:textId="1626ABCF" w:rsidR="004C3599" w:rsidRPr="00532556" w:rsidRDefault="004C3599" w:rsidP="004C3599">
      <w:pPr>
        <w:spacing w:after="0" w:line="480" w:lineRule="auto"/>
        <w:rPr>
          <w:rFonts w:ascii="Times New Roman" w:hAnsi="Times New Roman" w:cs="Times New Roman"/>
          <w:b/>
          <w:bCs/>
          <w:sz w:val="24"/>
          <w:szCs w:val="24"/>
        </w:rPr>
      </w:pPr>
      <w:r w:rsidRPr="00532556">
        <w:rPr>
          <w:rFonts w:ascii="Times New Roman" w:hAnsi="Times New Roman" w:cs="Times New Roman"/>
          <w:bCs/>
          <w:sz w:val="24"/>
          <w:szCs w:val="24"/>
        </w:rPr>
        <w:tab/>
      </w:r>
    </w:p>
    <w:p w14:paraId="2015B4B9" w14:textId="77777777" w:rsidR="004C3599" w:rsidRPr="00532556" w:rsidRDefault="004C3599" w:rsidP="004C3599">
      <w:pPr>
        <w:spacing w:after="0" w:line="480" w:lineRule="auto"/>
        <w:jc w:val="center"/>
        <w:rPr>
          <w:rFonts w:ascii="Times New Roman" w:hAnsi="Times New Roman" w:cs="Times New Roman"/>
          <w:b/>
          <w:bCs/>
          <w:sz w:val="24"/>
          <w:szCs w:val="24"/>
        </w:rPr>
      </w:pPr>
      <w:r w:rsidRPr="00532556">
        <w:rPr>
          <w:rFonts w:ascii="Times New Roman" w:hAnsi="Times New Roman" w:cs="Times New Roman"/>
          <w:b/>
          <w:bCs/>
          <w:sz w:val="24"/>
          <w:szCs w:val="24"/>
        </w:rPr>
        <w:t>Leading and Managing Practice-change Teams</w:t>
      </w:r>
    </w:p>
    <w:p w14:paraId="7BC2DFAA" w14:textId="6499E768" w:rsidR="004C3599" w:rsidRPr="00532556" w:rsidRDefault="004C3599" w:rsidP="004C3599">
      <w:pPr>
        <w:spacing w:after="0" w:line="480" w:lineRule="auto"/>
        <w:rPr>
          <w:rFonts w:ascii="Times New Roman" w:hAnsi="Times New Roman" w:cs="Times New Roman"/>
          <w:sz w:val="24"/>
          <w:szCs w:val="24"/>
        </w:rPr>
      </w:pPr>
      <w:r w:rsidRPr="00532556">
        <w:rPr>
          <w:rFonts w:ascii="Times New Roman" w:hAnsi="Times New Roman" w:cs="Times New Roman"/>
          <w:sz w:val="24"/>
          <w:szCs w:val="24"/>
        </w:rPr>
        <w:tab/>
        <w:t xml:space="preserve"> </w:t>
      </w:r>
    </w:p>
    <w:p w14:paraId="7E0B8161" w14:textId="7F4F7E5C" w:rsidR="004C3599" w:rsidRPr="00532556" w:rsidRDefault="004C3599" w:rsidP="004C3599">
      <w:pPr>
        <w:spacing w:after="0" w:line="480" w:lineRule="auto"/>
        <w:rPr>
          <w:rFonts w:ascii="Times New Roman" w:hAnsi="Times New Roman" w:cs="Times New Roman"/>
          <w:b/>
          <w:bCs/>
          <w:sz w:val="24"/>
          <w:szCs w:val="24"/>
        </w:rPr>
      </w:pPr>
      <w:r w:rsidRPr="00532556">
        <w:rPr>
          <w:rFonts w:ascii="Times New Roman" w:hAnsi="Times New Roman" w:cs="Times New Roman"/>
          <w:b/>
          <w:bCs/>
          <w:sz w:val="24"/>
          <w:szCs w:val="24"/>
        </w:rPr>
        <w:t xml:space="preserve">Leading Through Innovation </w:t>
      </w:r>
    </w:p>
    <w:p w14:paraId="1A6F5390" w14:textId="27AF79BF" w:rsidR="004C3599" w:rsidRPr="00532556" w:rsidRDefault="004C3599" w:rsidP="004C3599">
      <w:pPr>
        <w:spacing w:after="0" w:line="480" w:lineRule="auto"/>
        <w:rPr>
          <w:rFonts w:ascii="Times New Roman" w:hAnsi="Times New Roman" w:cs="Times New Roman"/>
          <w:bCs/>
          <w:sz w:val="24"/>
          <w:szCs w:val="24"/>
        </w:rPr>
      </w:pPr>
      <w:r w:rsidRPr="00532556">
        <w:rPr>
          <w:rFonts w:ascii="Times New Roman" w:hAnsi="Times New Roman" w:cs="Times New Roman"/>
          <w:bCs/>
          <w:sz w:val="24"/>
          <w:szCs w:val="24"/>
        </w:rPr>
        <w:tab/>
      </w:r>
    </w:p>
    <w:p w14:paraId="3BE56F63" w14:textId="1BC7894C" w:rsidR="004C3599" w:rsidRPr="00532556" w:rsidRDefault="004C3599" w:rsidP="004C3599">
      <w:pPr>
        <w:spacing w:after="0" w:line="480" w:lineRule="auto"/>
        <w:rPr>
          <w:rFonts w:ascii="Times New Roman" w:hAnsi="Times New Roman" w:cs="Times New Roman"/>
          <w:sz w:val="24"/>
          <w:szCs w:val="24"/>
        </w:rPr>
      </w:pPr>
      <w:r w:rsidRPr="00532556">
        <w:rPr>
          <w:rFonts w:ascii="Times New Roman" w:hAnsi="Times New Roman" w:cs="Times New Roman"/>
          <w:b/>
          <w:bCs/>
          <w:sz w:val="24"/>
          <w:szCs w:val="24"/>
        </w:rPr>
        <w:t>Integrating Leadership and Management Models</w:t>
      </w:r>
    </w:p>
    <w:p w14:paraId="6BEF0C05" w14:textId="11DE64A3" w:rsidR="004C3599" w:rsidRPr="00532556" w:rsidRDefault="004C3599" w:rsidP="004C3599">
      <w:pPr>
        <w:spacing w:after="0" w:line="480" w:lineRule="auto"/>
        <w:ind w:firstLine="720"/>
        <w:rPr>
          <w:rFonts w:ascii="Times New Roman" w:hAnsi="Times New Roman" w:cs="Times New Roman"/>
          <w:sz w:val="24"/>
          <w:szCs w:val="24"/>
        </w:rPr>
      </w:pPr>
    </w:p>
    <w:p w14:paraId="4CACFA9A" w14:textId="50EAF868"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Managing Materials and Human Resources</w:t>
      </w:r>
    </w:p>
    <w:p w14:paraId="2316B73F" w14:textId="614898C7" w:rsidR="004C3599" w:rsidRPr="00532556" w:rsidRDefault="004C3599" w:rsidP="004C3599">
      <w:pPr>
        <w:spacing w:after="0" w:line="480" w:lineRule="auto"/>
        <w:rPr>
          <w:rFonts w:ascii="Times New Roman" w:hAnsi="Times New Roman" w:cs="Times New Roman"/>
          <w:sz w:val="24"/>
          <w:szCs w:val="24"/>
        </w:rPr>
      </w:pPr>
      <w:r w:rsidRPr="00532556">
        <w:rPr>
          <w:rFonts w:ascii="Times New Roman" w:hAnsi="Times New Roman" w:cs="Times New Roman"/>
          <w:b/>
          <w:sz w:val="24"/>
          <w:szCs w:val="24"/>
        </w:rPr>
        <w:tab/>
      </w:r>
      <w:r w:rsidRPr="00532556">
        <w:rPr>
          <w:rFonts w:ascii="Times New Roman" w:hAnsi="Times New Roman" w:cs="Times New Roman"/>
          <w:sz w:val="24"/>
          <w:szCs w:val="24"/>
        </w:rPr>
        <w:t xml:space="preserve"> </w:t>
      </w:r>
    </w:p>
    <w:p w14:paraId="3980A26F" w14:textId="77777777" w:rsidR="004C3599" w:rsidRPr="00532556" w:rsidRDefault="004C3599" w:rsidP="004C3599">
      <w:pPr>
        <w:spacing w:after="0" w:line="480" w:lineRule="auto"/>
        <w:jc w:val="center"/>
        <w:rPr>
          <w:rFonts w:ascii="Times New Roman" w:hAnsi="Times New Roman" w:cs="Times New Roman"/>
          <w:b/>
          <w:sz w:val="24"/>
          <w:szCs w:val="24"/>
        </w:rPr>
      </w:pPr>
      <w:r w:rsidRPr="00532556">
        <w:rPr>
          <w:rFonts w:ascii="Times New Roman" w:hAnsi="Times New Roman" w:cs="Times New Roman"/>
          <w:b/>
          <w:sz w:val="24"/>
          <w:szCs w:val="24"/>
        </w:rPr>
        <w:t>Conclusion</w:t>
      </w:r>
    </w:p>
    <w:p w14:paraId="16E45F28" w14:textId="3919F2D2" w:rsidR="004C3599" w:rsidRPr="00532556" w:rsidRDefault="004C3599" w:rsidP="004C3599">
      <w:pPr>
        <w:spacing w:line="480" w:lineRule="auto"/>
        <w:rPr>
          <w:rFonts w:ascii="Times New Roman" w:hAnsi="Times New Roman" w:cs="Times New Roman"/>
          <w:sz w:val="24"/>
          <w:szCs w:val="24"/>
        </w:rPr>
      </w:pPr>
      <w:r w:rsidRPr="00532556">
        <w:rPr>
          <w:rFonts w:ascii="Times New Roman" w:hAnsi="Times New Roman" w:cs="Times New Roman"/>
          <w:b/>
          <w:bCs/>
          <w:sz w:val="24"/>
          <w:szCs w:val="24"/>
        </w:rPr>
        <w:tab/>
      </w:r>
    </w:p>
    <w:p w14:paraId="52234B69" w14:textId="77777777" w:rsidR="004C3599" w:rsidRPr="00532556" w:rsidRDefault="004C3599" w:rsidP="004C3599">
      <w:pPr>
        <w:rPr>
          <w:rFonts w:ascii="Times New Roman" w:hAnsi="Times New Roman" w:cs="Times New Roman"/>
          <w:b/>
          <w:bCs/>
          <w:sz w:val="24"/>
          <w:szCs w:val="24"/>
        </w:rPr>
      </w:pPr>
      <w:r w:rsidRPr="00532556">
        <w:rPr>
          <w:rFonts w:ascii="Times New Roman" w:hAnsi="Times New Roman" w:cs="Times New Roman"/>
          <w:b/>
          <w:bCs/>
          <w:sz w:val="24"/>
          <w:szCs w:val="24"/>
        </w:rPr>
        <w:br w:type="page"/>
      </w:r>
    </w:p>
    <w:p w14:paraId="2F10D8BB" w14:textId="77777777" w:rsidR="004C3599" w:rsidRPr="00532556" w:rsidRDefault="004C3599" w:rsidP="004C3599">
      <w:pPr>
        <w:jc w:val="center"/>
        <w:rPr>
          <w:rFonts w:ascii="Times New Roman" w:hAnsi="Times New Roman" w:cs="Times New Roman"/>
          <w:b/>
          <w:bCs/>
          <w:sz w:val="24"/>
          <w:szCs w:val="24"/>
        </w:rPr>
      </w:pPr>
      <w:r w:rsidRPr="00532556">
        <w:rPr>
          <w:rFonts w:ascii="Times New Roman" w:hAnsi="Times New Roman" w:cs="Times New Roman"/>
          <w:b/>
          <w:bCs/>
          <w:sz w:val="24"/>
          <w:szCs w:val="24"/>
        </w:rPr>
        <w:lastRenderedPageBreak/>
        <w:t>References</w:t>
      </w:r>
    </w:p>
    <w:p w14:paraId="704300D1" w14:textId="77777777" w:rsidR="005478FF" w:rsidRDefault="005478FF" w:rsidP="008A63FD">
      <w:pPr>
        <w:spacing w:after="0" w:line="480" w:lineRule="auto"/>
        <w:ind w:left="720" w:hanging="720"/>
        <w:rPr>
          <w:rFonts w:ascii="Times New Roman" w:hAnsi="Times New Roman" w:cs="Times New Roman"/>
          <w:sz w:val="24"/>
          <w:szCs w:val="24"/>
        </w:rPr>
      </w:pPr>
      <w:bookmarkStart w:id="1" w:name="p04_c12_s1_37"/>
      <w:bookmarkEnd w:id="1"/>
      <w:r w:rsidRPr="008A63FD">
        <w:rPr>
          <w:rFonts w:ascii="Times New Roman" w:eastAsia="Times New Roman" w:hAnsi="Times New Roman" w:cs="Times New Roman"/>
          <w:sz w:val="24"/>
          <w:szCs w:val="24"/>
          <w:lang w:val="en-GB" w:eastAsia="en-GB"/>
        </w:rPr>
        <w:t xml:space="preserve">Alvarado, N., McVey, L., Wright, J., Healey, F., Dowding, D., Cheong, V. L., </w:t>
      </w:r>
      <w:r>
        <w:rPr>
          <w:rFonts w:ascii="Times New Roman" w:eastAsia="Times New Roman" w:hAnsi="Times New Roman" w:cs="Times New Roman"/>
          <w:sz w:val="24"/>
          <w:szCs w:val="24"/>
          <w:lang w:val="en-GB" w:eastAsia="en-GB"/>
        </w:rPr>
        <w:t xml:space="preserve">Gardner, P., </w:t>
      </w:r>
      <w:proofErr w:type="spellStart"/>
      <w:r>
        <w:rPr>
          <w:rFonts w:ascii="Times New Roman" w:eastAsia="Times New Roman" w:hAnsi="Times New Roman" w:cs="Times New Roman"/>
          <w:sz w:val="24"/>
          <w:szCs w:val="24"/>
          <w:lang w:val="en-GB" w:eastAsia="en-GB"/>
        </w:rPr>
        <w:t>Hardiker</w:t>
      </w:r>
      <w:proofErr w:type="spellEnd"/>
      <w:r>
        <w:rPr>
          <w:rFonts w:ascii="Times New Roman" w:eastAsia="Times New Roman" w:hAnsi="Times New Roman" w:cs="Times New Roman"/>
          <w:sz w:val="24"/>
          <w:szCs w:val="24"/>
          <w:lang w:val="en-GB" w:eastAsia="en-GB"/>
        </w:rPr>
        <w:t>, N., Lynch, A., Zaman, H., Smith, H.,</w:t>
      </w:r>
      <w:r w:rsidRPr="008A63FD">
        <w:rPr>
          <w:rFonts w:ascii="Times New Roman" w:eastAsia="Times New Roman" w:hAnsi="Times New Roman" w:cs="Times New Roman"/>
          <w:sz w:val="24"/>
          <w:szCs w:val="24"/>
          <w:lang w:val="en-GB" w:eastAsia="en-GB"/>
        </w:rPr>
        <w:t xml:space="preserve"> &amp; Randell, R. (2023). Exploring variation in implementation of multifactorial falls risk assessment and tailored interventions: a realist review. </w:t>
      </w:r>
      <w:r w:rsidRPr="008A63FD">
        <w:rPr>
          <w:rFonts w:ascii="Times New Roman" w:eastAsia="Times New Roman" w:hAnsi="Times New Roman" w:cs="Times New Roman"/>
          <w:i/>
          <w:iCs/>
          <w:sz w:val="24"/>
          <w:szCs w:val="24"/>
          <w:lang w:val="en-GB" w:eastAsia="en-GB"/>
        </w:rPr>
        <w:t>BMC Geriatrics</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23</w:t>
      </w:r>
      <w:r w:rsidRPr="008A63FD">
        <w:rPr>
          <w:rFonts w:ascii="Times New Roman" w:eastAsia="Times New Roman" w:hAnsi="Times New Roman" w:cs="Times New Roman"/>
          <w:sz w:val="24"/>
          <w:szCs w:val="24"/>
          <w:lang w:val="en-GB" w:eastAsia="en-GB"/>
        </w:rPr>
        <w:t>(1), 381.</w:t>
      </w:r>
      <w:r>
        <w:rPr>
          <w:rFonts w:ascii="Times New Roman" w:eastAsia="Times New Roman" w:hAnsi="Times New Roman" w:cs="Times New Roman"/>
          <w:sz w:val="24"/>
          <w:szCs w:val="24"/>
          <w:lang w:val="en-GB" w:eastAsia="en-GB"/>
        </w:rPr>
        <w:t xml:space="preserve"> </w:t>
      </w:r>
      <w:hyperlink r:id="rId7" w:history="1">
        <w:r w:rsidRPr="00070A7D">
          <w:rPr>
            <w:rStyle w:val="Hyperlink"/>
            <w:rFonts w:ascii="Times New Roman" w:hAnsi="Times New Roman" w:cs="Times New Roman"/>
            <w:sz w:val="24"/>
            <w:szCs w:val="24"/>
          </w:rPr>
          <w:t>https://doi.org/10.1186/s12877-023-04045-3</w:t>
        </w:r>
      </w:hyperlink>
      <w:r>
        <w:rPr>
          <w:rFonts w:ascii="Times New Roman" w:hAnsi="Times New Roman" w:cs="Times New Roman"/>
          <w:sz w:val="24"/>
          <w:szCs w:val="24"/>
        </w:rPr>
        <w:t xml:space="preserve"> </w:t>
      </w:r>
    </w:p>
    <w:p w14:paraId="558351FA" w14:textId="77777777" w:rsidR="005478FF" w:rsidRDefault="005478FF" w:rsidP="00224E09">
      <w:pPr>
        <w:spacing w:after="0" w:line="480" w:lineRule="auto"/>
        <w:ind w:left="720" w:hanging="720"/>
        <w:rPr>
          <w:rFonts w:ascii="Times New Roman" w:eastAsia="Times New Roman" w:hAnsi="Times New Roman" w:cs="Times New Roman"/>
          <w:sz w:val="24"/>
          <w:szCs w:val="24"/>
          <w:lang w:val="en-GB" w:eastAsia="en-GB"/>
        </w:rPr>
      </w:pPr>
      <w:r w:rsidRPr="00224E09">
        <w:rPr>
          <w:rFonts w:ascii="Times New Roman" w:eastAsia="Times New Roman" w:hAnsi="Times New Roman" w:cs="Times New Roman"/>
          <w:sz w:val="24"/>
          <w:szCs w:val="24"/>
          <w:lang w:val="en-GB" w:eastAsia="en-GB"/>
        </w:rPr>
        <w:t xml:space="preserve">Carpels, A., de Smet, L., </w:t>
      </w:r>
      <w:proofErr w:type="spellStart"/>
      <w:r w:rsidRPr="00224E09">
        <w:rPr>
          <w:rFonts w:ascii="Times New Roman" w:eastAsia="Times New Roman" w:hAnsi="Times New Roman" w:cs="Times New Roman"/>
          <w:sz w:val="24"/>
          <w:szCs w:val="24"/>
          <w:lang w:val="en-GB" w:eastAsia="en-GB"/>
        </w:rPr>
        <w:t>Desplenter</w:t>
      </w:r>
      <w:proofErr w:type="spellEnd"/>
      <w:r w:rsidRPr="00224E09">
        <w:rPr>
          <w:rFonts w:ascii="Times New Roman" w:eastAsia="Times New Roman" w:hAnsi="Times New Roman" w:cs="Times New Roman"/>
          <w:sz w:val="24"/>
          <w:szCs w:val="24"/>
          <w:lang w:val="en-GB" w:eastAsia="en-GB"/>
        </w:rPr>
        <w:t xml:space="preserve">, S., &amp; de Hert, M. (2022). Falls among psychiatric inpatients: A systematic review of literature. </w:t>
      </w:r>
      <w:r w:rsidRPr="00224E09">
        <w:rPr>
          <w:rFonts w:ascii="Times New Roman" w:eastAsia="Times New Roman" w:hAnsi="Times New Roman" w:cs="Times New Roman"/>
          <w:i/>
          <w:iCs/>
          <w:sz w:val="24"/>
          <w:szCs w:val="24"/>
          <w:lang w:val="en-GB" w:eastAsia="en-GB"/>
        </w:rPr>
        <w:t>Alpha psychiatry</w:t>
      </w:r>
      <w:r w:rsidRPr="00224E09">
        <w:rPr>
          <w:rFonts w:ascii="Times New Roman" w:eastAsia="Times New Roman" w:hAnsi="Times New Roman" w:cs="Times New Roman"/>
          <w:sz w:val="24"/>
          <w:szCs w:val="24"/>
          <w:lang w:val="en-GB" w:eastAsia="en-GB"/>
        </w:rPr>
        <w:t xml:space="preserve">, </w:t>
      </w:r>
      <w:r w:rsidRPr="00224E09">
        <w:rPr>
          <w:rFonts w:ascii="Times New Roman" w:eastAsia="Times New Roman" w:hAnsi="Times New Roman" w:cs="Times New Roman"/>
          <w:i/>
          <w:iCs/>
          <w:sz w:val="24"/>
          <w:szCs w:val="24"/>
          <w:lang w:val="en-GB" w:eastAsia="en-GB"/>
        </w:rPr>
        <w:t>23</w:t>
      </w:r>
      <w:r w:rsidRPr="00224E09">
        <w:rPr>
          <w:rFonts w:ascii="Times New Roman" w:eastAsia="Times New Roman" w:hAnsi="Times New Roman" w:cs="Times New Roman"/>
          <w:sz w:val="24"/>
          <w:szCs w:val="24"/>
          <w:lang w:val="en-GB" w:eastAsia="en-GB"/>
        </w:rPr>
        <w:t xml:space="preserve">(5), 217–222. </w:t>
      </w:r>
      <w:hyperlink r:id="rId8" w:history="1">
        <w:r w:rsidRPr="00224E09">
          <w:rPr>
            <w:rStyle w:val="Hyperlink"/>
            <w:rFonts w:ascii="Times New Roman" w:eastAsia="Times New Roman" w:hAnsi="Times New Roman" w:cs="Times New Roman"/>
            <w:sz w:val="24"/>
            <w:szCs w:val="24"/>
            <w:lang w:val="en-GB" w:eastAsia="en-GB"/>
          </w:rPr>
          <w:t>https://doi.org/10.5152/alphapsychiatry.2022.21735</w:t>
        </w:r>
      </w:hyperlink>
      <w:r>
        <w:rPr>
          <w:rFonts w:ascii="Times New Roman" w:eastAsia="Times New Roman" w:hAnsi="Times New Roman" w:cs="Times New Roman"/>
          <w:sz w:val="24"/>
          <w:szCs w:val="24"/>
          <w:lang w:val="en-GB" w:eastAsia="en-GB"/>
        </w:rPr>
        <w:t xml:space="preserve"> </w:t>
      </w:r>
    </w:p>
    <w:p w14:paraId="29ECCDFF" w14:textId="77777777" w:rsidR="005478FF" w:rsidRPr="002454C1" w:rsidRDefault="005478FF" w:rsidP="008A63FD">
      <w:pPr>
        <w:spacing w:after="0" w:line="480" w:lineRule="auto"/>
        <w:ind w:left="720" w:hanging="720"/>
        <w:rPr>
          <w:rFonts w:ascii="Times New Roman" w:eastAsia="Times New Roman" w:hAnsi="Times New Roman" w:cs="Times New Roman"/>
          <w:sz w:val="24"/>
          <w:szCs w:val="24"/>
        </w:rPr>
      </w:pPr>
      <w:r w:rsidRPr="002454C1">
        <w:rPr>
          <w:rFonts w:ascii="Times New Roman" w:eastAsia="Times New Roman" w:hAnsi="Times New Roman" w:cs="Times New Roman"/>
          <w:sz w:val="24"/>
          <w:szCs w:val="24"/>
        </w:rPr>
        <w:t xml:space="preserve">George, V., &amp; Massey, L. (2020). Proactive Strategy to Improve Staff Engagement. </w:t>
      </w:r>
      <w:r w:rsidRPr="002454C1">
        <w:rPr>
          <w:rFonts w:ascii="Times New Roman" w:eastAsia="Times New Roman" w:hAnsi="Times New Roman" w:cs="Times New Roman"/>
          <w:i/>
          <w:iCs/>
          <w:sz w:val="24"/>
          <w:szCs w:val="24"/>
        </w:rPr>
        <w:t>Nurse Leader</w:t>
      </w:r>
      <w:r w:rsidRPr="002454C1">
        <w:rPr>
          <w:rFonts w:ascii="Times New Roman" w:eastAsia="Times New Roman" w:hAnsi="Times New Roman" w:cs="Times New Roman"/>
          <w:sz w:val="24"/>
          <w:szCs w:val="24"/>
        </w:rPr>
        <w:t xml:space="preserve">, </w:t>
      </w:r>
      <w:r w:rsidRPr="002454C1">
        <w:rPr>
          <w:rFonts w:ascii="Times New Roman" w:eastAsia="Times New Roman" w:hAnsi="Times New Roman" w:cs="Times New Roman"/>
          <w:i/>
          <w:iCs/>
          <w:sz w:val="24"/>
          <w:szCs w:val="24"/>
        </w:rPr>
        <w:t>18</w:t>
      </w:r>
      <w:r w:rsidRPr="002454C1">
        <w:rPr>
          <w:rFonts w:ascii="Times New Roman" w:eastAsia="Times New Roman" w:hAnsi="Times New Roman" w:cs="Times New Roman"/>
          <w:sz w:val="24"/>
          <w:szCs w:val="24"/>
        </w:rPr>
        <w:t xml:space="preserve">(6), 532–535. </w:t>
      </w:r>
      <w:hyperlink r:id="rId9" w:history="1">
        <w:r w:rsidRPr="002454C1">
          <w:rPr>
            <w:rStyle w:val="Hyperlink"/>
            <w:rFonts w:ascii="Times New Roman" w:eastAsia="Times New Roman" w:hAnsi="Times New Roman" w:cs="Times New Roman"/>
            <w:sz w:val="24"/>
            <w:szCs w:val="24"/>
          </w:rPr>
          <w:t>https://doi.org/10.1016/j.mnl.2020.08.008</w:t>
        </w:r>
      </w:hyperlink>
      <w:r w:rsidRPr="002454C1">
        <w:rPr>
          <w:rFonts w:ascii="Times New Roman" w:eastAsia="Times New Roman" w:hAnsi="Times New Roman" w:cs="Times New Roman"/>
          <w:sz w:val="24"/>
          <w:szCs w:val="24"/>
        </w:rPr>
        <w:t xml:space="preserve"> </w:t>
      </w:r>
    </w:p>
    <w:p w14:paraId="7CA771DF" w14:textId="77777777" w:rsidR="005478FF" w:rsidRDefault="005478FF" w:rsidP="004C3599">
      <w:pPr>
        <w:spacing w:after="0" w:line="480" w:lineRule="auto"/>
        <w:ind w:left="720" w:hanging="720"/>
        <w:rPr>
          <w:rStyle w:val="Hyperlink"/>
          <w:rFonts w:ascii="Times New Roman" w:hAnsi="Times New Roman" w:cs="Times New Roman"/>
          <w:sz w:val="24"/>
          <w:szCs w:val="24"/>
        </w:rPr>
      </w:pPr>
      <w:r w:rsidRPr="002454C1">
        <w:rPr>
          <w:rFonts w:ascii="Times New Roman" w:hAnsi="Times New Roman" w:cs="Times New Roman"/>
          <w:sz w:val="24"/>
          <w:szCs w:val="24"/>
        </w:rPr>
        <w:t xml:space="preserve">Harrison, R., Fischer, S., </w:t>
      </w:r>
      <w:proofErr w:type="spellStart"/>
      <w:r w:rsidRPr="002454C1">
        <w:rPr>
          <w:rFonts w:ascii="Times New Roman" w:hAnsi="Times New Roman" w:cs="Times New Roman"/>
          <w:sz w:val="24"/>
          <w:szCs w:val="24"/>
        </w:rPr>
        <w:t>Walpola</w:t>
      </w:r>
      <w:proofErr w:type="spellEnd"/>
      <w:r w:rsidRPr="002454C1">
        <w:rPr>
          <w:rFonts w:ascii="Times New Roman" w:hAnsi="Times New Roman" w:cs="Times New Roman"/>
          <w:sz w:val="24"/>
          <w:szCs w:val="24"/>
        </w:rPr>
        <w:t xml:space="preserve">, R. L., Chauhan, A., Babalola, T., Mears, S., &amp; Le-Dao, H. (2021). Where do models for change management, improvement and implementation meet? A systematic review of the applications of change management models in healthcare. </w:t>
      </w:r>
      <w:r w:rsidRPr="002454C1">
        <w:rPr>
          <w:rFonts w:ascii="Times New Roman" w:hAnsi="Times New Roman" w:cs="Times New Roman"/>
          <w:i/>
          <w:iCs/>
          <w:sz w:val="24"/>
          <w:szCs w:val="24"/>
        </w:rPr>
        <w:t>Journal of Healthcare Leadership</w:t>
      </w:r>
      <w:r w:rsidRPr="002454C1">
        <w:rPr>
          <w:rFonts w:ascii="Times New Roman" w:hAnsi="Times New Roman" w:cs="Times New Roman"/>
          <w:sz w:val="24"/>
          <w:szCs w:val="24"/>
        </w:rPr>
        <w:t xml:space="preserve">, </w:t>
      </w:r>
      <w:r w:rsidRPr="002454C1">
        <w:rPr>
          <w:rFonts w:ascii="Times New Roman" w:hAnsi="Times New Roman" w:cs="Times New Roman"/>
          <w:i/>
          <w:iCs/>
          <w:sz w:val="24"/>
          <w:szCs w:val="24"/>
        </w:rPr>
        <w:t>13</w:t>
      </w:r>
      <w:r w:rsidRPr="002454C1">
        <w:rPr>
          <w:rFonts w:ascii="Times New Roman" w:hAnsi="Times New Roman" w:cs="Times New Roman"/>
          <w:sz w:val="24"/>
          <w:szCs w:val="24"/>
        </w:rPr>
        <w:t xml:space="preserve">, 85-108. </w:t>
      </w:r>
      <w:hyperlink r:id="rId10" w:history="1">
        <w:r w:rsidRPr="002454C1">
          <w:rPr>
            <w:rStyle w:val="Hyperlink"/>
            <w:rFonts w:ascii="Times New Roman" w:hAnsi="Times New Roman" w:cs="Times New Roman"/>
            <w:sz w:val="24"/>
            <w:szCs w:val="24"/>
          </w:rPr>
          <w:t>https://doi.org/10.2147/JHL.S289176</w:t>
        </w:r>
      </w:hyperlink>
    </w:p>
    <w:p w14:paraId="3EC867BB" w14:textId="77777777" w:rsidR="005478FF" w:rsidRPr="008A63FD" w:rsidRDefault="005478FF" w:rsidP="008A63FD">
      <w:pPr>
        <w:spacing w:after="0" w:line="480" w:lineRule="auto"/>
        <w:ind w:left="720" w:hanging="720"/>
        <w:rPr>
          <w:rFonts w:ascii="Times New Roman" w:eastAsia="Times New Roman" w:hAnsi="Times New Roman" w:cs="Times New Roman"/>
          <w:sz w:val="24"/>
          <w:szCs w:val="24"/>
          <w:lang w:val="en-GB" w:eastAsia="en-GB"/>
        </w:rPr>
      </w:pPr>
      <w:proofErr w:type="spellStart"/>
      <w:r w:rsidRPr="008A63FD">
        <w:rPr>
          <w:rFonts w:ascii="Times New Roman" w:eastAsia="Times New Roman" w:hAnsi="Times New Roman" w:cs="Times New Roman"/>
          <w:sz w:val="24"/>
          <w:szCs w:val="24"/>
          <w:lang w:val="en-GB" w:eastAsia="en-GB"/>
        </w:rPr>
        <w:t>Küllenberg</w:t>
      </w:r>
      <w:proofErr w:type="spellEnd"/>
      <w:r w:rsidRPr="008A63FD">
        <w:rPr>
          <w:rFonts w:ascii="Times New Roman" w:eastAsia="Times New Roman" w:hAnsi="Times New Roman" w:cs="Times New Roman"/>
          <w:sz w:val="24"/>
          <w:szCs w:val="24"/>
          <w:lang w:val="en-GB" w:eastAsia="en-GB"/>
        </w:rPr>
        <w:t xml:space="preserve">, J. K., Niermann, D., Becker, S., &amp; Körner, M. (2022). From </w:t>
      </w:r>
      <w:proofErr w:type="spellStart"/>
      <w:r w:rsidRPr="008A63FD">
        <w:rPr>
          <w:rFonts w:ascii="Times New Roman" w:eastAsia="Times New Roman" w:hAnsi="Times New Roman" w:cs="Times New Roman"/>
          <w:sz w:val="24"/>
          <w:szCs w:val="24"/>
          <w:lang w:val="en-GB" w:eastAsia="en-GB"/>
        </w:rPr>
        <w:t>approachables</w:t>
      </w:r>
      <w:proofErr w:type="spellEnd"/>
      <w:r w:rsidRPr="008A63FD">
        <w:rPr>
          <w:rFonts w:ascii="Times New Roman" w:eastAsia="Times New Roman" w:hAnsi="Times New Roman" w:cs="Times New Roman"/>
          <w:sz w:val="24"/>
          <w:szCs w:val="24"/>
          <w:lang w:val="en-GB" w:eastAsia="en-GB"/>
        </w:rPr>
        <w:t xml:space="preserve"> on the sidelines to dedicated sensitives: developing a leadership typology among healthcare leaders utilizing grounded theory. </w:t>
      </w:r>
      <w:r w:rsidRPr="008A63FD">
        <w:rPr>
          <w:rFonts w:ascii="Times New Roman" w:eastAsia="Times New Roman" w:hAnsi="Times New Roman" w:cs="Times New Roman"/>
          <w:i/>
          <w:iCs/>
          <w:sz w:val="24"/>
          <w:szCs w:val="24"/>
          <w:lang w:val="en-GB" w:eastAsia="en-GB"/>
        </w:rPr>
        <w:t>Journal of Health Organization and Management</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ahead-of-print</w:t>
      </w:r>
      <w:r w:rsidRPr="008A63FD">
        <w:rPr>
          <w:rFonts w:ascii="Times New Roman" w:eastAsia="Times New Roman" w:hAnsi="Times New Roman" w:cs="Times New Roman"/>
          <w:sz w:val="24"/>
          <w:szCs w:val="24"/>
          <w:lang w:val="en-GB" w:eastAsia="en-GB"/>
        </w:rPr>
        <w:t xml:space="preserve">(ahead-of-print), 232–244. </w:t>
      </w:r>
      <w:hyperlink r:id="rId11" w:history="1">
        <w:r w:rsidRPr="008A63FD">
          <w:rPr>
            <w:rStyle w:val="Hyperlink"/>
            <w:rFonts w:ascii="Times New Roman" w:eastAsia="Times New Roman" w:hAnsi="Times New Roman" w:cs="Times New Roman"/>
            <w:sz w:val="24"/>
            <w:szCs w:val="24"/>
            <w:lang w:val="en-GB" w:eastAsia="en-GB"/>
          </w:rPr>
          <w:t>https://doi.org/10.1108/JHOM-01-2022-0018</w:t>
        </w:r>
      </w:hyperlink>
      <w:r>
        <w:rPr>
          <w:rFonts w:ascii="Times New Roman" w:eastAsia="Times New Roman" w:hAnsi="Times New Roman" w:cs="Times New Roman"/>
          <w:sz w:val="24"/>
          <w:szCs w:val="24"/>
          <w:lang w:val="en-GB" w:eastAsia="en-GB"/>
        </w:rPr>
        <w:t xml:space="preserve"> </w:t>
      </w:r>
    </w:p>
    <w:p w14:paraId="2940442E" w14:textId="77777777" w:rsidR="005478FF" w:rsidRDefault="005478FF" w:rsidP="008A63FD">
      <w:pPr>
        <w:spacing w:after="0" w:line="480" w:lineRule="auto"/>
        <w:ind w:left="720" w:hanging="720"/>
        <w:rPr>
          <w:rFonts w:ascii="Times New Roman" w:hAnsi="Times New Roman" w:cs="Times New Roman"/>
          <w:sz w:val="24"/>
          <w:szCs w:val="24"/>
        </w:rPr>
      </w:pPr>
      <w:r w:rsidRPr="008A63FD">
        <w:rPr>
          <w:rFonts w:ascii="Times New Roman" w:eastAsia="Times New Roman" w:hAnsi="Times New Roman" w:cs="Times New Roman"/>
          <w:sz w:val="24"/>
          <w:szCs w:val="24"/>
          <w:lang w:val="en-GB" w:eastAsia="en-GB"/>
        </w:rPr>
        <w:t xml:space="preserve">Li, H., Liu, C., Ge, Z., Mu, X., Wang, X., Xiu, M., </w:t>
      </w:r>
      <w:r>
        <w:rPr>
          <w:rFonts w:ascii="Times New Roman" w:eastAsia="Times New Roman" w:hAnsi="Times New Roman" w:cs="Times New Roman"/>
          <w:sz w:val="24"/>
          <w:szCs w:val="24"/>
          <w:lang w:val="en-GB" w:eastAsia="en-GB"/>
        </w:rPr>
        <w:t>Wang, X.,</w:t>
      </w:r>
      <w:r w:rsidRPr="008A63FD">
        <w:rPr>
          <w:rFonts w:ascii="Times New Roman" w:eastAsia="Times New Roman" w:hAnsi="Times New Roman" w:cs="Times New Roman"/>
          <w:sz w:val="24"/>
          <w:szCs w:val="24"/>
          <w:lang w:val="en-GB" w:eastAsia="en-GB"/>
        </w:rPr>
        <w:t xml:space="preserve"> &amp; Li, Z. (2023). Efficacy of standard operating procedures for fall protection in hospitalized patients with schizophrenia. </w:t>
      </w:r>
      <w:r w:rsidRPr="008A63FD">
        <w:rPr>
          <w:rFonts w:ascii="Times New Roman" w:eastAsia="Times New Roman" w:hAnsi="Times New Roman" w:cs="Times New Roman"/>
          <w:i/>
          <w:iCs/>
          <w:sz w:val="24"/>
          <w:szCs w:val="24"/>
          <w:lang w:val="en-GB" w:eastAsia="en-GB"/>
        </w:rPr>
        <w:t>Schizophrenia</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9</w:t>
      </w:r>
      <w:r w:rsidRPr="008A63FD">
        <w:rPr>
          <w:rFonts w:ascii="Times New Roman" w:eastAsia="Times New Roman" w:hAnsi="Times New Roman" w:cs="Times New Roman"/>
          <w:sz w:val="24"/>
          <w:szCs w:val="24"/>
          <w:lang w:val="en-GB" w:eastAsia="en-GB"/>
        </w:rPr>
        <w:t>(1), 73.</w:t>
      </w:r>
      <w:r>
        <w:rPr>
          <w:rFonts w:ascii="Times New Roman" w:eastAsia="Times New Roman" w:hAnsi="Times New Roman" w:cs="Times New Roman"/>
          <w:sz w:val="24"/>
          <w:szCs w:val="24"/>
          <w:lang w:val="en-GB" w:eastAsia="en-GB"/>
        </w:rPr>
        <w:t xml:space="preserve"> </w:t>
      </w:r>
      <w:hyperlink r:id="rId12" w:history="1">
        <w:r w:rsidRPr="00070A7D">
          <w:rPr>
            <w:rStyle w:val="Hyperlink"/>
            <w:rFonts w:ascii="Times New Roman" w:hAnsi="Times New Roman" w:cs="Times New Roman"/>
            <w:sz w:val="24"/>
            <w:szCs w:val="24"/>
          </w:rPr>
          <w:t>https://doi.org/10.1038/s41537-023-00396-3</w:t>
        </w:r>
      </w:hyperlink>
      <w:r>
        <w:rPr>
          <w:rFonts w:ascii="Times New Roman" w:hAnsi="Times New Roman" w:cs="Times New Roman"/>
          <w:sz w:val="24"/>
          <w:szCs w:val="24"/>
        </w:rPr>
        <w:t xml:space="preserve"> </w:t>
      </w:r>
    </w:p>
    <w:p w14:paraId="21846AFC" w14:textId="77777777" w:rsidR="005478FF" w:rsidRDefault="005478FF" w:rsidP="004C3599">
      <w:pPr>
        <w:spacing w:after="0" w:line="480" w:lineRule="auto"/>
        <w:ind w:left="720" w:hanging="720"/>
        <w:rPr>
          <w:rStyle w:val="Hyperlink"/>
          <w:rFonts w:ascii="Times New Roman" w:hAnsi="Times New Roman" w:cs="Times New Roman"/>
          <w:sz w:val="24"/>
          <w:szCs w:val="24"/>
        </w:rPr>
      </w:pPr>
      <w:proofErr w:type="spellStart"/>
      <w:r w:rsidRPr="002454C1">
        <w:rPr>
          <w:rFonts w:ascii="Times New Roman" w:hAnsi="Times New Roman" w:cs="Times New Roman"/>
          <w:sz w:val="24"/>
          <w:szCs w:val="24"/>
        </w:rPr>
        <w:lastRenderedPageBreak/>
        <w:t>Livergant</w:t>
      </w:r>
      <w:proofErr w:type="spellEnd"/>
      <w:r w:rsidRPr="002454C1">
        <w:rPr>
          <w:rFonts w:ascii="Times New Roman" w:hAnsi="Times New Roman" w:cs="Times New Roman"/>
          <w:sz w:val="24"/>
          <w:szCs w:val="24"/>
        </w:rPr>
        <w:t xml:space="preserve">, R. J., Ludlow, N. C., &amp; McBrien, K. A. (2021). Needs assessment for the creation of a community of practice in a community health navigator cohort. </w:t>
      </w:r>
      <w:r w:rsidRPr="002454C1">
        <w:rPr>
          <w:rFonts w:ascii="Times New Roman" w:hAnsi="Times New Roman" w:cs="Times New Roman"/>
          <w:i/>
          <w:iCs/>
          <w:sz w:val="24"/>
          <w:szCs w:val="24"/>
        </w:rPr>
        <w:t>BMC Health Services Research</w:t>
      </w:r>
      <w:r w:rsidRPr="002454C1">
        <w:rPr>
          <w:rFonts w:ascii="Times New Roman" w:hAnsi="Times New Roman" w:cs="Times New Roman"/>
          <w:sz w:val="24"/>
          <w:szCs w:val="24"/>
        </w:rPr>
        <w:t xml:space="preserve">, </w:t>
      </w:r>
      <w:r w:rsidRPr="002454C1">
        <w:rPr>
          <w:rFonts w:ascii="Times New Roman" w:hAnsi="Times New Roman" w:cs="Times New Roman"/>
          <w:i/>
          <w:iCs/>
          <w:sz w:val="24"/>
          <w:szCs w:val="24"/>
        </w:rPr>
        <w:t>21</w:t>
      </w:r>
      <w:r w:rsidRPr="002454C1">
        <w:rPr>
          <w:rFonts w:ascii="Times New Roman" w:hAnsi="Times New Roman" w:cs="Times New Roman"/>
          <w:sz w:val="24"/>
          <w:szCs w:val="24"/>
        </w:rPr>
        <w:t xml:space="preserve">. </w:t>
      </w:r>
      <w:hyperlink r:id="rId13" w:history="1">
        <w:r w:rsidRPr="00070A7D">
          <w:rPr>
            <w:rStyle w:val="Hyperlink"/>
            <w:rFonts w:ascii="Times New Roman" w:hAnsi="Times New Roman" w:cs="Times New Roman"/>
            <w:sz w:val="24"/>
            <w:szCs w:val="24"/>
          </w:rPr>
          <w:t>https://doi.org/10.1186/s12913-021-06507-z</w:t>
        </w:r>
      </w:hyperlink>
    </w:p>
    <w:p w14:paraId="700909F4" w14:textId="77777777" w:rsidR="005478FF" w:rsidRPr="00DD504D" w:rsidRDefault="005478FF" w:rsidP="00DD504D">
      <w:pPr>
        <w:spacing w:after="0" w:line="480" w:lineRule="auto"/>
        <w:ind w:left="720" w:hanging="720"/>
        <w:rPr>
          <w:rFonts w:ascii="Times New Roman" w:eastAsia="Times New Roman" w:hAnsi="Times New Roman" w:cs="Times New Roman"/>
          <w:sz w:val="24"/>
          <w:szCs w:val="24"/>
          <w:lang w:val="en-GB" w:eastAsia="en-GB"/>
        </w:rPr>
      </w:pPr>
      <w:r w:rsidRPr="00DD504D">
        <w:rPr>
          <w:rFonts w:ascii="Times New Roman" w:eastAsia="Times New Roman" w:hAnsi="Times New Roman" w:cs="Times New Roman"/>
          <w:sz w:val="24"/>
          <w:szCs w:val="24"/>
          <w:lang w:val="en-GB" w:eastAsia="en-GB"/>
        </w:rPr>
        <w:t xml:space="preserve">Morris, M. E., Webster, K., Jones, C., Hill, A. M., Haines, T., McPhail, S., </w:t>
      </w:r>
      <w:proofErr w:type="spellStart"/>
      <w:r>
        <w:rPr>
          <w:rFonts w:ascii="Times New Roman" w:eastAsia="Times New Roman" w:hAnsi="Times New Roman" w:cs="Times New Roman"/>
          <w:sz w:val="24"/>
          <w:szCs w:val="24"/>
          <w:lang w:val="en-GB" w:eastAsia="en-GB"/>
        </w:rPr>
        <w:t>Kiegaldie</w:t>
      </w:r>
      <w:proofErr w:type="spellEnd"/>
      <w:r>
        <w:rPr>
          <w:rFonts w:ascii="Times New Roman" w:eastAsia="Times New Roman" w:hAnsi="Times New Roman" w:cs="Times New Roman"/>
          <w:sz w:val="24"/>
          <w:szCs w:val="24"/>
          <w:lang w:val="en-GB" w:eastAsia="en-GB"/>
        </w:rPr>
        <w:t xml:space="preserve">, D., Slade, S., Jazayeri, D., Heng, H., Shorr, R., Carey, L., Barker, A., </w:t>
      </w:r>
      <w:r w:rsidRPr="00DD504D">
        <w:rPr>
          <w:rFonts w:ascii="Times New Roman" w:eastAsia="Times New Roman" w:hAnsi="Times New Roman" w:cs="Times New Roman"/>
          <w:sz w:val="24"/>
          <w:szCs w:val="24"/>
          <w:lang w:val="en-GB" w:eastAsia="en-GB"/>
        </w:rPr>
        <w:t xml:space="preserve">&amp; Cameron, I. (2022). Interventions to reduce falls in hospitals: a systematic review and meta-analysis. </w:t>
      </w:r>
      <w:r w:rsidRPr="00DD504D">
        <w:rPr>
          <w:rFonts w:ascii="Times New Roman" w:eastAsia="Times New Roman" w:hAnsi="Times New Roman" w:cs="Times New Roman"/>
          <w:i/>
          <w:iCs/>
          <w:sz w:val="24"/>
          <w:szCs w:val="24"/>
          <w:lang w:val="en-GB" w:eastAsia="en-GB"/>
        </w:rPr>
        <w:t>Age and Ageing</w:t>
      </w:r>
      <w:r w:rsidRPr="00DD504D">
        <w:rPr>
          <w:rFonts w:ascii="Times New Roman" w:eastAsia="Times New Roman" w:hAnsi="Times New Roman" w:cs="Times New Roman"/>
          <w:sz w:val="24"/>
          <w:szCs w:val="24"/>
          <w:lang w:val="en-GB" w:eastAsia="en-GB"/>
        </w:rPr>
        <w:t xml:space="preserve">, </w:t>
      </w:r>
      <w:r w:rsidRPr="00DD504D">
        <w:rPr>
          <w:rFonts w:ascii="Times New Roman" w:eastAsia="Times New Roman" w:hAnsi="Times New Roman" w:cs="Times New Roman"/>
          <w:i/>
          <w:iCs/>
          <w:sz w:val="24"/>
          <w:szCs w:val="24"/>
          <w:lang w:val="en-GB" w:eastAsia="en-GB"/>
        </w:rPr>
        <w:t>51</w:t>
      </w:r>
      <w:r w:rsidRPr="00DD504D">
        <w:rPr>
          <w:rFonts w:ascii="Times New Roman" w:eastAsia="Times New Roman" w:hAnsi="Times New Roman" w:cs="Times New Roman"/>
          <w:sz w:val="24"/>
          <w:szCs w:val="24"/>
          <w:lang w:val="en-GB" w:eastAsia="en-GB"/>
        </w:rPr>
        <w:t>(5), afac077.</w:t>
      </w:r>
      <w:r>
        <w:rPr>
          <w:rFonts w:ascii="Times New Roman" w:eastAsia="Times New Roman" w:hAnsi="Times New Roman" w:cs="Times New Roman"/>
          <w:sz w:val="24"/>
          <w:szCs w:val="24"/>
          <w:lang w:val="en-GB" w:eastAsia="en-GB"/>
        </w:rPr>
        <w:t xml:space="preserve"> </w:t>
      </w:r>
      <w:hyperlink r:id="rId14" w:history="1">
        <w:r w:rsidRPr="00070A7D">
          <w:rPr>
            <w:rStyle w:val="Hyperlink"/>
            <w:rFonts w:ascii="Times New Roman" w:eastAsia="Times New Roman" w:hAnsi="Times New Roman" w:cs="Times New Roman"/>
            <w:sz w:val="24"/>
            <w:szCs w:val="24"/>
            <w:lang w:val="en-GB" w:eastAsia="en-GB"/>
          </w:rPr>
          <w:t>https://doi.org/10.1093/ageing/afac077</w:t>
        </w:r>
      </w:hyperlink>
      <w:r>
        <w:rPr>
          <w:rFonts w:ascii="Times New Roman" w:eastAsia="Times New Roman" w:hAnsi="Times New Roman" w:cs="Times New Roman"/>
          <w:sz w:val="24"/>
          <w:szCs w:val="24"/>
          <w:lang w:val="en-GB" w:eastAsia="en-GB"/>
        </w:rPr>
        <w:t xml:space="preserve"> </w:t>
      </w:r>
    </w:p>
    <w:p w14:paraId="25CFCFA0" w14:textId="77777777" w:rsidR="005478FF" w:rsidRPr="008A63FD" w:rsidRDefault="005478FF" w:rsidP="008A63FD">
      <w:pPr>
        <w:spacing w:after="0" w:line="480" w:lineRule="auto"/>
        <w:ind w:left="720" w:hanging="720"/>
        <w:rPr>
          <w:rFonts w:ascii="Times New Roman" w:eastAsia="Times New Roman" w:hAnsi="Times New Roman" w:cs="Times New Roman"/>
          <w:sz w:val="24"/>
          <w:szCs w:val="24"/>
          <w:lang w:val="en-GB" w:eastAsia="en-GB"/>
        </w:rPr>
      </w:pPr>
      <w:r w:rsidRPr="008A63FD">
        <w:rPr>
          <w:rFonts w:ascii="Times New Roman" w:eastAsia="Times New Roman" w:hAnsi="Times New Roman" w:cs="Times New Roman"/>
          <w:sz w:val="24"/>
          <w:szCs w:val="24"/>
          <w:lang w:val="en-GB" w:eastAsia="en-GB"/>
        </w:rPr>
        <w:t xml:space="preserve">Naseri, C., McPhail, S. M., Morris, M. E., Shorr, R., Flicker, L., Bulsara, M., </w:t>
      </w:r>
      <w:r>
        <w:rPr>
          <w:rFonts w:ascii="Times New Roman" w:eastAsia="Times New Roman" w:hAnsi="Times New Roman" w:cs="Times New Roman"/>
          <w:sz w:val="24"/>
          <w:szCs w:val="24"/>
          <w:lang w:val="en-GB" w:eastAsia="en-GB"/>
        </w:rPr>
        <w:t xml:space="preserve">Lee, D., </w:t>
      </w:r>
      <w:proofErr w:type="spellStart"/>
      <w:r>
        <w:rPr>
          <w:rFonts w:ascii="Times New Roman" w:eastAsia="Times New Roman" w:hAnsi="Times New Roman" w:cs="Times New Roman"/>
          <w:sz w:val="24"/>
          <w:szCs w:val="24"/>
          <w:lang w:val="en-GB" w:eastAsia="en-GB"/>
        </w:rPr>
        <w:t>Farncis</w:t>
      </w:r>
      <w:proofErr w:type="spellEnd"/>
      <w:r>
        <w:rPr>
          <w:rFonts w:ascii="Times New Roman" w:eastAsia="Times New Roman" w:hAnsi="Times New Roman" w:cs="Times New Roman"/>
          <w:sz w:val="24"/>
          <w:szCs w:val="24"/>
          <w:lang w:val="en-GB" w:eastAsia="en-GB"/>
        </w:rPr>
        <w:t>-Coad, J., Waldron, N.,</w:t>
      </w:r>
      <w:r w:rsidRPr="008A63FD">
        <w:rPr>
          <w:rFonts w:ascii="Times New Roman" w:eastAsia="Times New Roman" w:hAnsi="Times New Roman" w:cs="Times New Roman"/>
          <w:sz w:val="24"/>
          <w:szCs w:val="24"/>
          <w:lang w:val="en-GB" w:eastAsia="en-GB"/>
        </w:rPr>
        <w:t xml:space="preserve"> &amp; Hill, A. M. (2021). Tailored education increased capability and motivation for fall prevention in older people after hospitalization. </w:t>
      </w:r>
      <w:r w:rsidRPr="008A63FD">
        <w:rPr>
          <w:rFonts w:ascii="Times New Roman" w:eastAsia="Times New Roman" w:hAnsi="Times New Roman" w:cs="Times New Roman"/>
          <w:i/>
          <w:iCs/>
          <w:sz w:val="24"/>
          <w:szCs w:val="24"/>
          <w:lang w:val="en-GB" w:eastAsia="en-GB"/>
        </w:rPr>
        <w:t>Frontiers in Public Health</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9</w:t>
      </w:r>
      <w:r w:rsidRPr="008A63FD">
        <w:rPr>
          <w:rFonts w:ascii="Times New Roman" w:eastAsia="Times New Roman" w:hAnsi="Times New Roman" w:cs="Times New Roman"/>
          <w:sz w:val="24"/>
          <w:szCs w:val="24"/>
          <w:lang w:val="en-GB" w:eastAsia="en-GB"/>
        </w:rPr>
        <w:t>, 683723.</w:t>
      </w:r>
      <w:r>
        <w:rPr>
          <w:rFonts w:ascii="Times New Roman" w:hAnsi="Times New Roman" w:cs="Times New Roman"/>
          <w:sz w:val="24"/>
          <w:szCs w:val="24"/>
        </w:rPr>
        <w:t xml:space="preserve"> </w:t>
      </w:r>
      <w:hyperlink r:id="rId15" w:history="1">
        <w:r w:rsidRPr="00070A7D">
          <w:rPr>
            <w:rStyle w:val="Hyperlink"/>
            <w:rFonts w:ascii="Times New Roman" w:hAnsi="Times New Roman" w:cs="Times New Roman"/>
            <w:sz w:val="24"/>
            <w:szCs w:val="24"/>
          </w:rPr>
          <w:t>https://doi.org/10.3389/fpubh.2021.683723</w:t>
        </w:r>
      </w:hyperlink>
      <w:r>
        <w:rPr>
          <w:rFonts w:ascii="Times New Roman" w:hAnsi="Times New Roman" w:cs="Times New Roman"/>
          <w:sz w:val="24"/>
          <w:szCs w:val="24"/>
        </w:rPr>
        <w:t xml:space="preserve"> </w:t>
      </w:r>
    </w:p>
    <w:p w14:paraId="305CFBE0" w14:textId="77777777" w:rsidR="005478FF" w:rsidRPr="002454C1" w:rsidRDefault="005478FF" w:rsidP="00DD504D">
      <w:pPr>
        <w:spacing w:after="0" w:line="480" w:lineRule="auto"/>
        <w:ind w:left="720" w:hanging="720"/>
        <w:rPr>
          <w:rFonts w:ascii="Times New Roman" w:hAnsi="Times New Roman" w:cs="Times New Roman"/>
          <w:sz w:val="24"/>
          <w:szCs w:val="24"/>
          <w:shd w:val="clear" w:color="auto" w:fill="FFFFFF"/>
        </w:rPr>
      </w:pPr>
      <w:r w:rsidRPr="002454C1">
        <w:rPr>
          <w:rFonts w:ascii="Times New Roman" w:hAnsi="Times New Roman" w:cs="Times New Roman"/>
          <w:sz w:val="24"/>
          <w:szCs w:val="24"/>
          <w:shd w:val="clear" w:color="auto" w:fill="FFFFFF"/>
        </w:rPr>
        <w:t xml:space="preserve">Nikolova, I., Schaufeli, W., &amp; </w:t>
      </w:r>
      <w:proofErr w:type="spellStart"/>
      <w:r w:rsidRPr="002454C1">
        <w:rPr>
          <w:rFonts w:ascii="Times New Roman" w:hAnsi="Times New Roman" w:cs="Times New Roman"/>
          <w:sz w:val="24"/>
          <w:szCs w:val="24"/>
          <w:shd w:val="clear" w:color="auto" w:fill="FFFFFF"/>
        </w:rPr>
        <w:t>Notelaers</w:t>
      </w:r>
      <w:proofErr w:type="spellEnd"/>
      <w:r w:rsidRPr="002454C1">
        <w:rPr>
          <w:rFonts w:ascii="Times New Roman" w:hAnsi="Times New Roman" w:cs="Times New Roman"/>
          <w:sz w:val="24"/>
          <w:szCs w:val="24"/>
          <w:shd w:val="clear" w:color="auto" w:fill="FFFFFF"/>
        </w:rPr>
        <w:t>, G. (2019). Engaging leader–Engaged employees? A cross-lagged study on employee engagement. </w:t>
      </w:r>
      <w:r w:rsidRPr="002454C1">
        <w:rPr>
          <w:rFonts w:ascii="Times New Roman" w:hAnsi="Times New Roman" w:cs="Times New Roman"/>
          <w:i/>
          <w:iCs/>
          <w:sz w:val="24"/>
          <w:szCs w:val="24"/>
          <w:shd w:val="clear" w:color="auto" w:fill="FFFFFF"/>
        </w:rPr>
        <w:t>European Management Journal</w:t>
      </w:r>
      <w:r w:rsidRPr="002454C1">
        <w:rPr>
          <w:rFonts w:ascii="Times New Roman" w:hAnsi="Times New Roman" w:cs="Times New Roman"/>
          <w:sz w:val="24"/>
          <w:szCs w:val="24"/>
          <w:shd w:val="clear" w:color="auto" w:fill="FFFFFF"/>
        </w:rPr>
        <w:t>, </w:t>
      </w:r>
      <w:r w:rsidRPr="002454C1">
        <w:rPr>
          <w:rFonts w:ascii="Times New Roman" w:hAnsi="Times New Roman" w:cs="Times New Roman"/>
          <w:i/>
          <w:iCs/>
          <w:sz w:val="24"/>
          <w:szCs w:val="24"/>
          <w:shd w:val="clear" w:color="auto" w:fill="FFFFFF"/>
        </w:rPr>
        <w:t>37</w:t>
      </w:r>
      <w:r w:rsidRPr="002454C1">
        <w:rPr>
          <w:rFonts w:ascii="Times New Roman" w:hAnsi="Times New Roman" w:cs="Times New Roman"/>
          <w:sz w:val="24"/>
          <w:szCs w:val="24"/>
          <w:shd w:val="clear" w:color="auto" w:fill="FFFFFF"/>
        </w:rPr>
        <w:t xml:space="preserve">(6), 772-783. </w:t>
      </w:r>
      <w:hyperlink r:id="rId16" w:history="1">
        <w:r w:rsidRPr="002454C1">
          <w:rPr>
            <w:rStyle w:val="Hyperlink"/>
            <w:rFonts w:ascii="Times New Roman" w:hAnsi="Times New Roman" w:cs="Times New Roman"/>
            <w:sz w:val="24"/>
            <w:szCs w:val="24"/>
            <w:shd w:val="clear" w:color="auto" w:fill="FFFFFF"/>
          </w:rPr>
          <w:t>https://doi.org/10.1016/j.emj.2019.02.004</w:t>
        </w:r>
      </w:hyperlink>
      <w:r w:rsidRPr="002454C1">
        <w:rPr>
          <w:rFonts w:ascii="Times New Roman" w:hAnsi="Times New Roman" w:cs="Times New Roman"/>
          <w:sz w:val="24"/>
          <w:szCs w:val="24"/>
          <w:shd w:val="clear" w:color="auto" w:fill="FFFFFF"/>
        </w:rPr>
        <w:t xml:space="preserve"> </w:t>
      </w:r>
    </w:p>
    <w:p w14:paraId="7A37968A" w14:textId="77777777" w:rsidR="005478FF" w:rsidRDefault="005478FF" w:rsidP="00DD504D">
      <w:pPr>
        <w:spacing w:after="0" w:line="480" w:lineRule="auto"/>
        <w:ind w:left="720" w:hanging="720"/>
        <w:rPr>
          <w:rFonts w:ascii="Times New Roman" w:eastAsia="Times New Roman" w:hAnsi="Times New Roman" w:cs="Times New Roman"/>
          <w:sz w:val="24"/>
          <w:szCs w:val="24"/>
          <w:lang w:val="en-GB" w:eastAsia="en-GB"/>
        </w:rPr>
      </w:pPr>
      <w:r w:rsidRPr="00DD504D">
        <w:rPr>
          <w:rFonts w:ascii="Times New Roman" w:eastAsia="Times New Roman" w:hAnsi="Times New Roman" w:cs="Times New Roman"/>
          <w:sz w:val="24"/>
          <w:szCs w:val="24"/>
          <w:lang w:val="en-GB" w:eastAsia="en-GB"/>
        </w:rPr>
        <w:t xml:space="preserve">Ocker, S. A., Barton, S. A., Bollinger, N., Leaver, C. A., Harne-Britner, S., &amp; Heuston, M. M. (2020). Preventing falls among </w:t>
      </w:r>
      <w:proofErr w:type="spellStart"/>
      <w:r w:rsidRPr="00DD504D">
        <w:rPr>
          <w:rFonts w:ascii="Times New Roman" w:eastAsia="Times New Roman" w:hAnsi="Times New Roman" w:cs="Times New Roman"/>
          <w:sz w:val="24"/>
          <w:szCs w:val="24"/>
          <w:lang w:val="en-GB" w:eastAsia="en-GB"/>
        </w:rPr>
        <w:t>behavioral</w:t>
      </w:r>
      <w:proofErr w:type="spellEnd"/>
      <w:r w:rsidRPr="00DD504D">
        <w:rPr>
          <w:rFonts w:ascii="Times New Roman" w:eastAsia="Times New Roman" w:hAnsi="Times New Roman" w:cs="Times New Roman"/>
          <w:sz w:val="24"/>
          <w:szCs w:val="24"/>
          <w:lang w:val="en-GB" w:eastAsia="en-GB"/>
        </w:rPr>
        <w:t xml:space="preserve"> health patients. </w:t>
      </w:r>
      <w:r w:rsidRPr="00DD504D">
        <w:rPr>
          <w:rFonts w:ascii="Times New Roman" w:eastAsia="Times New Roman" w:hAnsi="Times New Roman" w:cs="Times New Roman"/>
          <w:i/>
          <w:iCs/>
          <w:sz w:val="24"/>
          <w:szCs w:val="24"/>
          <w:lang w:val="en-GB" w:eastAsia="en-GB"/>
        </w:rPr>
        <w:t>AJN The American Journal of Nursing</w:t>
      </w:r>
      <w:r w:rsidRPr="00DD504D">
        <w:rPr>
          <w:rFonts w:ascii="Times New Roman" w:eastAsia="Times New Roman" w:hAnsi="Times New Roman" w:cs="Times New Roman"/>
          <w:sz w:val="24"/>
          <w:szCs w:val="24"/>
          <w:lang w:val="en-GB" w:eastAsia="en-GB"/>
        </w:rPr>
        <w:t xml:space="preserve">, </w:t>
      </w:r>
      <w:r w:rsidRPr="00DD504D">
        <w:rPr>
          <w:rFonts w:ascii="Times New Roman" w:eastAsia="Times New Roman" w:hAnsi="Times New Roman" w:cs="Times New Roman"/>
          <w:i/>
          <w:iCs/>
          <w:sz w:val="24"/>
          <w:szCs w:val="24"/>
          <w:lang w:val="en-GB" w:eastAsia="en-GB"/>
        </w:rPr>
        <w:t>120</w:t>
      </w:r>
      <w:r w:rsidRPr="00DD504D">
        <w:rPr>
          <w:rFonts w:ascii="Times New Roman" w:eastAsia="Times New Roman" w:hAnsi="Times New Roman" w:cs="Times New Roman"/>
          <w:sz w:val="24"/>
          <w:szCs w:val="24"/>
          <w:lang w:val="en-GB" w:eastAsia="en-GB"/>
        </w:rPr>
        <w:t>(7), 61-68.</w:t>
      </w:r>
      <w:r>
        <w:rPr>
          <w:rFonts w:ascii="Times New Roman" w:eastAsia="Times New Roman" w:hAnsi="Times New Roman" w:cs="Times New Roman"/>
          <w:sz w:val="24"/>
          <w:szCs w:val="24"/>
          <w:lang w:val="en-GB" w:eastAsia="en-GB"/>
        </w:rPr>
        <w:t xml:space="preserve"> </w:t>
      </w:r>
      <w:hyperlink r:id="rId17" w:history="1">
        <w:r w:rsidRPr="00070A7D">
          <w:rPr>
            <w:rStyle w:val="Hyperlink"/>
            <w:rFonts w:ascii="Times New Roman" w:eastAsia="Times New Roman" w:hAnsi="Times New Roman" w:cs="Times New Roman"/>
            <w:sz w:val="24"/>
            <w:szCs w:val="24"/>
            <w:lang w:val="en-GB" w:eastAsia="en-GB"/>
          </w:rPr>
          <w:t>https://doi.org/10.1097@01.NAJ.0000688256.96880.a3</w:t>
        </w:r>
      </w:hyperlink>
      <w:r>
        <w:rPr>
          <w:rFonts w:ascii="Times New Roman" w:eastAsia="Times New Roman" w:hAnsi="Times New Roman" w:cs="Times New Roman"/>
          <w:sz w:val="24"/>
          <w:szCs w:val="24"/>
          <w:lang w:val="en-GB" w:eastAsia="en-GB"/>
        </w:rPr>
        <w:t xml:space="preserve"> </w:t>
      </w:r>
    </w:p>
    <w:p w14:paraId="419727FD" w14:textId="77777777" w:rsidR="005478FF" w:rsidRPr="002454C1" w:rsidRDefault="005478FF" w:rsidP="00DD504D">
      <w:pPr>
        <w:spacing w:after="0" w:line="480" w:lineRule="auto"/>
        <w:ind w:left="720" w:hanging="720"/>
        <w:rPr>
          <w:rFonts w:ascii="Times New Roman" w:eastAsia="Times New Roman" w:hAnsi="Times New Roman" w:cs="Times New Roman"/>
          <w:sz w:val="24"/>
          <w:szCs w:val="24"/>
        </w:rPr>
      </w:pPr>
      <w:r w:rsidRPr="002454C1">
        <w:rPr>
          <w:rFonts w:ascii="Times New Roman" w:eastAsia="Times New Roman" w:hAnsi="Times New Roman" w:cs="Times New Roman"/>
          <w:sz w:val="24"/>
          <w:szCs w:val="24"/>
        </w:rPr>
        <w:t xml:space="preserve">Pack, R., Columbus, L., </w:t>
      </w:r>
      <w:proofErr w:type="spellStart"/>
      <w:r w:rsidRPr="002454C1">
        <w:rPr>
          <w:rFonts w:ascii="Times New Roman" w:eastAsia="Times New Roman" w:hAnsi="Times New Roman" w:cs="Times New Roman"/>
          <w:sz w:val="24"/>
          <w:szCs w:val="24"/>
        </w:rPr>
        <w:t>Duncliffe</w:t>
      </w:r>
      <w:proofErr w:type="spellEnd"/>
      <w:r w:rsidRPr="002454C1">
        <w:rPr>
          <w:rFonts w:ascii="Times New Roman" w:eastAsia="Times New Roman" w:hAnsi="Times New Roman" w:cs="Times New Roman"/>
          <w:sz w:val="24"/>
          <w:szCs w:val="24"/>
        </w:rPr>
        <w:t xml:space="preserve">, T. H., Banner, H., Singh, P., Seemann, N., &amp; Taylor, T. (2022). "Maybe I'm not that approachable": using simulation to elicit team leaders' perceptions of their role in facilitating speaking up behaviors. </w:t>
      </w:r>
      <w:r w:rsidRPr="002454C1">
        <w:rPr>
          <w:rFonts w:ascii="Times New Roman" w:eastAsia="Times New Roman" w:hAnsi="Times New Roman" w:cs="Times New Roman"/>
          <w:i/>
          <w:iCs/>
          <w:sz w:val="24"/>
          <w:szCs w:val="24"/>
        </w:rPr>
        <w:t>Advances in Simulation (London, England)</w:t>
      </w:r>
      <w:r w:rsidRPr="002454C1">
        <w:rPr>
          <w:rFonts w:ascii="Times New Roman" w:eastAsia="Times New Roman" w:hAnsi="Times New Roman" w:cs="Times New Roman"/>
          <w:sz w:val="24"/>
          <w:szCs w:val="24"/>
        </w:rPr>
        <w:t xml:space="preserve">, </w:t>
      </w:r>
      <w:r w:rsidRPr="002454C1">
        <w:rPr>
          <w:rFonts w:ascii="Times New Roman" w:eastAsia="Times New Roman" w:hAnsi="Times New Roman" w:cs="Times New Roman"/>
          <w:i/>
          <w:iCs/>
          <w:sz w:val="24"/>
          <w:szCs w:val="24"/>
        </w:rPr>
        <w:t>7</w:t>
      </w:r>
      <w:r w:rsidRPr="002454C1">
        <w:rPr>
          <w:rFonts w:ascii="Times New Roman" w:eastAsia="Times New Roman" w:hAnsi="Times New Roman" w:cs="Times New Roman"/>
          <w:sz w:val="24"/>
          <w:szCs w:val="24"/>
        </w:rPr>
        <w:t xml:space="preserve">(1), 31. </w:t>
      </w:r>
      <w:hyperlink r:id="rId18" w:history="1">
        <w:r w:rsidRPr="002454C1">
          <w:rPr>
            <w:rStyle w:val="Hyperlink"/>
            <w:rFonts w:ascii="Times New Roman" w:eastAsia="Times New Roman" w:hAnsi="Times New Roman" w:cs="Times New Roman"/>
            <w:sz w:val="24"/>
            <w:szCs w:val="24"/>
          </w:rPr>
          <w:t>https://doi.org/10.1186/s41077-022-00227-y</w:t>
        </w:r>
      </w:hyperlink>
      <w:r w:rsidRPr="002454C1">
        <w:rPr>
          <w:rFonts w:ascii="Times New Roman" w:eastAsia="Times New Roman" w:hAnsi="Times New Roman" w:cs="Times New Roman"/>
          <w:sz w:val="24"/>
          <w:szCs w:val="24"/>
        </w:rPr>
        <w:t xml:space="preserve"> </w:t>
      </w:r>
    </w:p>
    <w:p w14:paraId="5EE5F87D" w14:textId="77777777" w:rsidR="005478FF" w:rsidRPr="00532556" w:rsidRDefault="005478FF" w:rsidP="005478FF">
      <w:pPr>
        <w:spacing w:after="0" w:line="480" w:lineRule="auto"/>
        <w:ind w:left="720" w:hanging="720"/>
        <w:rPr>
          <w:rFonts w:ascii="Times New Roman" w:hAnsi="Times New Roman" w:cs="Times New Roman"/>
          <w:sz w:val="24"/>
          <w:szCs w:val="24"/>
        </w:rPr>
      </w:pPr>
      <w:proofErr w:type="spellStart"/>
      <w:r w:rsidRPr="002454C1">
        <w:rPr>
          <w:rFonts w:ascii="Times New Roman" w:hAnsi="Times New Roman" w:cs="Times New Roman"/>
          <w:sz w:val="24"/>
          <w:szCs w:val="24"/>
        </w:rPr>
        <w:t>Rahmadani</w:t>
      </w:r>
      <w:proofErr w:type="spellEnd"/>
      <w:r w:rsidRPr="002454C1">
        <w:rPr>
          <w:rFonts w:ascii="Times New Roman" w:hAnsi="Times New Roman" w:cs="Times New Roman"/>
          <w:sz w:val="24"/>
          <w:szCs w:val="24"/>
        </w:rPr>
        <w:t xml:space="preserve">, V. G., Schaufeli, W. B., Stouten, J., Zhang, Z., &amp; Zulkarnain, Z. (2020). Engaging leadership and its implication for work engagement and job outcomes at the individual </w:t>
      </w:r>
      <w:r w:rsidRPr="002454C1">
        <w:rPr>
          <w:rFonts w:ascii="Times New Roman" w:hAnsi="Times New Roman" w:cs="Times New Roman"/>
          <w:sz w:val="24"/>
          <w:szCs w:val="24"/>
        </w:rPr>
        <w:lastRenderedPageBreak/>
        <w:t xml:space="preserve">and team level: A multi-level longitudinal study. </w:t>
      </w:r>
      <w:r w:rsidRPr="002454C1">
        <w:rPr>
          <w:rFonts w:ascii="Times New Roman" w:hAnsi="Times New Roman" w:cs="Times New Roman"/>
          <w:i/>
          <w:iCs/>
          <w:sz w:val="24"/>
          <w:szCs w:val="24"/>
        </w:rPr>
        <w:t>International Journal of Environmental Research and Public Health</w:t>
      </w:r>
      <w:r w:rsidRPr="002454C1">
        <w:rPr>
          <w:rFonts w:ascii="Times New Roman" w:hAnsi="Times New Roman" w:cs="Times New Roman"/>
          <w:sz w:val="24"/>
          <w:szCs w:val="24"/>
        </w:rPr>
        <w:t xml:space="preserve">, </w:t>
      </w:r>
      <w:r w:rsidRPr="002454C1">
        <w:rPr>
          <w:rFonts w:ascii="Times New Roman" w:hAnsi="Times New Roman" w:cs="Times New Roman"/>
          <w:i/>
          <w:iCs/>
          <w:sz w:val="24"/>
          <w:szCs w:val="24"/>
        </w:rPr>
        <w:t>17</w:t>
      </w:r>
      <w:r w:rsidRPr="002454C1">
        <w:rPr>
          <w:rFonts w:ascii="Times New Roman" w:hAnsi="Times New Roman" w:cs="Times New Roman"/>
          <w:sz w:val="24"/>
          <w:szCs w:val="24"/>
        </w:rPr>
        <w:t xml:space="preserve">(3). </w:t>
      </w:r>
      <w:hyperlink r:id="rId19" w:history="1">
        <w:r w:rsidRPr="002454C1">
          <w:rPr>
            <w:rStyle w:val="Hyperlink"/>
            <w:rFonts w:ascii="Times New Roman" w:hAnsi="Times New Roman" w:cs="Times New Roman"/>
            <w:sz w:val="24"/>
            <w:szCs w:val="24"/>
          </w:rPr>
          <w:t>https://doi.org/10.3390/ijerph17030776</w:t>
        </w:r>
      </w:hyperlink>
    </w:p>
    <w:p w14:paraId="377ABC9C" w14:textId="77777777" w:rsidR="005478FF" w:rsidRDefault="005478FF" w:rsidP="00224E09">
      <w:pPr>
        <w:spacing w:after="0" w:line="480" w:lineRule="auto"/>
        <w:ind w:left="720" w:hanging="720"/>
      </w:pPr>
      <w:proofErr w:type="spellStart"/>
      <w:r w:rsidRPr="00224E09">
        <w:rPr>
          <w:rFonts w:ascii="Times New Roman" w:eastAsia="Times New Roman" w:hAnsi="Times New Roman" w:cs="Times New Roman"/>
          <w:sz w:val="24"/>
          <w:szCs w:val="24"/>
          <w:lang w:val="en-GB" w:eastAsia="en-GB"/>
        </w:rPr>
        <w:t>Seeherunwong</w:t>
      </w:r>
      <w:proofErr w:type="spellEnd"/>
      <w:r w:rsidRPr="00224E09">
        <w:rPr>
          <w:rFonts w:ascii="Times New Roman" w:eastAsia="Times New Roman" w:hAnsi="Times New Roman" w:cs="Times New Roman"/>
          <w:sz w:val="24"/>
          <w:szCs w:val="24"/>
          <w:lang w:val="en-GB" w:eastAsia="en-GB"/>
        </w:rPr>
        <w:t xml:space="preserve">, A., Thunyadee, C., </w:t>
      </w:r>
      <w:proofErr w:type="spellStart"/>
      <w:r w:rsidRPr="00224E09">
        <w:rPr>
          <w:rFonts w:ascii="Times New Roman" w:eastAsia="Times New Roman" w:hAnsi="Times New Roman" w:cs="Times New Roman"/>
          <w:sz w:val="24"/>
          <w:szCs w:val="24"/>
          <w:lang w:val="en-GB" w:eastAsia="en-GB"/>
        </w:rPr>
        <w:t>Vanishakije</w:t>
      </w:r>
      <w:proofErr w:type="spellEnd"/>
      <w:r w:rsidRPr="00224E09">
        <w:rPr>
          <w:rFonts w:ascii="Times New Roman" w:eastAsia="Times New Roman" w:hAnsi="Times New Roman" w:cs="Times New Roman"/>
          <w:sz w:val="24"/>
          <w:szCs w:val="24"/>
          <w:lang w:val="en-GB" w:eastAsia="en-GB"/>
        </w:rPr>
        <w:t xml:space="preserve">, W., &amp; </w:t>
      </w:r>
      <w:proofErr w:type="spellStart"/>
      <w:r w:rsidRPr="00224E09">
        <w:rPr>
          <w:rFonts w:ascii="Times New Roman" w:eastAsia="Times New Roman" w:hAnsi="Times New Roman" w:cs="Times New Roman"/>
          <w:sz w:val="24"/>
          <w:szCs w:val="24"/>
          <w:lang w:val="en-GB" w:eastAsia="en-GB"/>
        </w:rPr>
        <w:t>Thanabodee-Tummajaree</w:t>
      </w:r>
      <w:proofErr w:type="spellEnd"/>
      <w:r w:rsidRPr="00224E09">
        <w:rPr>
          <w:rFonts w:ascii="Times New Roman" w:eastAsia="Times New Roman" w:hAnsi="Times New Roman" w:cs="Times New Roman"/>
          <w:sz w:val="24"/>
          <w:szCs w:val="24"/>
          <w:lang w:val="en-GB" w:eastAsia="en-GB"/>
        </w:rPr>
        <w:t xml:space="preserve">, P. (2022). Staffing and patient-related factors affecting inpatient falls in a psychiatric hospital: a 5-year retrospective matched case–control study. </w:t>
      </w:r>
      <w:r w:rsidRPr="00224E09">
        <w:rPr>
          <w:rFonts w:ascii="Times New Roman" w:eastAsia="Times New Roman" w:hAnsi="Times New Roman" w:cs="Times New Roman"/>
          <w:i/>
          <w:iCs/>
          <w:sz w:val="24"/>
          <w:szCs w:val="24"/>
          <w:lang w:val="en-GB" w:eastAsia="en-GB"/>
        </w:rPr>
        <w:t>International Journal of Mental Health Systems</w:t>
      </w:r>
      <w:r w:rsidRPr="00224E09">
        <w:rPr>
          <w:rFonts w:ascii="Times New Roman" w:eastAsia="Times New Roman" w:hAnsi="Times New Roman" w:cs="Times New Roman"/>
          <w:sz w:val="24"/>
          <w:szCs w:val="24"/>
          <w:lang w:val="en-GB" w:eastAsia="en-GB"/>
        </w:rPr>
        <w:t xml:space="preserve">, </w:t>
      </w:r>
      <w:r w:rsidRPr="00224E09">
        <w:rPr>
          <w:rFonts w:ascii="Times New Roman" w:eastAsia="Times New Roman" w:hAnsi="Times New Roman" w:cs="Times New Roman"/>
          <w:i/>
          <w:iCs/>
          <w:sz w:val="24"/>
          <w:szCs w:val="24"/>
          <w:lang w:val="en-GB" w:eastAsia="en-GB"/>
        </w:rPr>
        <w:t>16</w:t>
      </w:r>
      <w:r w:rsidRPr="00224E09">
        <w:rPr>
          <w:rFonts w:ascii="Times New Roman" w:eastAsia="Times New Roman" w:hAnsi="Times New Roman" w:cs="Times New Roman"/>
          <w:sz w:val="24"/>
          <w:szCs w:val="24"/>
          <w:lang w:val="en-GB" w:eastAsia="en-GB"/>
        </w:rPr>
        <w:t xml:space="preserve">(1), 3. </w:t>
      </w:r>
      <w:hyperlink r:id="rId20" w:history="1">
        <w:r w:rsidRPr="00070A7D">
          <w:rPr>
            <w:rStyle w:val="Hyperlink"/>
            <w:rFonts w:ascii="Times New Roman" w:hAnsi="Times New Roman" w:cs="Times New Roman"/>
            <w:sz w:val="24"/>
            <w:szCs w:val="24"/>
          </w:rPr>
          <w:t>https://doi.org/10.1186/s13033-022-00514-1</w:t>
        </w:r>
      </w:hyperlink>
      <w:r>
        <w:t xml:space="preserve"> </w:t>
      </w:r>
    </w:p>
    <w:p w14:paraId="7AA28768" w14:textId="77777777" w:rsidR="005478FF" w:rsidRPr="002454C1" w:rsidRDefault="005478FF" w:rsidP="008A63FD">
      <w:pPr>
        <w:spacing w:after="0" w:line="480" w:lineRule="auto"/>
        <w:ind w:left="720" w:hanging="720"/>
        <w:rPr>
          <w:rFonts w:ascii="Times New Roman" w:hAnsi="Times New Roman" w:cs="Times New Roman"/>
          <w:sz w:val="24"/>
          <w:szCs w:val="24"/>
        </w:rPr>
      </w:pPr>
      <w:r w:rsidRPr="002454C1">
        <w:rPr>
          <w:rFonts w:ascii="Times New Roman" w:hAnsi="Times New Roman" w:cs="Times New Roman"/>
          <w:sz w:val="24"/>
          <w:szCs w:val="24"/>
        </w:rPr>
        <w:t xml:space="preserve">Swani, J., &amp; Isherwood, P. (2019). The approachable team leader: Front line perspectives on leadership in critical care. </w:t>
      </w:r>
      <w:r w:rsidRPr="002454C1">
        <w:rPr>
          <w:rFonts w:ascii="Times New Roman" w:hAnsi="Times New Roman" w:cs="Times New Roman"/>
          <w:i/>
          <w:iCs/>
          <w:sz w:val="24"/>
          <w:szCs w:val="24"/>
        </w:rPr>
        <w:t>Journal of Patient Safety and Risk Management</w:t>
      </w:r>
      <w:r w:rsidRPr="002454C1">
        <w:rPr>
          <w:rFonts w:ascii="Times New Roman" w:hAnsi="Times New Roman" w:cs="Times New Roman"/>
          <w:sz w:val="24"/>
          <w:szCs w:val="24"/>
        </w:rPr>
        <w:t xml:space="preserve">. </w:t>
      </w:r>
      <w:hyperlink r:id="rId21" w:history="1">
        <w:r w:rsidRPr="002454C1">
          <w:rPr>
            <w:rStyle w:val="Hyperlink"/>
            <w:rFonts w:ascii="Times New Roman" w:hAnsi="Times New Roman" w:cs="Times New Roman"/>
            <w:sz w:val="24"/>
            <w:szCs w:val="24"/>
          </w:rPr>
          <w:t>https://doi.org/10.1177/2516043519887045</w:t>
        </w:r>
      </w:hyperlink>
    </w:p>
    <w:p w14:paraId="48319FB6" w14:textId="77777777" w:rsidR="005478FF" w:rsidRDefault="005478FF" w:rsidP="00224E09">
      <w:pPr>
        <w:spacing w:after="0" w:line="480" w:lineRule="auto"/>
        <w:ind w:left="720" w:hanging="720"/>
        <w:rPr>
          <w:rFonts w:ascii="Times New Roman" w:eastAsia="Times New Roman" w:hAnsi="Times New Roman" w:cs="Times New Roman"/>
          <w:sz w:val="24"/>
          <w:szCs w:val="24"/>
          <w:lang w:val="en-GB" w:eastAsia="en-GB"/>
        </w:rPr>
      </w:pPr>
      <w:r w:rsidRPr="00224E09">
        <w:rPr>
          <w:rFonts w:ascii="Times New Roman" w:eastAsia="Times New Roman" w:hAnsi="Times New Roman" w:cs="Times New Roman"/>
          <w:sz w:val="24"/>
          <w:szCs w:val="24"/>
          <w:lang w:val="en-GB" w:eastAsia="en-GB"/>
        </w:rPr>
        <w:t xml:space="preserve">Turner, K., Bjarnadottir, R., Jo, A., Repique, R. J. R., Thomas, J., Green, J. F., &amp; Staggs, V. S. (2020). Patient falls and injuries in US psychiatric care: incidence and trends. </w:t>
      </w:r>
      <w:r w:rsidRPr="00224E09">
        <w:rPr>
          <w:rFonts w:ascii="Times New Roman" w:eastAsia="Times New Roman" w:hAnsi="Times New Roman" w:cs="Times New Roman"/>
          <w:i/>
          <w:iCs/>
          <w:sz w:val="24"/>
          <w:szCs w:val="24"/>
          <w:lang w:val="en-GB" w:eastAsia="en-GB"/>
        </w:rPr>
        <w:t>Psychiatric Services</w:t>
      </w:r>
      <w:r w:rsidRPr="00224E09">
        <w:rPr>
          <w:rFonts w:ascii="Times New Roman" w:eastAsia="Times New Roman" w:hAnsi="Times New Roman" w:cs="Times New Roman"/>
          <w:sz w:val="24"/>
          <w:szCs w:val="24"/>
          <w:lang w:val="en-GB" w:eastAsia="en-GB"/>
        </w:rPr>
        <w:t xml:space="preserve">, </w:t>
      </w:r>
      <w:r w:rsidRPr="00224E09">
        <w:rPr>
          <w:rFonts w:ascii="Times New Roman" w:eastAsia="Times New Roman" w:hAnsi="Times New Roman" w:cs="Times New Roman"/>
          <w:i/>
          <w:iCs/>
          <w:sz w:val="24"/>
          <w:szCs w:val="24"/>
          <w:lang w:val="en-GB" w:eastAsia="en-GB"/>
        </w:rPr>
        <w:t>71</w:t>
      </w:r>
      <w:r w:rsidRPr="00224E09">
        <w:rPr>
          <w:rFonts w:ascii="Times New Roman" w:eastAsia="Times New Roman" w:hAnsi="Times New Roman" w:cs="Times New Roman"/>
          <w:sz w:val="24"/>
          <w:szCs w:val="24"/>
          <w:lang w:val="en-GB" w:eastAsia="en-GB"/>
        </w:rPr>
        <w:t>(9), 899-905.</w:t>
      </w:r>
      <w:r>
        <w:rPr>
          <w:rFonts w:ascii="Times New Roman" w:eastAsia="Times New Roman" w:hAnsi="Times New Roman" w:cs="Times New Roman"/>
          <w:sz w:val="24"/>
          <w:szCs w:val="24"/>
          <w:lang w:val="en-GB" w:eastAsia="en-GB"/>
        </w:rPr>
        <w:t xml:space="preserve"> </w:t>
      </w:r>
      <w:hyperlink r:id="rId22" w:history="1">
        <w:r w:rsidRPr="00070A7D">
          <w:rPr>
            <w:rStyle w:val="Hyperlink"/>
            <w:rFonts w:ascii="Times New Roman" w:eastAsia="Times New Roman" w:hAnsi="Times New Roman" w:cs="Times New Roman"/>
            <w:sz w:val="24"/>
            <w:szCs w:val="24"/>
            <w:lang w:val="en-GB" w:eastAsia="en-GB"/>
          </w:rPr>
          <w:t>https://doi.org/10.1176/appi.ps.202000004</w:t>
        </w:r>
      </w:hyperlink>
      <w:r>
        <w:rPr>
          <w:rFonts w:ascii="Times New Roman" w:eastAsia="Times New Roman" w:hAnsi="Times New Roman" w:cs="Times New Roman"/>
          <w:sz w:val="24"/>
          <w:szCs w:val="24"/>
          <w:lang w:val="en-GB" w:eastAsia="en-GB"/>
        </w:rPr>
        <w:t xml:space="preserve"> </w:t>
      </w:r>
    </w:p>
    <w:p w14:paraId="32C8D791" w14:textId="77777777" w:rsidR="005478FF" w:rsidRDefault="005478FF" w:rsidP="008A63FD">
      <w:pPr>
        <w:spacing w:after="0" w:line="480" w:lineRule="auto"/>
        <w:ind w:left="720" w:hanging="720"/>
        <w:rPr>
          <w:rFonts w:ascii="Times New Roman" w:hAnsi="Times New Roman" w:cs="Times New Roman"/>
          <w:sz w:val="24"/>
          <w:szCs w:val="24"/>
        </w:rPr>
      </w:pPr>
      <w:proofErr w:type="spellStart"/>
      <w:r w:rsidRPr="008A63FD">
        <w:rPr>
          <w:rFonts w:ascii="Times New Roman" w:eastAsia="Times New Roman" w:hAnsi="Times New Roman" w:cs="Times New Roman"/>
          <w:sz w:val="24"/>
          <w:szCs w:val="24"/>
          <w:lang w:val="en-GB" w:eastAsia="en-GB"/>
        </w:rPr>
        <w:t>Valieiny</w:t>
      </w:r>
      <w:proofErr w:type="spellEnd"/>
      <w:r w:rsidRPr="008A63FD">
        <w:rPr>
          <w:rFonts w:ascii="Times New Roman" w:eastAsia="Times New Roman" w:hAnsi="Times New Roman" w:cs="Times New Roman"/>
          <w:sz w:val="24"/>
          <w:szCs w:val="24"/>
          <w:lang w:val="en-GB" w:eastAsia="en-GB"/>
        </w:rPr>
        <w:t xml:space="preserve">, N., </w:t>
      </w:r>
      <w:proofErr w:type="spellStart"/>
      <w:r w:rsidRPr="008A63FD">
        <w:rPr>
          <w:rFonts w:ascii="Times New Roman" w:eastAsia="Times New Roman" w:hAnsi="Times New Roman" w:cs="Times New Roman"/>
          <w:sz w:val="24"/>
          <w:szCs w:val="24"/>
          <w:lang w:val="en-GB" w:eastAsia="en-GB"/>
        </w:rPr>
        <w:t>Pashaeypoor</w:t>
      </w:r>
      <w:proofErr w:type="spellEnd"/>
      <w:r w:rsidRPr="008A63FD">
        <w:rPr>
          <w:rFonts w:ascii="Times New Roman" w:eastAsia="Times New Roman" w:hAnsi="Times New Roman" w:cs="Times New Roman"/>
          <w:sz w:val="24"/>
          <w:szCs w:val="24"/>
          <w:lang w:val="en-GB" w:eastAsia="en-GB"/>
        </w:rPr>
        <w:t xml:space="preserve">, S., </w:t>
      </w:r>
      <w:proofErr w:type="spellStart"/>
      <w:r w:rsidRPr="008A63FD">
        <w:rPr>
          <w:rFonts w:ascii="Times New Roman" w:eastAsia="Times New Roman" w:hAnsi="Times New Roman" w:cs="Times New Roman"/>
          <w:sz w:val="24"/>
          <w:szCs w:val="24"/>
          <w:lang w:val="en-GB" w:eastAsia="en-GB"/>
        </w:rPr>
        <w:t>Poortaghi</w:t>
      </w:r>
      <w:proofErr w:type="spellEnd"/>
      <w:r w:rsidRPr="008A63FD">
        <w:rPr>
          <w:rFonts w:ascii="Times New Roman" w:eastAsia="Times New Roman" w:hAnsi="Times New Roman" w:cs="Times New Roman"/>
          <w:sz w:val="24"/>
          <w:szCs w:val="24"/>
          <w:lang w:val="en-GB" w:eastAsia="en-GB"/>
        </w:rPr>
        <w:t xml:space="preserve">, S., &amp; Sharifi, F. (2023). The effects of simulated video education about falling on falling rate and fear of falling among hospitalized elderly people: a randomized clinical trial. </w:t>
      </w:r>
      <w:r w:rsidRPr="008A63FD">
        <w:rPr>
          <w:rFonts w:ascii="Times New Roman" w:eastAsia="Times New Roman" w:hAnsi="Times New Roman" w:cs="Times New Roman"/>
          <w:i/>
          <w:iCs/>
          <w:sz w:val="24"/>
          <w:szCs w:val="24"/>
          <w:lang w:val="en-GB" w:eastAsia="en-GB"/>
        </w:rPr>
        <w:t>BMC Nursing</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22</w:t>
      </w:r>
      <w:r w:rsidRPr="008A63FD">
        <w:rPr>
          <w:rFonts w:ascii="Times New Roman" w:eastAsia="Times New Roman" w:hAnsi="Times New Roman" w:cs="Times New Roman"/>
          <w:sz w:val="24"/>
          <w:szCs w:val="24"/>
          <w:lang w:val="en-GB" w:eastAsia="en-GB"/>
        </w:rPr>
        <w:t>(1), 351.</w:t>
      </w:r>
      <w:r>
        <w:rPr>
          <w:rFonts w:ascii="Times New Roman" w:eastAsia="Times New Roman" w:hAnsi="Times New Roman" w:cs="Times New Roman"/>
          <w:sz w:val="24"/>
          <w:szCs w:val="24"/>
          <w:lang w:val="en-GB" w:eastAsia="en-GB"/>
        </w:rPr>
        <w:t xml:space="preserve"> </w:t>
      </w:r>
      <w:hyperlink r:id="rId23" w:history="1">
        <w:r w:rsidRPr="00070A7D">
          <w:rPr>
            <w:rStyle w:val="Hyperlink"/>
            <w:rFonts w:ascii="Times New Roman" w:hAnsi="Times New Roman" w:cs="Times New Roman"/>
            <w:sz w:val="24"/>
            <w:szCs w:val="24"/>
          </w:rPr>
          <w:t>https://doi.org/10.1186/s12912-023-01532-1</w:t>
        </w:r>
      </w:hyperlink>
      <w:r>
        <w:rPr>
          <w:rFonts w:ascii="Times New Roman" w:hAnsi="Times New Roman" w:cs="Times New Roman"/>
          <w:sz w:val="24"/>
          <w:szCs w:val="24"/>
        </w:rPr>
        <w:t xml:space="preserve"> </w:t>
      </w:r>
    </w:p>
    <w:p w14:paraId="5E02B655" w14:textId="77777777" w:rsidR="005478FF" w:rsidRPr="008A63FD" w:rsidRDefault="005478FF" w:rsidP="008A63FD">
      <w:pPr>
        <w:spacing w:after="0" w:line="480" w:lineRule="auto"/>
        <w:ind w:left="720" w:hanging="720"/>
        <w:rPr>
          <w:rFonts w:ascii="Times New Roman" w:eastAsia="Times New Roman" w:hAnsi="Times New Roman" w:cs="Times New Roman"/>
          <w:sz w:val="24"/>
          <w:szCs w:val="24"/>
          <w:lang w:val="en-GB" w:eastAsia="en-GB"/>
        </w:rPr>
      </w:pPr>
      <w:r w:rsidRPr="008A63FD">
        <w:rPr>
          <w:rFonts w:ascii="Times New Roman" w:eastAsia="Times New Roman" w:hAnsi="Times New Roman" w:cs="Times New Roman"/>
          <w:sz w:val="24"/>
          <w:szCs w:val="24"/>
          <w:lang w:val="en-GB" w:eastAsia="en-GB"/>
        </w:rPr>
        <w:t xml:space="preserve">Wong, M. M., Pang, P. F., Chan, C. F., Lau, M. S., </w:t>
      </w:r>
      <w:proofErr w:type="spellStart"/>
      <w:r w:rsidRPr="008A63FD">
        <w:rPr>
          <w:rFonts w:ascii="Times New Roman" w:eastAsia="Times New Roman" w:hAnsi="Times New Roman" w:cs="Times New Roman"/>
          <w:sz w:val="24"/>
          <w:szCs w:val="24"/>
          <w:lang w:val="en-GB" w:eastAsia="en-GB"/>
        </w:rPr>
        <w:t>Tse</w:t>
      </w:r>
      <w:proofErr w:type="spellEnd"/>
      <w:r w:rsidRPr="008A63FD">
        <w:rPr>
          <w:rFonts w:ascii="Times New Roman" w:eastAsia="Times New Roman" w:hAnsi="Times New Roman" w:cs="Times New Roman"/>
          <w:sz w:val="24"/>
          <w:szCs w:val="24"/>
          <w:lang w:val="en-GB" w:eastAsia="en-GB"/>
        </w:rPr>
        <w:t xml:space="preserve">, W. Y., Lam, L. C. W., </w:t>
      </w:r>
      <w:r>
        <w:rPr>
          <w:rFonts w:ascii="Times New Roman" w:eastAsia="Times New Roman" w:hAnsi="Times New Roman" w:cs="Times New Roman"/>
          <w:sz w:val="24"/>
          <w:szCs w:val="24"/>
          <w:lang w:val="en-GB" w:eastAsia="en-GB"/>
        </w:rPr>
        <w:t>Lee, S.,</w:t>
      </w:r>
      <w:r w:rsidRPr="008A63FD">
        <w:rPr>
          <w:rFonts w:ascii="Times New Roman" w:eastAsia="Times New Roman" w:hAnsi="Times New Roman" w:cs="Times New Roman"/>
          <w:sz w:val="24"/>
          <w:szCs w:val="24"/>
          <w:lang w:val="en-GB" w:eastAsia="en-GB"/>
        </w:rPr>
        <w:t xml:space="preserve"> &amp; Yan, C. T. (2021). Wilson </w:t>
      </w:r>
      <w:r>
        <w:rPr>
          <w:rFonts w:ascii="Times New Roman" w:eastAsia="Times New Roman" w:hAnsi="Times New Roman" w:cs="Times New Roman"/>
          <w:sz w:val="24"/>
          <w:szCs w:val="24"/>
          <w:lang w:val="en-GB" w:eastAsia="en-GB"/>
        </w:rPr>
        <w:t>S</w:t>
      </w:r>
      <w:r w:rsidRPr="008A63FD">
        <w:rPr>
          <w:rFonts w:ascii="Times New Roman" w:eastAsia="Times New Roman" w:hAnsi="Times New Roman" w:cs="Times New Roman"/>
          <w:sz w:val="24"/>
          <w:szCs w:val="24"/>
          <w:lang w:val="en-GB" w:eastAsia="en-GB"/>
        </w:rPr>
        <w:t xml:space="preserve">ims </w:t>
      </w:r>
      <w:r>
        <w:rPr>
          <w:rFonts w:ascii="Times New Roman" w:eastAsia="Times New Roman" w:hAnsi="Times New Roman" w:cs="Times New Roman"/>
          <w:sz w:val="24"/>
          <w:szCs w:val="24"/>
          <w:lang w:val="en-GB" w:eastAsia="en-GB"/>
        </w:rPr>
        <w:t>F</w:t>
      </w:r>
      <w:r w:rsidRPr="008A63FD">
        <w:rPr>
          <w:rFonts w:ascii="Times New Roman" w:eastAsia="Times New Roman" w:hAnsi="Times New Roman" w:cs="Times New Roman"/>
          <w:sz w:val="24"/>
          <w:szCs w:val="24"/>
          <w:lang w:val="en-GB" w:eastAsia="en-GB"/>
        </w:rPr>
        <w:t xml:space="preserve">all </w:t>
      </w:r>
      <w:r>
        <w:rPr>
          <w:rFonts w:ascii="Times New Roman" w:eastAsia="Times New Roman" w:hAnsi="Times New Roman" w:cs="Times New Roman"/>
          <w:sz w:val="24"/>
          <w:szCs w:val="24"/>
          <w:lang w:val="en-GB" w:eastAsia="en-GB"/>
        </w:rPr>
        <w:t>R</w:t>
      </w:r>
      <w:r w:rsidRPr="008A63FD">
        <w:rPr>
          <w:rFonts w:ascii="Times New Roman" w:eastAsia="Times New Roman" w:hAnsi="Times New Roman" w:cs="Times New Roman"/>
          <w:sz w:val="24"/>
          <w:szCs w:val="24"/>
          <w:lang w:val="en-GB" w:eastAsia="en-GB"/>
        </w:rPr>
        <w:t xml:space="preserve">isk </w:t>
      </w:r>
      <w:r>
        <w:rPr>
          <w:rFonts w:ascii="Times New Roman" w:eastAsia="Times New Roman" w:hAnsi="Times New Roman" w:cs="Times New Roman"/>
          <w:sz w:val="24"/>
          <w:szCs w:val="24"/>
          <w:lang w:val="en-GB" w:eastAsia="en-GB"/>
        </w:rPr>
        <w:t>A</w:t>
      </w:r>
      <w:r w:rsidRPr="008A63FD">
        <w:rPr>
          <w:rFonts w:ascii="Times New Roman" w:eastAsia="Times New Roman" w:hAnsi="Times New Roman" w:cs="Times New Roman"/>
          <w:sz w:val="24"/>
          <w:szCs w:val="24"/>
          <w:lang w:val="en-GB" w:eastAsia="en-GB"/>
        </w:rPr>
        <w:t xml:space="preserve">ssessment </w:t>
      </w:r>
      <w:r>
        <w:rPr>
          <w:rFonts w:ascii="Times New Roman" w:eastAsia="Times New Roman" w:hAnsi="Times New Roman" w:cs="Times New Roman"/>
          <w:sz w:val="24"/>
          <w:szCs w:val="24"/>
          <w:lang w:val="en-GB" w:eastAsia="en-GB"/>
        </w:rPr>
        <w:t>T</w:t>
      </w:r>
      <w:r w:rsidRPr="008A63FD">
        <w:rPr>
          <w:rFonts w:ascii="Times New Roman" w:eastAsia="Times New Roman" w:hAnsi="Times New Roman" w:cs="Times New Roman"/>
          <w:sz w:val="24"/>
          <w:szCs w:val="24"/>
          <w:lang w:val="en-GB" w:eastAsia="en-GB"/>
        </w:rPr>
        <w:t xml:space="preserve">ool versus Morse Fall Scale in psychogeriatric inpatients: A multicentre study. </w:t>
      </w:r>
      <w:r w:rsidRPr="008A63FD">
        <w:rPr>
          <w:rFonts w:ascii="Times New Roman" w:eastAsia="Times New Roman" w:hAnsi="Times New Roman" w:cs="Times New Roman"/>
          <w:i/>
          <w:iCs/>
          <w:sz w:val="24"/>
          <w:szCs w:val="24"/>
          <w:lang w:val="en-GB" w:eastAsia="en-GB"/>
        </w:rPr>
        <w:t>East Asian Archives of Psychiatry</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31</w:t>
      </w:r>
      <w:r w:rsidRPr="008A63FD">
        <w:rPr>
          <w:rFonts w:ascii="Times New Roman" w:eastAsia="Times New Roman" w:hAnsi="Times New Roman" w:cs="Times New Roman"/>
          <w:sz w:val="24"/>
          <w:szCs w:val="24"/>
          <w:lang w:val="en-GB" w:eastAsia="en-GB"/>
        </w:rPr>
        <w:t>(3), 67-70.</w:t>
      </w:r>
      <w:r>
        <w:rPr>
          <w:rFonts w:ascii="Times New Roman" w:eastAsia="Times New Roman" w:hAnsi="Times New Roman" w:cs="Times New Roman"/>
          <w:sz w:val="24"/>
          <w:szCs w:val="24"/>
          <w:lang w:val="en-GB" w:eastAsia="en-GB"/>
        </w:rPr>
        <w:t xml:space="preserve"> </w:t>
      </w:r>
      <w:hyperlink r:id="rId24" w:history="1">
        <w:r w:rsidRPr="00070A7D">
          <w:rPr>
            <w:rStyle w:val="Hyperlink"/>
            <w:rFonts w:ascii="Times New Roman" w:eastAsia="Times New Roman" w:hAnsi="Times New Roman" w:cs="Times New Roman"/>
            <w:sz w:val="24"/>
            <w:szCs w:val="24"/>
            <w:lang w:val="en-GB" w:eastAsia="en-GB"/>
          </w:rPr>
          <w:t>https://doi.org/10.12809/eaap2113</w:t>
        </w:r>
      </w:hyperlink>
      <w:r>
        <w:rPr>
          <w:rFonts w:ascii="Times New Roman" w:eastAsia="Times New Roman" w:hAnsi="Times New Roman" w:cs="Times New Roman"/>
          <w:sz w:val="24"/>
          <w:szCs w:val="24"/>
          <w:lang w:val="en-GB" w:eastAsia="en-GB"/>
        </w:rPr>
        <w:t xml:space="preserve"> </w:t>
      </w:r>
    </w:p>
    <w:p w14:paraId="2F9B43A0"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727E1C93"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6B1B303B"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0D1638F4"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2893A350"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42ECF028"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16C5FBEF"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445ECBA7"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03B7989E"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35669BCC"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3C73B601"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3E1A167C"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09DD6FE3"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0F1A0CF8"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75702DBA"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6B973C24" w14:textId="77777777" w:rsidR="004C3599" w:rsidRPr="00532556" w:rsidRDefault="004C3599" w:rsidP="004C3599">
      <w:pPr>
        <w:spacing w:after="0" w:line="480" w:lineRule="auto"/>
        <w:ind w:left="720" w:hanging="720"/>
        <w:rPr>
          <w:rFonts w:ascii="Times New Roman" w:hAnsi="Times New Roman" w:cs="Times New Roman"/>
          <w:sz w:val="24"/>
          <w:szCs w:val="24"/>
        </w:rPr>
        <w:sectPr w:rsidR="004C3599" w:rsidRPr="00532556" w:rsidSect="004C4875">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pPr>
    </w:p>
    <w:p w14:paraId="23EB2FC9" w14:textId="77777777" w:rsidR="004C3599" w:rsidRPr="00532556" w:rsidRDefault="004C3599" w:rsidP="004C3599">
      <w:pPr>
        <w:spacing w:after="0" w:line="480" w:lineRule="auto"/>
        <w:ind w:left="720" w:hanging="720"/>
        <w:rPr>
          <w:rFonts w:ascii="Times New Roman" w:hAnsi="Times New Roman" w:cs="Times New Roman"/>
          <w:b/>
          <w:bCs/>
          <w:sz w:val="24"/>
          <w:szCs w:val="24"/>
        </w:rPr>
      </w:pPr>
      <w:r w:rsidRPr="00532556">
        <w:rPr>
          <w:rFonts w:ascii="Times New Roman" w:hAnsi="Times New Roman" w:cs="Times New Roman"/>
          <w:b/>
          <w:bCs/>
          <w:sz w:val="24"/>
          <w:szCs w:val="24"/>
        </w:rPr>
        <w:lastRenderedPageBreak/>
        <w:t>Table 1</w:t>
      </w:r>
    </w:p>
    <w:p w14:paraId="1094EB7E" w14:textId="77777777" w:rsidR="004C3599" w:rsidRPr="00532556" w:rsidRDefault="004C3599" w:rsidP="004C3599">
      <w:pPr>
        <w:spacing w:after="0" w:line="480" w:lineRule="auto"/>
        <w:ind w:left="720" w:hanging="720"/>
        <w:rPr>
          <w:rFonts w:ascii="Times New Roman" w:eastAsia="Calibri" w:hAnsi="Times New Roman" w:cs="Times New Roman"/>
          <w:i/>
          <w:iCs/>
          <w:sz w:val="24"/>
          <w:szCs w:val="24"/>
        </w:rPr>
      </w:pPr>
      <w:r w:rsidRPr="00532556">
        <w:rPr>
          <w:rFonts w:ascii="Times New Roman" w:eastAsia="Calibri" w:hAnsi="Times New Roman" w:cs="Times New Roman"/>
          <w:i/>
          <w:iCs/>
          <w:sz w:val="24"/>
          <w:szCs w:val="24"/>
        </w:rPr>
        <w:t>Organizational Needs Assessment: Practice Gap Identification</w:t>
      </w:r>
    </w:p>
    <w:tbl>
      <w:tblPr>
        <w:tblStyle w:val="TableGrid"/>
        <w:tblW w:w="4916" w:type="pct"/>
        <w:tblInd w:w="0" w:type="dxa"/>
        <w:tblCellMar>
          <w:left w:w="104" w:type="dxa"/>
          <w:right w:w="2" w:type="dxa"/>
        </w:tblCellMar>
        <w:tblLook w:val="04A0" w:firstRow="1" w:lastRow="0" w:firstColumn="1" w:lastColumn="0" w:noHBand="0" w:noVBand="1"/>
      </w:tblPr>
      <w:tblGrid>
        <w:gridCol w:w="2472"/>
        <w:gridCol w:w="2030"/>
        <w:gridCol w:w="3683"/>
        <w:gridCol w:w="3683"/>
        <w:gridCol w:w="5106"/>
      </w:tblGrid>
      <w:tr w:rsidR="004C3599" w:rsidRPr="00532556" w14:paraId="5C8EC85B" w14:textId="77777777" w:rsidTr="008A63FD">
        <w:trPr>
          <w:trHeight w:val="1632"/>
        </w:trPr>
        <w:tc>
          <w:tcPr>
            <w:tcW w:w="72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3C1B0077" w14:textId="77777777" w:rsidR="004C3599" w:rsidRPr="00532556" w:rsidRDefault="004C3599" w:rsidP="008A63FD">
            <w:pPr>
              <w:ind w:right="66"/>
              <w:rPr>
                <w:rFonts w:ascii="Times New Roman" w:hAnsi="Times New Roman" w:cs="Times New Roman"/>
                <w:sz w:val="20"/>
                <w:szCs w:val="20"/>
              </w:rPr>
            </w:pPr>
            <w:r w:rsidRPr="00532556">
              <w:rPr>
                <w:rFonts w:ascii="Times New Roman" w:hAnsi="Times New Roman" w:cs="Times New Roman"/>
                <w:sz w:val="20"/>
                <w:szCs w:val="20"/>
              </w:rPr>
              <w:t xml:space="preserve">What is currently happening in the practicum site that causes clinical problems? </w:t>
            </w:r>
          </w:p>
        </w:tc>
        <w:tc>
          <w:tcPr>
            <w:tcW w:w="5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72ED97D7" w14:textId="77777777" w:rsidR="004C3599" w:rsidRPr="00532556" w:rsidRDefault="004C3599" w:rsidP="008A63FD">
            <w:pPr>
              <w:ind w:right="56"/>
              <w:rPr>
                <w:rFonts w:ascii="Times New Roman" w:hAnsi="Times New Roman" w:cs="Times New Roman"/>
                <w:sz w:val="20"/>
                <w:szCs w:val="20"/>
              </w:rPr>
            </w:pPr>
            <w:r w:rsidRPr="00532556">
              <w:rPr>
                <w:rFonts w:ascii="Times New Roman" w:hAnsi="Times New Roman" w:cs="Times New Roman"/>
                <w:sz w:val="20"/>
                <w:szCs w:val="20"/>
              </w:rPr>
              <w:t xml:space="preserve">What should be happening in the practicum site based on current evidence*? </w:t>
            </w:r>
          </w:p>
        </w:tc>
        <w:tc>
          <w:tcPr>
            <w:tcW w:w="10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1FE6FF4E" w14:textId="77777777" w:rsidR="004C3599" w:rsidRPr="00532556" w:rsidRDefault="004C3599" w:rsidP="008A63FD">
            <w:pPr>
              <w:ind w:right="46"/>
              <w:rPr>
                <w:rFonts w:ascii="Times New Roman" w:hAnsi="Times New Roman" w:cs="Times New Roman"/>
                <w:sz w:val="20"/>
                <w:szCs w:val="20"/>
              </w:rPr>
            </w:pPr>
            <w:r w:rsidRPr="00532556">
              <w:rPr>
                <w:rFonts w:ascii="Times New Roman" w:hAnsi="Times New Roman" w:cs="Times New Roman"/>
                <w:sz w:val="20"/>
                <w:szCs w:val="20"/>
              </w:rPr>
              <w:t xml:space="preserve">What do you and the stakeholders (decision-makers) identify as the gap between what is currently happening and what should be happening (this is your practice gap)? </w:t>
            </w:r>
          </w:p>
        </w:tc>
        <w:tc>
          <w:tcPr>
            <w:tcW w:w="10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7BDD11E6" w14:textId="77777777" w:rsidR="004C3599" w:rsidRPr="00532556" w:rsidRDefault="004C3599" w:rsidP="008A63FD">
            <w:pPr>
              <w:ind w:right="46"/>
              <w:rPr>
                <w:rFonts w:ascii="Times New Roman" w:hAnsi="Times New Roman" w:cs="Times New Roman"/>
                <w:sz w:val="20"/>
                <w:szCs w:val="20"/>
              </w:rPr>
            </w:pPr>
            <w:r w:rsidRPr="00532556">
              <w:rPr>
                <w:rFonts w:ascii="Times New Roman" w:hAnsi="Times New Roman" w:cs="Times New Roman"/>
                <w:sz w:val="20"/>
                <w:szCs w:val="20"/>
              </w:rPr>
              <w:t xml:space="preserve">1. Why is there a gap in practice? </w:t>
            </w:r>
          </w:p>
          <w:p w14:paraId="6B049818" w14:textId="77777777" w:rsidR="004C3599" w:rsidRPr="00532556" w:rsidRDefault="004C3599" w:rsidP="008A63FD">
            <w:pPr>
              <w:ind w:right="46"/>
              <w:rPr>
                <w:rFonts w:ascii="Times New Roman" w:hAnsi="Times New Roman" w:cs="Times New Roman"/>
                <w:sz w:val="20"/>
                <w:szCs w:val="20"/>
              </w:rPr>
            </w:pPr>
          </w:p>
          <w:p w14:paraId="2A4BAE28" w14:textId="77777777" w:rsidR="004C3599" w:rsidRPr="00532556" w:rsidRDefault="004C3599" w:rsidP="008A63FD">
            <w:pPr>
              <w:ind w:right="46"/>
              <w:rPr>
                <w:rFonts w:ascii="Times New Roman" w:hAnsi="Times New Roman" w:cs="Times New Roman"/>
                <w:sz w:val="20"/>
                <w:szCs w:val="20"/>
              </w:rPr>
            </w:pPr>
            <w:r w:rsidRPr="00532556">
              <w:rPr>
                <w:rFonts w:ascii="Times New Roman" w:hAnsi="Times New Roman" w:cs="Times New Roman"/>
                <w:sz w:val="20"/>
                <w:szCs w:val="20"/>
              </w:rPr>
              <w:t xml:space="preserve">2. What factors are contributing to the gap in practice? </w:t>
            </w:r>
          </w:p>
          <w:p w14:paraId="3464FB7D" w14:textId="77777777" w:rsidR="004C3599" w:rsidRPr="00532556" w:rsidRDefault="004C3599" w:rsidP="008A63FD">
            <w:pPr>
              <w:ind w:right="46"/>
              <w:rPr>
                <w:rFonts w:ascii="Times New Roman" w:hAnsi="Times New Roman" w:cs="Times New Roman"/>
                <w:sz w:val="20"/>
                <w:szCs w:val="20"/>
              </w:rPr>
            </w:pPr>
          </w:p>
          <w:p w14:paraId="2110C4C7" w14:textId="77777777" w:rsidR="004C3599" w:rsidRPr="00532556" w:rsidRDefault="004C3599" w:rsidP="008A63FD">
            <w:pPr>
              <w:ind w:right="46"/>
              <w:rPr>
                <w:rFonts w:ascii="Times New Roman" w:hAnsi="Times New Roman" w:cs="Times New Roman"/>
                <w:sz w:val="20"/>
                <w:szCs w:val="20"/>
              </w:rPr>
            </w:pPr>
          </w:p>
        </w:tc>
        <w:tc>
          <w:tcPr>
            <w:tcW w:w="15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1B59BC05" w14:textId="77777777" w:rsidR="004C3599" w:rsidRPr="00532556" w:rsidRDefault="004C3599" w:rsidP="008A63FD">
            <w:pPr>
              <w:ind w:right="64"/>
              <w:rPr>
                <w:rFonts w:ascii="Times New Roman" w:hAnsi="Times New Roman" w:cs="Times New Roman"/>
                <w:sz w:val="20"/>
                <w:szCs w:val="20"/>
              </w:rPr>
            </w:pPr>
            <w:r w:rsidRPr="00532556">
              <w:rPr>
                <w:rFonts w:ascii="Times New Roman" w:hAnsi="Times New Roman" w:cs="Times New Roman"/>
                <w:sz w:val="20"/>
                <w:szCs w:val="20"/>
              </w:rPr>
              <w:t>What evidence do you have to demonstrate there is a practice gap (NDNQI, AHRQ Quality Indicators, National Hospital Quality Measures, CAHPS Hospital Survey, Joint Commission, ORYX</w:t>
            </w:r>
            <w:r w:rsidRPr="00532556">
              <w:rPr>
                <w:rFonts w:ascii="Times New Roman" w:hAnsi="Times New Roman" w:cs="Times New Roman"/>
                <w:sz w:val="20"/>
                <w:szCs w:val="20"/>
                <w:vertAlign w:val="superscript"/>
              </w:rPr>
              <w:t>®</w:t>
            </w:r>
            <w:r w:rsidRPr="00532556">
              <w:rPr>
                <w:rFonts w:ascii="Times New Roman" w:hAnsi="Times New Roman" w:cs="Times New Roman"/>
                <w:sz w:val="20"/>
                <w:szCs w:val="20"/>
              </w:rPr>
              <w:t>, etc.)? *</w:t>
            </w:r>
          </w:p>
        </w:tc>
      </w:tr>
      <w:tr w:rsidR="004C3599" w:rsidRPr="00532556" w14:paraId="34602A88" w14:textId="77777777" w:rsidTr="008A63FD">
        <w:trPr>
          <w:trHeight w:val="288"/>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6CA94244" w14:textId="77777777" w:rsidR="004C3599" w:rsidRPr="00532556" w:rsidRDefault="004C3599" w:rsidP="008A63FD">
            <w:pPr>
              <w:ind w:right="64"/>
              <w:rPr>
                <w:rFonts w:ascii="Times New Roman" w:hAnsi="Times New Roman" w:cs="Times New Roman"/>
                <w:sz w:val="20"/>
                <w:szCs w:val="20"/>
              </w:rPr>
            </w:pPr>
            <w:r w:rsidRPr="00532556">
              <w:rPr>
                <w:rFonts w:ascii="Times New Roman" w:hAnsi="Times New Roman" w:cs="Times New Roman"/>
                <w:sz w:val="20"/>
                <w:szCs w:val="20"/>
              </w:rPr>
              <w:t>*Use a reference citation from the Johns Hopkins Table 2 if appropriate.</w:t>
            </w:r>
          </w:p>
        </w:tc>
      </w:tr>
      <w:tr w:rsidR="004C3599" w:rsidRPr="00532556" w14:paraId="40007DF1" w14:textId="77777777" w:rsidTr="008A63FD">
        <w:trPr>
          <w:trHeight w:val="5087"/>
        </w:trPr>
        <w:tc>
          <w:tcPr>
            <w:tcW w:w="72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84C78BF" w14:textId="38FF9238" w:rsidR="004C3599" w:rsidRPr="00532556" w:rsidRDefault="00DA3ED8" w:rsidP="00E46ECF">
            <w:pPr>
              <w:rPr>
                <w:rFonts w:ascii="Times New Roman" w:hAnsi="Times New Roman" w:cs="Times New Roman"/>
              </w:rPr>
            </w:pPr>
            <w:r>
              <w:rPr>
                <w:rFonts w:ascii="Times New Roman" w:eastAsia="Arial" w:hAnsi="Times New Roman" w:cs="Times New Roman"/>
                <w:sz w:val="21"/>
              </w:rPr>
              <w:t>Currently, the</w:t>
            </w:r>
            <w:r w:rsidR="005415C4">
              <w:rPr>
                <w:rFonts w:ascii="Times New Roman" w:eastAsia="Arial" w:hAnsi="Times New Roman" w:cs="Times New Roman"/>
                <w:sz w:val="21"/>
              </w:rPr>
              <w:t xml:space="preserve"> fall incidence at the</w:t>
            </w:r>
            <w:r>
              <w:rPr>
                <w:rFonts w:ascii="Times New Roman" w:eastAsia="Arial" w:hAnsi="Times New Roman" w:cs="Times New Roman"/>
                <w:sz w:val="21"/>
              </w:rPr>
              <w:t xml:space="preserve"> practicum clinical site</w:t>
            </w:r>
            <w:r w:rsidR="005415C4">
              <w:rPr>
                <w:rFonts w:ascii="Times New Roman" w:eastAsia="Arial" w:hAnsi="Times New Roman" w:cs="Times New Roman"/>
                <w:sz w:val="21"/>
              </w:rPr>
              <w:t xml:space="preserve"> is rarely zero and the site has not updated its fall prevention measures for </w:t>
            </w:r>
            <w:r w:rsidR="00E03034">
              <w:rPr>
                <w:rFonts w:ascii="Times New Roman" w:eastAsia="Arial" w:hAnsi="Times New Roman" w:cs="Times New Roman"/>
                <w:sz w:val="21"/>
              </w:rPr>
              <w:t xml:space="preserve">more than </w:t>
            </w:r>
            <w:r w:rsidR="005415C4">
              <w:rPr>
                <w:rFonts w:ascii="Times New Roman" w:eastAsia="Arial" w:hAnsi="Times New Roman" w:cs="Times New Roman"/>
                <w:sz w:val="21"/>
              </w:rPr>
              <w:t>10 years. In addition, the practices to prevent falls rarely include patients or multidisciplinary teams. The staff has also not received any formal fall prevention training other than the general hospital measures that may not suit the psychiatric population.</w:t>
            </w:r>
            <w:r w:rsidR="000E028C">
              <w:rPr>
                <w:rFonts w:ascii="Times New Roman" w:eastAsia="Arial" w:hAnsi="Times New Roman" w:cs="Times New Roman"/>
                <w:sz w:val="21"/>
              </w:rPr>
              <w:t xml:space="preserve"> Besides, staff at the organization do not conduct </w:t>
            </w:r>
            <w:r w:rsidR="000E028C">
              <w:rPr>
                <w:rFonts w:ascii="Times New Roman" w:eastAsia="Arial" w:hAnsi="Times New Roman" w:cs="Times New Roman"/>
                <w:sz w:val="21"/>
              </w:rPr>
              <w:lastRenderedPageBreak/>
              <w:t>adequate fall-risk assessment on patients, leading to suboptimal fall prevention interventions.</w:t>
            </w:r>
            <w:r w:rsidR="005415C4">
              <w:rPr>
                <w:rFonts w:ascii="Times New Roman" w:eastAsia="Arial" w:hAnsi="Times New Roman" w:cs="Times New Roman"/>
                <w:sz w:val="21"/>
              </w:rPr>
              <w:t xml:space="preserve"> </w:t>
            </w:r>
          </w:p>
        </w:tc>
        <w:tc>
          <w:tcPr>
            <w:tcW w:w="5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8C13351" w14:textId="68363A10" w:rsidR="004C3599" w:rsidRPr="00532556" w:rsidRDefault="000E028C" w:rsidP="008A63FD">
            <w:pPr>
              <w:ind w:left="6"/>
              <w:rPr>
                <w:rFonts w:ascii="Times New Roman" w:hAnsi="Times New Roman" w:cs="Times New Roman"/>
              </w:rPr>
            </w:pPr>
            <w:r>
              <w:rPr>
                <w:rFonts w:ascii="Times New Roman" w:eastAsia="Arial" w:hAnsi="Times New Roman" w:cs="Times New Roman"/>
                <w:sz w:val="21"/>
              </w:rPr>
              <w:lastRenderedPageBreak/>
              <w:t xml:space="preserve">Patients admitted at the site should undergo a comprehensive fall risk assessment. Notably, this applies to individuals prescribed antipsychotic medications and older adults with psychiatric disorders who have a high risk of inpatient falls. Clinicians should be at the frontline of identifying individual risks and </w:t>
            </w:r>
            <w:r>
              <w:rPr>
                <w:rFonts w:ascii="Times New Roman" w:eastAsia="Arial" w:hAnsi="Times New Roman" w:cs="Times New Roman"/>
                <w:sz w:val="21"/>
              </w:rPr>
              <w:lastRenderedPageBreak/>
              <w:t>implementing appropriate strategies to prevent falls.</w:t>
            </w:r>
          </w:p>
        </w:tc>
        <w:tc>
          <w:tcPr>
            <w:tcW w:w="10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6DA94E7" w14:textId="20AF7739" w:rsidR="004C3599" w:rsidRPr="00532556" w:rsidRDefault="0090695F" w:rsidP="008A63FD">
            <w:pPr>
              <w:ind w:left="16"/>
              <w:rPr>
                <w:rFonts w:ascii="Times New Roman" w:hAnsi="Times New Roman" w:cs="Times New Roman"/>
              </w:rPr>
            </w:pPr>
            <w:r>
              <w:rPr>
                <w:rFonts w:ascii="Times New Roman" w:eastAsia="Arial" w:hAnsi="Times New Roman" w:cs="Times New Roman"/>
                <w:sz w:val="21"/>
              </w:rPr>
              <w:lastRenderedPageBreak/>
              <w:t xml:space="preserve">Consensus emerged regarding the need to update the current fall prevention strategies. In addition, key decision-makers agreed that the site required embedding a structured fall-risk assessment tool into standardized operating protocols for fall prevention. </w:t>
            </w:r>
            <w:r w:rsidR="005207E1">
              <w:rPr>
                <w:rFonts w:ascii="Times New Roman" w:eastAsia="Arial" w:hAnsi="Times New Roman" w:cs="Times New Roman"/>
                <w:sz w:val="21"/>
              </w:rPr>
              <w:t>According to</w:t>
            </w:r>
            <w:r w:rsidR="00DD504D">
              <w:rPr>
                <w:rFonts w:ascii="Times New Roman" w:eastAsia="Arial" w:hAnsi="Times New Roman" w:cs="Times New Roman"/>
                <w:sz w:val="21"/>
              </w:rPr>
              <w:t xml:space="preserve"> Alvarado et al. (2023)</w:t>
            </w:r>
            <w:r w:rsidR="005207E1">
              <w:rPr>
                <w:rFonts w:ascii="Times New Roman" w:eastAsia="Arial" w:hAnsi="Times New Roman" w:cs="Times New Roman"/>
                <w:sz w:val="21"/>
              </w:rPr>
              <w:t xml:space="preserve">, multifactorial fall-risk assessment is required for the development of tailored interventions that meet individual needs and circumstances. Consistently, tools such as the </w:t>
            </w:r>
            <w:r w:rsidR="00DD504D">
              <w:rPr>
                <w:rFonts w:ascii="Times New Roman" w:eastAsia="Arial" w:hAnsi="Times New Roman" w:cs="Times New Roman"/>
                <w:sz w:val="21"/>
              </w:rPr>
              <w:t>Wilson Sims</w:t>
            </w:r>
            <w:r w:rsidR="005207E1">
              <w:rPr>
                <w:rFonts w:ascii="Times New Roman" w:eastAsia="Arial" w:hAnsi="Times New Roman" w:cs="Times New Roman"/>
                <w:sz w:val="21"/>
              </w:rPr>
              <w:t xml:space="preserve"> Falls Risk Assessment Tool (</w:t>
            </w:r>
            <w:r w:rsidR="00DD504D">
              <w:rPr>
                <w:rFonts w:ascii="Times New Roman" w:eastAsia="Arial" w:hAnsi="Times New Roman" w:cs="Times New Roman"/>
                <w:sz w:val="21"/>
              </w:rPr>
              <w:t>WSF</w:t>
            </w:r>
            <w:r w:rsidR="005207E1">
              <w:rPr>
                <w:rFonts w:ascii="Times New Roman" w:eastAsia="Arial" w:hAnsi="Times New Roman" w:cs="Times New Roman"/>
                <w:sz w:val="21"/>
              </w:rPr>
              <w:t xml:space="preserve">RAT) have emerged essential for fall-risk assessment in psychiatric settings. </w:t>
            </w:r>
            <w:r>
              <w:rPr>
                <w:rFonts w:ascii="Times New Roman" w:eastAsia="Arial" w:hAnsi="Times New Roman" w:cs="Times New Roman"/>
                <w:sz w:val="21"/>
              </w:rPr>
              <w:t xml:space="preserve">Frontline clinicians also agreed about the need for additional formal training about fall risk </w:t>
            </w:r>
            <w:r>
              <w:rPr>
                <w:rFonts w:ascii="Times New Roman" w:eastAsia="Arial" w:hAnsi="Times New Roman" w:cs="Times New Roman"/>
                <w:sz w:val="21"/>
              </w:rPr>
              <w:lastRenderedPageBreak/>
              <w:t xml:space="preserve">assessment and prevention that would improve their capacity to deliver tailored interventions to individual patients. </w:t>
            </w:r>
            <w:r w:rsidR="005207E1">
              <w:rPr>
                <w:rFonts w:ascii="Times New Roman" w:eastAsia="Arial" w:hAnsi="Times New Roman" w:cs="Times New Roman"/>
                <w:sz w:val="21"/>
              </w:rPr>
              <w:t>Evidence supports the importance of staff and patient education and application of standardized operating procedures for fall prevention (</w:t>
            </w:r>
            <w:r w:rsidR="00DD504D">
              <w:rPr>
                <w:rFonts w:ascii="Times New Roman" w:eastAsia="Arial" w:hAnsi="Times New Roman" w:cs="Times New Roman"/>
                <w:sz w:val="21"/>
              </w:rPr>
              <w:t>Li et al., 2023</w:t>
            </w:r>
            <w:r w:rsidR="005207E1">
              <w:rPr>
                <w:rFonts w:ascii="Times New Roman" w:eastAsia="Arial" w:hAnsi="Times New Roman" w:cs="Times New Roman"/>
                <w:sz w:val="21"/>
              </w:rPr>
              <w:t>;</w:t>
            </w:r>
            <w:r w:rsidR="00DD504D">
              <w:rPr>
                <w:rFonts w:ascii="Times New Roman" w:eastAsia="Arial" w:hAnsi="Times New Roman" w:cs="Times New Roman"/>
                <w:sz w:val="21"/>
              </w:rPr>
              <w:t xml:space="preserve"> Morris et al., 2022; Ocker et al., 2020</w:t>
            </w:r>
            <w:r w:rsidR="005207E1">
              <w:rPr>
                <w:rFonts w:ascii="Times New Roman" w:eastAsia="Arial" w:hAnsi="Times New Roman" w:cs="Times New Roman"/>
                <w:sz w:val="21"/>
              </w:rPr>
              <w:t xml:space="preserve">). Consequently, a structured approach </w:t>
            </w:r>
            <w:r w:rsidR="009600A0">
              <w:rPr>
                <w:rFonts w:ascii="Times New Roman" w:eastAsia="Arial" w:hAnsi="Times New Roman" w:cs="Times New Roman"/>
                <w:sz w:val="21"/>
              </w:rPr>
              <w:t xml:space="preserve">embedding </w:t>
            </w:r>
            <w:r w:rsidR="005207E1">
              <w:rPr>
                <w:rFonts w:ascii="Times New Roman" w:eastAsia="Arial" w:hAnsi="Times New Roman" w:cs="Times New Roman"/>
                <w:sz w:val="21"/>
              </w:rPr>
              <w:t>a specific assessment tool (</w:t>
            </w:r>
            <w:r w:rsidR="009600A0">
              <w:rPr>
                <w:rFonts w:ascii="Times New Roman" w:eastAsia="Arial" w:hAnsi="Times New Roman" w:cs="Times New Roman"/>
                <w:sz w:val="21"/>
              </w:rPr>
              <w:t>WSFRAT</w:t>
            </w:r>
            <w:r w:rsidR="005207E1">
              <w:rPr>
                <w:rFonts w:ascii="Times New Roman" w:eastAsia="Arial" w:hAnsi="Times New Roman" w:cs="Times New Roman"/>
                <w:sz w:val="21"/>
              </w:rPr>
              <w:t>)</w:t>
            </w:r>
            <w:r w:rsidR="009600A0">
              <w:rPr>
                <w:rFonts w:ascii="Times New Roman" w:eastAsia="Arial" w:hAnsi="Times New Roman" w:cs="Times New Roman"/>
                <w:sz w:val="21"/>
              </w:rPr>
              <w:t>,</w:t>
            </w:r>
            <w:r w:rsidR="005207E1">
              <w:rPr>
                <w:rFonts w:ascii="Times New Roman" w:eastAsia="Arial" w:hAnsi="Times New Roman" w:cs="Times New Roman"/>
                <w:sz w:val="21"/>
              </w:rPr>
              <w:t xml:space="preserve"> staff </w:t>
            </w:r>
            <w:r w:rsidR="009600A0">
              <w:rPr>
                <w:rFonts w:ascii="Times New Roman" w:eastAsia="Arial" w:hAnsi="Times New Roman" w:cs="Times New Roman"/>
                <w:sz w:val="21"/>
              </w:rPr>
              <w:t xml:space="preserve">training, and patient </w:t>
            </w:r>
            <w:r w:rsidR="005207E1">
              <w:rPr>
                <w:rFonts w:ascii="Times New Roman" w:eastAsia="Arial" w:hAnsi="Times New Roman" w:cs="Times New Roman"/>
                <w:sz w:val="21"/>
              </w:rPr>
              <w:t>education</w:t>
            </w:r>
            <w:r w:rsidR="009600A0">
              <w:rPr>
                <w:rFonts w:ascii="Times New Roman" w:eastAsia="Arial" w:hAnsi="Times New Roman" w:cs="Times New Roman"/>
                <w:sz w:val="21"/>
              </w:rPr>
              <w:t xml:space="preserve"> into the</w:t>
            </w:r>
            <w:r w:rsidR="005207E1">
              <w:rPr>
                <w:rFonts w:ascii="Times New Roman" w:eastAsia="Arial" w:hAnsi="Times New Roman" w:cs="Times New Roman"/>
                <w:sz w:val="21"/>
              </w:rPr>
              <w:t xml:space="preserve"> </w:t>
            </w:r>
            <w:r w:rsidR="009600A0">
              <w:rPr>
                <w:rFonts w:ascii="Times New Roman" w:eastAsia="Arial" w:hAnsi="Times New Roman" w:cs="Times New Roman"/>
                <w:sz w:val="21"/>
              </w:rPr>
              <w:t>FP-</w:t>
            </w:r>
            <w:r w:rsidR="005207E1">
              <w:rPr>
                <w:rFonts w:ascii="Times New Roman" w:eastAsia="Arial" w:hAnsi="Times New Roman" w:cs="Times New Roman"/>
                <w:sz w:val="21"/>
              </w:rPr>
              <w:t xml:space="preserve">SOP could </w:t>
            </w:r>
            <w:r w:rsidR="009600A0">
              <w:rPr>
                <w:rFonts w:ascii="Times New Roman" w:eastAsia="Arial" w:hAnsi="Times New Roman" w:cs="Times New Roman"/>
                <w:sz w:val="21"/>
              </w:rPr>
              <w:t>bridge</w:t>
            </w:r>
            <w:r w:rsidR="005207E1">
              <w:rPr>
                <w:rFonts w:ascii="Times New Roman" w:eastAsia="Arial" w:hAnsi="Times New Roman" w:cs="Times New Roman"/>
                <w:sz w:val="21"/>
              </w:rPr>
              <w:t xml:space="preserve"> the gap in practice.</w:t>
            </w:r>
          </w:p>
        </w:tc>
        <w:tc>
          <w:tcPr>
            <w:tcW w:w="10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A8F19AB" w14:textId="56FAA26E" w:rsidR="004C3599" w:rsidRPr="00532556" w:rsidRDefault="0090695F" w:rsidP="008A63FD">
            <w:pPr>
              <w:ind w:left="16"/>
              <w:rPr>
                <w:rFonts w:ascii="Times New Roman" w:hAnsi="Times New Roman" w:cs="Times New Roman"/>
              </w:rPr>
            </w:pPr>
            <w:r>
              <w:rPr>
                <w:rFonts w:ascii="Times New Roman" w:eastAsia="Arial" w:hAnsi="Times New Roman" w:cs="Times New Roman"/>
                <w:sz w:val="21"/>
              </w:rPr>
              <w:lastRenderedPageBreak/>
              <w:t xml:space="preserve">A notable reason for the existence of the gap entails the failure to update the current fall prevention protocols </w:t>
            </w:r>
            <w:r w:rsidR="00E46ECF">
              <w:rPr>
                <w:rFonts w:ascii="Times New Roman" w:eastAsia="Arial" w:hAnsi="Times New Roman" w:cs="Times New Roman"/>
                <w:sz w:val="21"/>
              </w:rPr>
              <w:t xml:space="preserve">Consequently, this has led to adherence to outdated approaches to fall prevention. Besides, the failure to integrate fall-risk assessment tools into the standardized operating protocols is among the factors contributing to the gaps. Secondly, the current workforce lacks adequate training on fall prevention strategies suitable for a psychiatric population. Cumulatively, these factors imply inconsistent fall-risk assessment and prevention at the practice site.  </w:t>
            </w:r>
          </w:p>
        </w:tc>
        <w:tc>
          <w:tcPr>
            <w:tcW w:w="15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ED86DFE" w14:textId="33B65863" w:rsidR="004C3599" w:rsidRPr="00532556" w:rsidRDefault="005207E1" w:rsidP="008A63FD">
            <w:pPr>
              <w:rPr>
                <w:rFonts w:ascii="Times New Roman" w:hAnsi="Times New Roman" w:cs="Times New Roman"/>
              </w:rPr>
            </w:pPr>
            <w:r>
              <w:rPr>
                <w:rFonts w:ascii="Times New Roman" w:eastAsia="Arial" w:hAnsi="Times New Roman" w:cs="Times New Roman"/>
                <w:sz w:val="21"/>
              </w:rPr>
              <w:t>A retrospective review of de-identified data from the EHR revealed the continued struggle with frequent falls, with some leading to life-threatening injuries at the practicum site. Additional e</w:t>
            </w:r>
            <w:r w:rsidR="00E46ECF">
              <w:rPr>
                <w:rFonts w:ascii="Times New Roman" w:eastAsia="Arial" w:hAnsi="Times New Roman" w:cs="Times New Roman"/>
                <w:sz w:val="21"/>
              </w:rPr>
              <w:t xml:space="preserve">vidence about the practice gap emerged from formal and informal discussions with key stakeholders, including frontline clinical staff and the administration. The clinical staff noted the lack of a standardized fall-risk assessment tool and inadequate training as some of the issues that have hindered optimal fall prevention. </w:t>
            </w:r>
          </w:p>
        </w:tc>
      </w:tr>
    </w:tbl>
    <w:p w14:paraId="6DEC6A21" w14:textId="77777777" w:rsidR="004C3599" w:rsidRPr="00532556" w:rsidRDefault="004C3599" w:rsidP="004C3599">
      <w:pPr>
        <w:rPr>
          <w:rFonts w:ascii="Times New Roman" w:hAnsi="Times New Roman" w:cs="Times New Roman"/>
          <w:sz w:val="24"/>
          <w:szCs w:val="24"/>
        </w:rPr>
      </w:pPr>
      <w:r w:rsidRPr="00532556">
        <w:rPr>
          <w:rFonts w:ascii="Times New Roman" w:hAnsi="Times New Roman" w:cs="Times New Roman"/>
          <w:sz w:val="24"/>
          <w:szCs w:val="24"/>
        </w:rPr>
        <w:br w:type="page"/>
      </w:r>
    </w:p>
    <w:p w14:paraId="21B05D31" w14:textId="77777777" w:rsidR="004C3599" w:rsidRPr="00532556" w:rsidRDefault="004C3599" w:rsidP="004C3599">
      <w:pPr>
        <w:spacing w:after="0" w:line="480" w:lineRule="auto"/>
        <w:ind w:left="720" w:hanging="720"/>
        <w:rPr>
          <w:rFonts w:ascii="Times New Roman" w:hAnsi="Times New Roman" w:cs="Times New Roman"/>
          <w:b/>
          <w:bCs/>
          <w:sz w:val="24"/>
          <w:szCs w:val="24"/>
        </w:rPr>
      </w:pPr>
      <w:r w:rsidRPr="00532556">
        <w:rPr>
          <w:rFonts w:ascii="Times New Roman" w:hAnsi="Times New Roman" w:cs="Times New Roman"/>
          <w:b/>
          <w:bCs/>
          <w:sz w:val="24"/>
          <w:szCs w:val="24"/>
        </w:rPr>
        <w:lastRenderedPageBreak/>
        <w:t>Table 2</w:t>
      </w:r>
    </w:p>
    <w:p w14:paraId="05F3D52E" w14:textId="77777777" w:rsidR="004C3599" w:rsidRPr="00532556" w:rsidRDefault="004C3599" w:rsidP="004C3599">
      <w:pPr>
        <w:spacing w:after="0" w:line="480" w:lineRule="auto"/>
        <w:ind w:left="720" w:hanging="720"/>
        <w:rPr>
          <w:rFonts w:ascii="Times New Roman" w:eastAsia="Calibri" w:hAnsi="Times New Roman" w:cs="Times New Roman"/>
          <w:i/>
          <w:iCs/>
          <w:sz w:val="24"/>
          <w:szCs w:val="24"/>
        </w:rPr>
      </w:pPr>
      <w:r w:rsidRPr="528A6D69">
        <w:rPr>
          <w:rFonts w:ascii="Times New Roman" w:eastAsia="Calibri" w:hAnsi="Times New Roman" w:cs="Times New Roman"/>
          <w:i/>
          <w:iCs/>
          <w:sz w:val="24"/>
          <w:szCs w:val="24"/>
        </w:rPr>
        <w:t>Johns Hopkins Individual Evidence Summary Tool–4</w:t>
      </w:r>
      <w:r w:rsidRPr="528A6D69">
        <w:rPr>
          <w:rFonts w:ascii="Times New Roman" w:eastAsia="Calibri" w:hAnsi="Times New Roman" w:cs="Times New Roman"/>
          <w:i/>
          <w:iCs/>
          <w:sz w:val="24"/>
          <w:szCs w:val="24"/>
          <w:vertAlign w:val="superscript"/>
        </w:rPr>
        <w:t>th</w:t>
      </w:r>
      <w:r w:rsidRPr="528A6D69">
        <w:rPr>
          <w:rFonts w:ascii="Times New Roman" w:eastAsia="Calibri" w:hAnsi="Times New Roman" w:cs="Times New Roman"/>
          <w:i/>
          <w:iCs/>
          <w:sz w:val="24"/>
          <w:szCs w:val="24"/>
        </w:rPr>
        <w:t xml:space="preserve"> Edition Modified for DNP program (Example entry in Blue.  Be sure to delete the example before completing.)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1171"/>
        <w:gridCol w:w="2186"/>
        <w:gridCol w:w="1254"/>
        <w:gridCol w:w="1720"/>
        <w:gridCol w:w="2034"/>
        <w:gridCol w:w="2266"/>
        <w:gridCol w:w="1879"/>
        <w:gridCol w:w="1485"/>
        <w:gridCol w:w="1012"/>
        <w:gridCol w:w="1009"/>
      </w:tblGrid>
      <w:tr w:rsidR="004C3599" w:rsidRPr="00532556" w14:paraId="12520B60" w14:textId="77777777" w:rsidTr="008A63FD">
        <w:trPr>
          <w:trHeight w:val="594"/>
        </w:trPr>
        <w:tc>
          <w:tcPr>
            <w:tcW w:w="363" w:type="pct"/>
          </w:tcPr>
          <w:p w14:paraId="7645F7E9" w14:textId="77777777" w:rsidR="004C3599" w:rsidRPr="00532556" w:rsidRDefault="004C3599" w:rsidP="008A63FD">
            <w:pPr>
              <w:pStyle w:val="TableParagraph"/>
              <w:spacing w:before="8"/>
              <w:rPr>
                <w:sz w:val="20"/>
              </w:rPr>
            </w:pPr>
          </w:p>
        </w:tc>
        <w:tc>
          <w:tcPr>
            <w:tcW w:w="4345" w:type="pct"/>
            <w:gridSpan w:val="9"/>
          </w:tcPr>
          <w:p w14:paraId="75449A4E" w14:textId="77777777" w:rsidR="004C3599" w:rsidRPr="00532556" w:rsidRDefault="004C3599" w:rsidP="008A63FD">
            <w:pPr>
              <w:pStyle w:val="TableParagraph"/>
              <w:spacing w:before="8"/>
              <w:rPr>
                <w:sz w:val="20"/>
              </w:rPr>
            </w:pPr>
          </w:p>
          <w:p w14:paraId="63E09B7E" w14:textId="77777777" w:rsidR="004C3599" w:rsidRPr="00532556" w:rsidRDefault="004C3599" w:rsidP="008A63FD">
            <w:pPr>
              <w:pStyle w:val="TableParagraph"/>
              <w:ind w:left="107"/>
              <w:rPr>
                <w:b/>
              </w:rPr>
            </w:pPr>
            <w:r w:rsidRPr="00532556">
              <w:rPr>
                <w:b/>
              </w:rPr>
              <w:t xml:space="preserve">EBP Project Practice </w:t>
            </w:r>
            <w:r w:rsidRPr="00532556">
              <w:rPr>
                <w:b/>
                <w:spacing w:val="-2"/>
              </w:rPr>
              <w:t>Question:</w:t>
            </w:r>
          </w:p>
        </w:tc>
        <w:tc>
          <w:tcPr>
            <w:tcW w:w="292" w:type="pct"/>
          </w:tcPr>
          <w:p w14:paraId="3ABA2609" w14:textId="77777777" w:rsidR="004C3599" w:rsidRPr="00532556" w:rsidRDefault="004C3599" w:rsidP="008A63FD">
            <w:pPr>
              <w:pStyle w:val="TableParagraph"/>
              <w:spacing w:before="8"/>
              <w:rPr>
                <w:sz w:val="20"/>
              </w:rPr>
            </w:pPr>
          </w:p>
        </w:tc>
      </w:tr>
      <w:tr w:rsidR="004C3599" w:rsidRPr="00532556" w14:paraId="17834FDA" w14:textId="77777777" w:rsidTr="008A63FD">
        <w:trPr>
          <w:trHeight w:val="809"/>
        </w:trPr>
        <w:tc>
          <w:tcPr>
            <w:tcW w:w="363" w:type="pct"/>
            <w:vAlign w:val="center"/>
          </w:tcPr>
          <w:p w14:paraId="708B2F20" w14:textId="77777777" w:rsidR="004C3599" w:rsidRPr="00532556" w:rsidRDefault="004C3599" w:rsidP="008A63FD">
            <w:pPr>
              <w:pStyle w:val="TableParagraph"/>
              <w:ind w:right="331"/>
              <w:contextualSpacing/>
              <w:jc w:val="center"/>
              <w:rPr>
                <w:b/>
                <w:sz w:val="20"/>
                <w:szCs w:val="20"/>
              </w:rPr>
            </w:pPr>
            <w:r>
              <w:rPr>
                <w:b/>
                <w:sz w:val="20"/>
                <w:szCs w:val="20"/>
              </w:rPr>
              <w:t>Reviewer Name(s)</w:t>
            </w:r>
          </w:p>
        </w:tc>
        <w:tc>
          <w:tcPr>
            <w:tcW w:w="339" w:type="pct"/>
            <w:vAlign w:val="center"/>
          </w:tcPr>
          <w:p w14:paraId="269BC2E2" w14:textId="77777777" w:rsidR="004C3599" w:rsidRPr="00532556" w:rsidRDefault="004C3599" w:rsidP="008A63FD">
            <w:pPr>
              <w:pStyle w:val="TableParagraph"/>
              <w:ind w:right="91"/>
              <w:contextualSpacing/>
              <w:jc w:val="center"/>
              <w:rPr>
                <w:b/>
                <w:sz w:val="20"/>
                <w:szCs w:val="20"/>
              </w:rPr>
            </w:pPr>
            <w:r>
              <w:rPr>
                <w:b/>
                <w:sz w:val="20"/>
                <w:szCs w:val="20"/>
              </w:rPr>
              <w:t>Article Number</w:t>
            </w:r>
          </w:p>
        </w:tc>
        <w:tc>
          <w:tcPr>
            <w:tcW w:w="633" w:type="pct"/>
          </w:tcPr>
          <w:p w14:paraId="40900D13" w14:textId="77777777" w:rsidR="004C3599" w:rsidRDefault="004C3599" w:rsidP="008A63FD">
            <w:pPr>
              <w:pStyle w:val="TableParagraph"/>
              <w:ind w:right="180"/>
              <w:contextualSpacing/>
              <w:jc w:val="center"/>
              <w:rPr>
                <w:b/>
                <w:sz w:val="20"/>
                <w:szCs w:val="20"/>
              </w:rPr>
            </w:pPr>
            <w:r>
              <w:rPr>
                <w:b/>
                <w:sz w:val="20"/>
                <w:szCs w:val="20"/>
              </w:rPr>
              <w:t>Author, Date, and Title</w:t>
            </w:r>
          </w:p>
        </w:tc>
        <w:tc>
          <w:tcPr>
            <w:tcW w:w="363" w:type="pct"/>
            <w:vAlign w:val="center"/>
          </w:tcPr>
          <w:p w14:paraId="71527BD9" w14:textId="77777777" w:rsidR="004C3599" w:rsidRPr="00532556" w:rsidRDefault="004C3599" w:rsidP="008A63FD">
            <w:pPr>
              <w:pStyle w:val="TableParagraph"/>
              <w:ind w:right="180"/>
              <w:contextualSpacing/>
              <w:jc w:val="center"/>
              <w:rPr>
                <w:b/>
                <w:sz w:val="20"/>
                <w:szCs w:val="20"/>
              </w:rPr>
            </w:pPr>
            <w:r>
              <w:rPr>
                <w:b/>
                <w:sz w:val="20"/>
                <w:szCs w:val="20"/>
              </w:rPr>
              <w:t>Type of Evidence</w:t>
            </w:r>
          </w:p>
        </w:tc>
        <w:tc>
          <w:tcPr>
            <w:tcW w:w="498" w:type="pct"/>
            <w:vAlign w:val="center"/>
          </w:tcPr>
          <w:p w14:paraId="04662DE5" w14:textId="77777777" w:rsidR="004C3599" w:rsidRPr="00532556" w:rsidRDefault="004C3599" w:rsidP="008A63FD">
            <w:pPr>
              <w:pStyle w:val="TableParagraph"/>
              <w:contextualSpacing/>
              <w:jc w:val="center"/>
              <w:rPr>
                <w:b/>
                <w:sz w:val="20"/>
                <w:szCs w:val="20"/>
              </w:rPr>
            </w:pPr>
            <w:r w:rsidRPr="00532556">
              <w:rPr>
                <w:b/>
                <w:spacing w:val="-2"/>
                <w:sz w:val="20"/>
                <w:szCs w:val="20"/>
              </w:rPr>
              <w:t xml:space="preserve">Population, </w:t>
            </w:r>
            <w:r w:rsidRPr="00532556">
              <w:rPr>
                <w:b/>
                <w:sz w:val="20"/>
                <w:szCs w:val="20"/>
              </w:rPr>
              <w:t xml:space="preserve">size, and </w:t>
            </w:r>
            <w:r w:rsidRPr="00532556">
              <w:rPr>
                <w:b/>
                <w:spacing w:val="-2"/>
                <w:sz w:val="20"/>
                <w:szCs w:val="20"/>
              </w:rPr>
              <w:t>setting</w:t>
            </w:r>
          </w:p>
        </w:tc>
        <w:tc>
          <w:tcPr>
            <w:tcW w:w="589" w:type="pct"/>
            <w:vAlign w:val="center"/>
          </w:tcPr>
          <w:p w14:paraId="5EFB599F" w14:textId="77777777" w:rsidR="004C3599" w:rsidRPr="00532556" w:rsidRDefault="004C3599" w:rsidP="008A63FD">
            <w:pPr>
              <w:pStyle w:val="TableParagraph"/>
              <w:ind w:right="93"/>
              <w:contextualSpacing/>
              <w:jc w:val="center"/>
              <w:rPr>
                <w:b/>
                <w:sz w:val="20"/>
                <w:szCs w:val="20"/>
              </w:rPr>
            </w:pPr>
            <w:r w:rsidRPr="00532556">
              <w:rPr>
                <w:b/>
                <w:spacing w:val="-2"/>
                <w:sz w:val="20"/>
                <w:szCs w:val="20"/>
              </w:rPr>
              <w:t>Intervention</w:t>
            </w:r>
          </w:p>
        </w:tc>
        <w:tc>
          <w:tcPr>
            <w:tcW w:w="656" w:type="pct"/>
            <w:vAlign w:val="center"/>
          </w:tcPr>
          <w:p w14:paraId="6BAA01C6" w14:textId="77777777" w:rsidR="004C3599" w:rsidRPr="00532556" w:rsidRDefault="004C3599" w:rsidP="008A63FD">
            <w:pPr>
              <w:pStyle w:val="TableParagraph"/>
              <w:ind w:right="111"/>
              <w:contextualSpacing/>
              <w:jc w:val="center"/>
              <w:rPr>
                <w:b/>
                <w:sz w:val="20"/>
                <w:szCs w:val="20"/>
              </w:rPr>
            </w:pPr>
            <w:r w:rsidRPr="00532556">
              <w:rPr>
                <w:b/>
                <w:spacing w:val="-2"/>
                <w:sz w:val="20"/>
                <w:szCs w:val="20"/>
              </w:rPr>
              <w:t xml:space="preserve">Findings </w:t>
            </w:r>
            <w:r w:rsidRPr="00532556">
              <w:rPr>
                <w:b/>
                <w:sz w:val="20"/>
                <w:szCs w:val="20"/>
              </w:rPr>
              <w:t>that help answer</w:t>
            </w:r>
            <w:r w:rsidRPr="00532556">
              <w:rPr>
                <w:b/>
                <w:spacing w:val="-14"/>
                <w:sz w:val="20"/>
                <w:szCs w:val="20"/>
              </w:rPr>
              <w:t xml:space="preserve"> </w:t>
            </w:r>
            <w:r w:rsidRPr="00532556">
              <w:rPr>
                <w:b/>
                <w:sz w:val="20"/>
                <w:szCs w:val="20"/>
              </w:rPr>
              <w:t xml:space="preserve">the </w:t>
            </w:r>
            <w:r w:rsidRPr="00532556">
              <w:rPr>
                <w:b/>
                <w:spacing w:val="-4"/>
                <w:sz w:val="20"/>
                <w:szCs w:val="20"/>
              </w:rPr>
              <w:t xml:space="preserve">EBP </w:t>
            </w:r>
            <w:r w:rsidRPr="00532556">
              <w:rPr>
                <w:b/>
                <w:spacing w:val="-2"/>
                <w:sz w:val="20"/>
                <w:szCs w:val="20"/>
              </w:rPr>
              <w:t>question</w:t>
            </w:r>
          </w:p>
        </w:tc>
        <w:tc>
          <w:tcPr>
            <w:tcW w:w="544" w:type="pct"/>
            <w:vAlign w:val="center"/>
          </w:tcPr>
          <w:p w14:paraId="74130109" w14:textId="77777777" w:rsidR="004C3599" w:rsidRPr="00532556" w:rsidRDefault="004C3599" w:rsidP="008A63FD">
            <w:pPr>
              <w:pStyle w:val="TableParagraph"/>
              <w:ind w:right="215"/>
              <w:contextualSpacing/>
              <w:jc w:val="center"/>
              <w:rPr>
                <w:b/>
                <w:sz w:val="20"/>
                <w:szCs w:val="20"/>
              </w:rPr>
            </w:pPr>
            <w:r w:rsidRPr="00532556">
              <w:rPr>
                <w:b/>
                <w:spacing w:val="-2"/>
                <w:sz w:val="20"/>
                <w:szCs w:val="20"/>
              </w:rPr>
              <w:t xml:space="preserve">Measures </w:t>
            </w:r>
            <w:r w:rsidRPr="00532556">
              <w:rPr>
                <w:b/>
                <w:spacing w:val="-4"/>
                <w:sz w:val="20"/>
                <w:szCs w:val="20"/>
              </w:rPr>
              <w:t>used</w:t>
            </w:r>
          </w:p>
        </w:tc>
        <w:tc>
          <w:tcPr>
            <w:tcW w:w="430" w:type="pct"/>
            <w:vAlign w:val="center"/>
          </w:tcPr>
          <w:p w14:paraId="181BBD11" w14:textId="77777777" w:rsidR="004C3599" w:rsidRPr="00532556" w:rsidRDefault="004C3599" w:rsidP="008A63FD">
            <w:pPr>
              <w:pStyle w:val="TableParagraph"/>
              <w:contextualSpacing/>
              <w:jc w:val="center"/>
              <w:rPr>
                <w:b/>
                <w:sz w:val="20"/>
                <w:szCs w:val="20"/>
              </w:rPr>
            </w:pPr>
            <w:r w:rsidRPr="00532556">
              <w:rPr>
                <w:b/>
                <w:spacing w:val="-2"/>
                <w:sz w:val="20"/>
                <w:szCs w:val="20"/>
              </w:rPr>
              <w:t>Limitations</w:t>
            </w:r>
          </w:p>
        </w:tc>
        <w:tc>
          <w:tcPr>
            <w:tcW w:w="293" w:type="pct"/>
            <w:vAlign w:val="center"/>
          </w:tcPr>
          <w:p w14:paraId="7B310652" w14:textId="77777777" w:rsidR="004C3599" w:rsidRPr="00532556" w:rsidRDefault="004C3599" w:rsidP="008A63FD">
            <w:pPr>
              <w:pStyle w:val="TableParagraph"/>
              <w:contextualSpacing/>
              <w:jc w:val="center"/>
              <w:rPr>
                <w:b/>
                <w:sz w:val="20"/>
                <w:szCs w:val="20"/>
              </w:rPr>
            </w:pPr>
            <w:r w:rsidRPr="00532556">
              <w:rPr>
                <w:b/>
                <w:spacing w:val="-2"/>
                <w:sz w:val="20"/>
                <w:szCs w:val="20"/>
              </w:rPr>
              <w:t xml:space="preserve">Evidence </w:t>
            </w:r>
            <w:r w:rsidRPr="00532556">
              <w:rPr>
                <w:b/>
                <w:sz w:val="20"/>
                <w:szCs w:val="20"/>
              </w:rPr>
              <w:t xml:space="preserve">level &amp; </w:t>
            </w:r>
            <w:r w:rsidRPr="00532556">
              <w:rPr>
                <w:b/>
                <w:spacing w:val="-2"/>
                <w:sz w:val="20"/>
                <w:szCs w:val="20"/>
              </w:rPr>
              <w:t>quality</w:t>
            </w:r>
          </w:p>
        </w:tc>
        <w:tc>
          <w:tcPr>
            <w:tcW w:w="292" w:type="pct"/>
          </w:tcPr>
          <w:p w14:paraId="22CC6D21" w14:textId="77777777" w:rsidR="004C3599" w:rsidRPr="00532556" w:rsidRDefault="004C3599" w:rsidP="008A63FD">
            <w:pPr>
              <w:pStyle w:val="TableParagraph"/>
              <w:contextualSpacing/>
              <w:jc w:val="center"/>
              <w:rPr>
                <w:b/>
                <w:spacing w:val="-2"/>
                <w:sz w:val="20"/>
                <w:szCs w:val="20"/>
              </w:rPr>
            </w:pPr>
            <w:r>
              <w:rPr>
                <w:b/>
                <w:spacing w:val="-2"/>
                <w:sz w:val="20"/>
                <w:szCs w:val="20"/>
              </w:rPr>
              <w:t>Notes to Team</w:t>
            </w:r>
          </w:p>
        </w:tc>
      </w:tr>
      <w:tr w:rsidR="00DD504D" w:rsidRPr="00146540" w14:paraId="0046DF28" w14:textId="77777777" w:rsidTr="008A63FD">
        <w:trPr>
          <w:trHeight w:val="659"/>
        </w:trPr>
        <w:tc>
          <w:tcPr>
            <w:tcW w:w="363" w:type="pct"/>
            <w:shd w:val="clear" w:color="auto" w:fill="D5DCE4" w:themeFill="text2" w:themeFillTint="33"/>
          </w:tcPr>
          <w:p w14:paraId="55954271" w14:textId="77777777" w:rsidR="00DD504D" w:rsidRPr="00146540" w:rsidRDefault="00DD504D" w:rsidP="008A63FD">
            <w:pPr>
              <w:pStyle w:val="TableParagraph"/>
              <w:ind w:left="288"/>
              <w:contextualSpacing/>
              <w:rPr>
                <w:sz w:val="18"/>
                <w:szCs w:val="18"/>
              </w:rPr>
            </w:pPr>
          </w:p>
        </w:tc>
        <w:tc>
          <w:tcPr>
            <w:tcW w:w="339" w:type="pct"/>
            <w:shd w:val="clear" w:color="auto" w:fill="D5DCE4" w:themeFill="text2" w:themeFillTint="33"/>
          </w:tcPr>
          <w:p w14:paraId="5A22D53F" w14:textId="0F71FDC3" w:rsidR="00DD504D" w:rsidRPr="00146540" w:rsidRDefault="00DD504D" w:rsidP="005478FF">
            <w:pPr>
              <w:pStyle w:val="TableParagraph"/>
              <w:numPr>
                <w:ilvl w:val="0"/>
                <w:numId w:val="2"/>
              </w:numPr>
              <w:contextualSpacing/>
              <w:rPr>
                <w:b/>
                <w:bCs/>
                <w:sz w:val="18"/>
                <w:szCs w:val="18"/>
              </w:rPr>
            </w:pPr>
          </w:p>
        </w:tc>
        <w:tc>
          <w:tcPr>
            <w:tcW w:w="633" w:type="pct"/>
            <w:shd w:val="clear" w:color="auto" w:fill="D5DCE4" w:themeFill="text2" w:themeFillTint="33"/>
          </w:tcPr>
          <w:p w14:paraId="3575D56C" w14:textId="77777777" w:rsidR="00DD504D" w:rsidRPr="00146540" w:rsidRDefault="00146540" w:rsidP="008A63FD">
            <w:pPr>
              <w:pStyle w:val="TableParagraph"/>
              <w:contextualSpacing/>
              <w:rPr>
                <w:sz w:val="18"/>
                <w:szCs w:val="18"/>
                <w:lang w:val="en-GB" w:eastAsia="en-GB"/>
              </w:rPr>
            </w:pPr>
            <w:r w:rsidRPr="00146540">
              <w:rPr>
                <w:sz w:val="18"/>
                <w:szCs w:val="18"/>
                <w:lang w:val="en-GB" w:eastAsia="en-GB"/>
              </w:rPr>
              <w:t xml:space="preserve">Wong, M. M., Pang, P. F., Chan, C. F., Lau, M. S., </w:t>
            </w:r>
            <w:proofErr w:type="spellStart"/>
            <w:r w:rsidRPr="00146540">
              <w:rPr>
                <w:sz w:val="18"/>
                <w:szCs w:val="18"/>
                <w:lang w:val="en-GB" w:eastAsia="en-GB"/>
              </w:rPr>
              <w:t>Tse</w:t>
            </w:r>
            <w:proofErr w:type="spellEnd"/>
            <w:r w:rsidRPr="00146540">
              <w:rPr>
                <w:sz w:val="18"/>
                <w:szCs w:val="18"/>
                <w:lang w:val="en-GB" w:eastAsia="en-GB"/>
              </w:rPr>
              <w:t xml:space="preserve">, W. Y., Lam, L. C. W., Lee, S., &amp; Yan, C. T. (2021). Wilson Sims Fall Risk Assessment Tool versus Morse Fall Scale in psychogeriatric inpatients: A multicentre study. </w:t>
            </w:r>
            <w:r w:rsidRPr="00146540">
              <w:rPr>
                <w:i/>
                <w:iCs/>
                <w:sz w:val="18"/>
                <w:szCs w:val="18"/>
                <w:lang w:val="en-GB" w:eastAsia="en-GB"/>
              </w:rPr>
              <w:t>East Asian Archives of Psychiatry</w:t>
            </w:r>
            <w:r w:rsidRPr="00146540">
              <w:rPr>
                <w:sz w:val="18"/>
                <w:szCs w:val="18"/>
                <w:lang w:val="en-GB" w:eastAsia="en-GB"/>
              </w:rPr>
              <w:t xml:space="preserve">, </w:t>
            </w:r>
            <w:r w:rsidRPr="00146540">
              <w:rPr>
                <w:i/>
                <w:iCs/>
                <w:sz w:val="18"/>
                <w:szCs w:val="18"/>
                <w:lang w:val="en-GB" w:eastAsia="en-GB"/>
              </w:rPr>
              <w:t>31</w:t>
            </w:r>
            <w:r w:rsidRPr="00146540">
              <w:rPr>
                <w:sz w:val="18"/>
                <w:szCs w:val="18"/>
                <w:lang w:val="en-GB" w:eastAsia="en-GB"/>
              </w:rPr>
              <w:t xml:space="preserve">(3), 67-70. </w:t>
            </w:r>
            <w:hyperlink r:id="rId31" w:history="1">
              <w:r w:rsidRPr="00146540">
                <w:rPr>
                  <w:rStyle w:val="Hyperlink"/>
                  <w:sz w:val="18"/>
                  <w:szCs w:val="18"/>
                  <w:lang w:val="en-GB" w:eastAsia="en-GB"/>
                </w:rPr>
                <w:t>https://doi.org/10.12809/eaap2113</w:t>
              </w:r>
            </w:hyperlink>
          </w:p>
          <w:p w14:paraId="27B14153" w14:textId="77777777" w:rsidR="00146540" w:rsidRPr="00146540" w:rsidRDefault="00146540" w:rsidP="008A63FD">
            <w:pPr>
              <w:pStyle w:val="TableParagraph"/>
              <w:contextualSpacing/>
              <w:rPr>
                <w:b/>
                <w:bCs/>
                <w:sz w:val="18"/>
                <w:szCs w:val="18"/>
                <w:lang w:eastAsia="en-GB"/>
              </w:rPr>
            </w:pPr>
          </w:p>
          <w:p w14:paraId="69F0FA93" w14:textId="77777777" w:rsidR="00146540" w:rsidRPr="00146540" w:rsidRDefault="00146540" w:rsidP="008A63FD">
            <w:pPr>
              <w:pStyle w:val="TableParagraph"/>
              <w:contextualSpacing/>
              <w:rPr>
                <w:b/>
                <w:bCs/>
                <w:sz w:val="18"/>
                <w:szCs w:val="18"/>
                <w:lang w:eastAsia="en-GB"/>
              </w:rPr>
            </w:pPr>
            <w:r w:rsidRPr="00146540">
              <w:rPr>
                <w:b/>
                <w:bCs/>
                <w:sz w:val="18"/>
                <w:szCs w:val="18"/>
                <w:lang w:eastAsia="en-GB"/>
              </w:rPr>
              <w:t>Permalink</w:t>
            </w:r>
          </w:p>
          <w:p w14:paraId="055BB6D2" w14:textId="2049ADBC" w:rsidR="00146540" w:rsidRPr="00146540" w:rsidRDefault="00000000" w:rsidP="008A63FD">
            <w:pPr>
              <w:pStyle w:val="TableParagraph"/>
              <w:contextualSpacing/>
              <w:rPr>
                <w:bCs/>
                <w:sz w:val="18"/>
                <w:szCs w:val="18"/>
              </w:rPr>
            </w:pPr>
            <w:hyperlink r:id="rId32" w:history="1">
              <w:r w:rsidR="00146540" w:rsidRPr="00146540">
                <w:rPr>
                  <w:rStyle w:val="Hyperlink"/>
                  <w:bCs/>
                  <w:sz w:val="18"/>
                  <w:szCs w:val="18"/>
                </w:rPr>
                <w:t>https://pubmed.ncbi.nlm.nih.gov/34588316/</w:t>
              </w:r>
            </w:hyperlink>
            <w:r w:rsidR="00146540" w:rsidRPr="00146540">
              <w:rPr>
                <w:bCs/>
                <w:sz w:val="18"/>
                <w:szCs w:val="18"/>
              </w:rPr>
              <w:t xml:space="preserve"> </w:t>
            </w:r>
          </w:p>
        </w:tc>
        <w:tc>
          <w:tcPr>
            <w:tcW w:w="363" w:type="pct"/>
            <w:shd w:val="clear" w:color="auto" w:fill="D5DCE4" w:themeFill="text2" w:themeFillTint="33"/>
          </w:tcPr>
          <w:p w14:paraId="2A813D1B" w14:textId="66EAE5D3" w:rsidR="00DD504D" w:rsidRPr="00146540" w:rsidRDefault="00146540" w:rsidP="008A63FD">
            <w:pPr>
              <w:pStyle w:val="TableParagraph"/>
              <w:contextualSpacing/>
              <w:rPr>
                <w:bCs/>
                <w:sz w:val="18"/>
                <w:szCs w:val="18"/>
              </w:rPr>
            </w:pPr>
            <w:r>
              <w:rPr>
                <w:bCs/>
                <w:sz w:val="18"/>
                <w:szCs w:val="18"/>
              </w:rPr>
              <w:t>Quantitative research with a retrospective design</w:t>
            </w:r>
          </w:p>
        </w:tc>
        <w:tc>
          <w:tcPr>
            <w:tcW w:w="498" w:type="pct"/>
            <w:shd w:val="clear" w:color="auto" w:fill="D5DCE4" w:themeFill="text2" w:themeFillTint="33"/>
          </w:tcPr>
          <w:p w14:paraId="2C850DE3" w14:textId="77777777" w:rsidR="00DD504D" w:rsidRDefault="00146540" w:rsidP="008A63FD">
            <w:pPr>
              <w:pStyle w:val="TableParagraph"/>
              <w:contextualSpacing/>
              <w:rPr>
                <w:bCs/>
                <w:sz w:val="18"/>
                <w:szCs w:val="18"/>
              </w:rPr>
            </w:pPr>
            <w:r>
              <w:rPr>
                <w:bCs/>
                <w:sz w:val="18"/>
                <w:szCs w:val="18"/>
              </w:rPr>
              <w:t>Sample/size = 183 patients (90 male and 93 female) aged 65 years and older who had experienced a fall between April 2019 and April 2020</w:t>
            </w:r>
          </w:p>
          <w:p w14:paraId="5148E6D6" w14:textId="77777777" w:rsidR="00146540" w:rsidRDefault="00146540" w:rsidP="008A63FD">
            <w:pPr>
              <w:pStyle w:val="TableParagraph"/>
              <w:contextualSpacing/>
              <w:rPr>
                <w:bCs/>
                <w:sz w:val="18"/>
                <w:szCs w:val="18"/>
              </w:rPr>
            </w:pPr>
          </w:p>
          <w:p w14:paraId="53137E2F" w14:textId="77777777" w:rsidR="00146540" w:rsidRDefault="00146540" w:rsidP="008A63FD">
            <w:pPr>
              <w:pStyle w:val="TableParagraph"/>
              <w:contextualSpacing/>
              <w:rPr>
                <w:bCs/>
                <w:sz w:val="18"/>
                <w:szCs w:val="18"/>
              </w:rPr>
            </w:pPr>
            <w:r>
              <w:rPr>
                <w:bCs/>
                <w:sz w:val="18"/>
                <w:szCs w:val="18"/>
              </w:rPr>
              <w:t>Sample size = 183</w:t>
            </w:r>
          </w:p>
          <w:p w14:paraId="09447A44" w14:textId="77777777" w:rsidR="00146540" w:rsidRDefault="00146540" w:rsidP="008A63FD">
            <w:pPr>
              <w:pStyle w:val="TableParagraph"/>
              <w:contextualSpacing/>
              <w:rPr>
                <w:bCs/>
                <w:sz w:val="18"/>
                <w:szCs w:val="18"/>
              </w:rPr>
            </w:pPr>
          </w:p>
          <w:p w14:paraId="3B11EBBB" w14:textId="7E3C0D6C" w:rsidR="00146540" w:rsidRPr="00146540" w:rsidRDefault="00146540" w:rsidP="008A63FD">
            <w:pPr>
              <w:pStyle w:val="TableParagraph"/>
              <w:contextualSpacing/>
              <w:rPr>
                <w:bCs/>
                <w:sz w:val="18"/>
                <w:szCs w:val="18"/>
              </w:rPr>
            </w:pPr>
            <w:r>
              <w:rPr>
                <w:bCs/>
                <w:sz w:val="18"/>
                <w:szCs w:val="18"/>
              </w:rPr>
              <w:t>Setting = Hong Kong</w:t>
            </w:r>
          </w:p>
        </w:tc>
        <w:tc>
          <w:tcPr>
            <w:tcW w:w="589" w:type="pct"/>
            <w:shd w:val="clear" w:color="auto" w:fill="D5DCE4" w:themeFill="text2" w:themeFillTint="33"/>
          </w:tcPr>
          <w:p w14:paraId="398D443E" w14:textId="6861A2F2" w:rsidR="00DD504D" w:rsidRPr="00146540" w:rsidRDefault="00146540" w:rsidP="008A63FD">
            <w:pPr>
              <w:pStyle w:val="TableParagraph"/>
              <w:contextualSpacing/>
              <w:rPr>
                <w:bCs/>
                <w:sz w:val="18"/>
                <w:szCs w:val="18"/>
              </w:rPr>
            </w:pPr>
            <w:r w:rsidRPr="00146540">
              <w:rPr>
                <w:bCs/>
                <w:sz w:val="18"/>
                <w:szCs w:val="18"/>
              </w:rPr>
              <w:t>The study</w:t>
            </w:r>
            <w:r>
              <w:rPr>
                <w:bCs/>
                <w:sz w:val="18"/>
                <w:szCs w:val="18"/>
              </w:rPr>
              <w:t xml:space="preserve"> sought to compare the predictive validity of WSFRAT with that of the Morse Fall Scale (MFS) in psychogeriatric inpatients</w:t>
            </w:r>
          </w:p>
        </w:tc>
        <w:tc>
          <w:tcPr>
            <w:tcW w:w="656" w:type="pct"/>
            <w:shd w:val="clear" w:color="auto" w:fill="D5DCE4" w:themeFill="text2" w:themeFillTint="33"/>
          </w:tcPr>
          <w:p w14:paraId="7B7FDA28" w14:textId="3CA29F40" w:rsidR="00DD504D" w:rsidRPr="00146540" w:rsidRDefault="003F78B0" w:rsidP="008A63FD">
            <w:pPr>
              <w:pStyle w:val="TableParagraph"/>
              <w:contextualSpacing/>
              <w:rPr>
                <w:bCs/>
                <w:sz w:val="18"/>
                <w:szCs w:val="18"/>
              </w:rPr>
            </w:pPr>
            <w:r>
              <w:rPr>
                <w:bCs/>
                <w:sz w:val="18"/>
                <w:szCs w:val="18"/>
              </w:rPr>
              <w:t>A prevalence of 2.19% fall rate was recorded. WSFRAT had a sensitivity of 100% compared to 50% in MFS. Conversely, WSFRAT had a sensitivity of 45.81% versus 54.75% for MFS. The higher sensitivity suggests that WSFRAT is suitable in assessing falls risk in older patients with psychiatric disorders.</w:t>
            </w:r>
          </w:p>
        </w:tc>
        <w:tc>
          <w:tcPr>
            <w:tcW w:w="544" w:type="pct"/>
            <w:shd w:val="clear" w:color="auto" w:fill="D5DCE4" w:themeFill="text2" w:themeFillTint="33"/>
          </w:tcPr>
          <w:p w14:paraId="72E1365A" w14:textId="5A3E86BF" w:rsidR="00DD504D" w:rsidRPr="003F78B0" w:rsidRDefault="003F78B0" w:rsidP="008A63FD">
            <w:pPr>
              <w:pStyle w:val="TableParagraph"/>
              <w:contextualSpacing/>
              <w:rPr>
                <w:bCs/>
                <w:sz w:val="18"/>
                <w:szCs w:val="18"/>
              </w:rPr>
            </w:pPr>
            <w:r>
              <w:rPr>
                <w:bCs/>
                <w:sz w:val="18"/>
                <w:szCs w:val="18"/>
              </w:rPr>
              <w:t xml:space="preserve">The researchers measured risk scores based on the two instruments </w:t>
            </w:r>
          </w:p>
        </w:tc>
        <w:tc>
          <w:tcPr>
            <w:tcW w:w="430" w:type="pct"/>
            <w:shd w:val="clear" w:color="auto" w:fill="D5DCE4" w:themeFill="text2" w:themeFillTint="33"/>
          </w:tcPr>
          <w:p w14:paraId="44EF046B" w14:textId="55674F88" w:rsidR="00DD504D" w:rsidRPr="003F78B0" w:rsidRDefault="003F78B0" w:rsidP="008A63FD">
            <w:pPr>
              <w:pStyle w:val="TableParagraph"/>
              <w:contextualSpacing/>
              <w:rPr>
                <w:bCs/>
                <w:sz w:val="18"/>
                <w:szCs w:val="18"/>
              </w:rPr>
            </w:pPr>
            <w:r>
              <w:rPr>
                <w:bCs/>
                <w:sz w:val="18"/>
                <w:szCs w:val="18"/>
              </w:rPr>
              <w:t xml:space="preserve">The study had a small sample size and inadequate information about the demographic characteristics of the sample, limiting its generalizability to other settings. In addition, the researchers did not evaluate inter-rater reliability of the tools. </w:t>
            </w:r>
          </w:p>
        </w:tc>
        <w:tc>
          <w:tcPr>
            <w:tcW w:w="293" w:type="pct"/>
            <w:shd w:val="clear" w:color="auto" w:fill="D5DCE4" w:themeFill="text2" w:themeFillTint="33"/>
          </w:tcPr>
          <w:p w14:paraId="7837BAEB" w14:textId="77777777" w:rsidR="00DD504D" w:rsidRDefault="009C3787" w:rsidP="008A63FD">
            <w:pPr>
              <w:pStyle w:val="TableParagraph"/>
              <w:contextualSpacing/>
              <w:rPr>
                <w:bCs/>
                <w:sz w:val="18"/>
                <w:szCs w:val="18"/>
              </w:rPr>
            </w:pPr>
            <w:r>
              <w:rPr>
                <w:bCs/>
                <w:sz w:val="18"/>
                <w:szCs w:val="18"/>
              </w:rPr>
              <w:t>Level III</w:t>
            </w:r>
          </w:p>
          <w:p w14:paraId="2089621A" w14:textId="5D65708B" w:rsidR="009C3787" w:rsidRPr="009C3787" w:rsidRDefault="009C3787" w:rsidP="008A63FD">
            <w:pPr>
              <w:pStyle w:val="TableParagraph"/>
              <w:contextualSpacing/>
              <w:rPr>
                <w:bCs/>
                <w:sz w:val="18"/>
                <w:szCs w:val="18"/>
              </w:rPr>
            </w:pPr>
            <w:r>
              <w:rPr>
                <w:bCs/>
                <w:sz w:val="18"/>
                <w:szCs w:val="18"/>
              </w:rPr>
              <w:t>Quality B</w:t>
            </w:r>
          </w:p>
        </w:tc>
        <w:tc>
          <w:tcPr>
            <w:tcW w:w="292" w:type="pct"/>
            <w:shd w:val="clear" w:color="auto" w:fill="D5DCE4" w:themeFill="text2" w:themeFillTint="33"/>
          </w:tcPr>
          <w:p w14:paraId="51854221" w14:textId="77777777" w:rsidR="00DD504D" w:rsidRPr="00146540" w:rsidRDefault="00DD504D" w:rsidP="008A63FD">
            <w:pPr>
              <w:pStyle w:val="TableParagraph"/>
              <w:ind w:left="288"/>
              <w:contextualSpacing/>
              <w:rPr>
                <w:b/>
                <w:bCs/>
                <w:sz w:val="18"/>
                <w:szCs w:val="18"/>
              </w:rPr>
            </w:pPr>
          </w:p>
        </w:tc>
      </w:tr>
      <w:tr w:rsidR="004C3599" w:rsidRPr="009C3787" w14:paraId="41560456" w14:textId="77777777" w:rsidTr="008A63FD">
        <w:trPr>
          <w:trHeight w:val="662"/>
        </w:trPr>
        <w:tc>
          <w:tcPr>
            <w:tcW w:w="363" w:type="pct"/>
          </w:tcPr>
          <w:p w14:paraId="48836DFB" w14:textId="77777777" w:rsidR="004C3599" w:rsidRPr="009C3787" w:rsidRDefault="004C3599" w:rsidP="008A63FD">
            <w:pPr>
              <w:pStyle w:val="TableParagraph"/>
              <w:rPr>
                <w:sz w:val="18"/>
                <w:szCs w:val="18"/>
              </w:rPr>
            </w:pPr>
          </w:p>
        </w:tc>
        <w:tc>
          <w:tcPr>
            <w:tcW w:w="339" w:type="pct"/>
          </w:tcPr>
          <w:p w14:paraId="751F12F1" w14:textId="53692818" w:rsidR="004C3599" w:rsidRPr="009C3787" w:rsidRDefault="004C3599" w:rsidP="005478FF">
            <w:pPr>
              <w:pStyle w:val="TableParagraph"/>
              <w:numPr>
                <w:ilvl w:val="0"/>
                <w:numId w:val="2"/>
              </w:numPr>
              <w:rPr>
                <w:sz w:val="18"/>
                <w:szCs w:val="18"/>
              </w:rPr>
            </w:pPr>
          </w:p>
        </w:tc>
        <w:tc>
          <w:tcPr>
            <w:tcW w:w="633" w:type="pct"/>
          </w:tcPr>
          <w:p w14:paraId="261BA0DF" w14:textId="77777777" w:rsidR="004C3599" w:rsidRPr="009C3787" w:rsidRDefault="009C3787" w:rsidP="008A63FD">
            <w:pPr>
              <w:pStyle w:val="TableParagraph"/>
              <w:rPr>
                <w:sz w:val="18"/>
                <w:szCs w:val="18"/>
              </w:rPr>
            </w:pPr>
            <w:r w:rsidRPr="009C3787">
              <w:rPr>
                <w:sz w:val="18"/>
                <w:szCs w:val="18"/>
                <w:lang w:val="en-GB" w:eastAsia="en-GB"/>
              </w:rPr>
              <w:t xml:space="preserve">Naseri, C., McPhail, S. M., Morris, M. E., Shorr, R., Flicker, L., Bulsara, M., Lee, D., </w:t>
            </w:r>
            <w:proofErr w:type="spellStart"/>
            <w:r w:rsidRPr="009C3787">
              <w:rPr>
                <w:sz w:val="18"/>
                <w:szCs w:val="18"/>
                <w:lang w:val="en-GB" w:eastAsia="en-GB"/>
              </w:rPr>
              <w:t>Farncis</w:t>
            </w:r>
            <w:proofErr w:type="spellEnd"/>
            <w:r w:rsidRPr="009C3787">
              <w:rPr>
                <w:sz w:val="18"/>
                <w:szCs w:val="18"/>
                <w:lang w:val="en-GB" w:eastAsia="en-GB"/>
              </w:rPr>
              <w:t xml:space="preserve">-Coad, J., Waldron, N., &amp; Hill, A. M. (2021). Tailored education increased capability and motivation for fall prevention in older people after hospitalization. </w:t>
            </w:r>
            <w:r w:rsidRPr="009C3787">
              <w:rPr>
                <w:i/>
                <w:iCs/>
                <w:sz w:val="18"/>
                <w:szCs w:val="18"/>
                <w:lang w:val="en-GB" w:eastAsia="en-GB"/>
              </w:rPr>
              <w:t>Frontiers in Public Health</w:t>
            </w:r>
            <w:r w:rsidRPr="009C3787">
              <w:rPr>
                <w:sz w:val="18"/>
                <w:szCs w:val="18"/>
                <w:lang w:val="en-GB" w:eastAsia="en-GB"/>
              </w:rPr>
              <w:t xml:space="preserve">, </w:t>
            </w:r>
            <w:r w:rsidRPr="009C3787">
              <w:rPr>
                <w:i/>
                <w:iCs/>
                <w:sz w:val="18"/>
                <w:szCs w:val="18"/>
                <w:lang w:val="en-GB" w:eastAsia="en-GB"/>
              </w:rPr>
              <w:t>9</w:t>
            </w:r>
            <w:r w:rsidRPr="009C3787">
              <w:rPr>
                <w:sz w:val="18"/>
                <w:szCs w:val="18"/>
                <w:lang w:val="en-GB" w:eastAsia="en-GB"/>
              </w:rPr>
              <w:t>, 683723.</w:t>
            </w:r>
            <w:r w:rsidRPr="009C3787">
              <w:rPr>
                <w:sz w:val="18"/>
                <w:szCs w:val="18"/>
              </w:rPr>
              <w:t xml:space="preserve"> </w:t>
            </w:r>
            <w:hyperlink r:id="rId33" w:history="1">
              <w:r w:rsidRPr="009C3787">
                <w:rPr>
                  <w:rStyle w:val="Hyperlink"/>
                  <w:sz w:val="18"/>
                  <w:szCs w:val="18"/>
                </w:rPr>
                <w:t>https://doi.org/10.3389/fpubh.2021.683723</w:t>
              </w:r>
            </w:hyperlink>
          </w:p>
          <w:p w14:paraId="093298E4" w14:textId="77777777" w:rsidR="009C3787" w:rsidRPr="009C3787" w:rsidRDefault="009C3787" w:rsidP="008A63FD">
            <w:pPr>
              <w:pStyle w:val="TableParagraph"/>
              <w:rPr>
                <w:sz w:val="18"/>
                <w:szCs w:val="18"/>
              </w:rPr>
            </w:pPr>
          </w:p>
          <w:p w14:paraId="6E7A6B69" w14:textId="29F774E1" w:rsidR="009C3787" w:rsidRPr="009C3787" w:rsidRDefault="009C3787" w:rsidP="008A63FD">
            <w:pPr>
              <w:pStyle w:val="TableParagraph"/>
              <w:rPr>
                <w:sz w:val="18"/>
                <w:szCs w:val="18"/>
              </w:rPr>
            </w:pPr>
            <w:r w:rsidRPr="009C3787">
              <w:rPr>
                <w:sz w:val="18"/>
                <w:szCs w:val="18"/>
              </w:rPr>
              <w:t>Permalink</w:t>
            </w:r>
          </w:p>
          <w:p w14:paraId="4426A2CF" w14:textId="2BDFAB21" w:rsidR="009C3787" w:rsidRPr="009C3787" w:rsidRDefault="00000000" w:rsidP="008A63FD">
            <w:pPr>
              <w:pStyle w:val="TableParagraph"/>
              <w:rPr>
                <w:sz w:val="18"/>
                <w:szCs w:val="18"/>
              </w:rPr>
            </w:pPr>
            <w:hyperlink r:id="rId34" w:history="1">
              <w:r w:rsidR="009C3787" w:rsidRPr="009C3787">
                <w:rPr>
                  <w:rStyle w:val="Hyperlink"/>
                  <w:sz w:val="18"/>
                  <w:szCs w:val="18"/>
                </w:rPr>
                <w:t>https://www.frontiersin.org/journals/public-health/articles/10.3389/fpubh.2021.683723/full</w:t>
              </w:r>
            </w:hyperlink>
            <w:r w:rsidR="009C3787" w:rsidRPr="009C3787">
              <w:rPr>
                <w:sz w:val="18"/>
                <w:szCs w:val="18"/>
              </w:rPr>
              <w:t xml:space="preserve"> </w:t>
            </w:r>
          </w:p>
        </w:tc>
        <w:tc>
          <w:tcPr>
            <w:tcW w:w="363" w:type="pct"/>
          </w:tcPr>
          <w:p w14:paraId="1940B166" w14:textId="37D49352" w:rsidR="004C3599" w:rsidRPr="009C3787" w:rsidRDefault="004A02CB" w:rsidP="008A63FD">
            <w:pPr>
              <w:pStyle w:val="TableParagraph"/>
              <w:rPr>
                <w:sz w:val="18"/>
                <w:szCs w:val="18"/>
              </w:rPr>
            </w:pPr>
            <w:r>
              <w:rPr>
                <w:sz w:val="18"/>
                <w:szCs w:val="18"/>
              </w:rPr>
              <w:lastRenderedPageBreak/>
              <w:t xml:space="preserve">Quantitative evidence based on a randomized controlled trial </w:t>
            </w:r>
          </w:p>
        </w:tc>
        <w:tc>
          <w:tcPr>
            <w:tcW w:w="498" w:type="pct"/>
          </w:tcPr>
          <w:p w14:paraId="400B4C5C" w14:textId="77777777" w:rsidR="004C3599" w:rsidRDefault="004A02CB" w:rsidP="008A63FD">
            <w:pPr>
              <w:pStyle w:val="TableParagraph"/>
              <w:rPr>
                <w:sz w:val="18"/>
                <w:szCs w:val="18"/>
              </w:rPr>
            </w:pPr>
            <w:r>
              <w:rPr>
                <w:sz w:val="18"/>
                <w:szCs w:val="18"/>
              </w:rPr>
              <w:t>Sample/Size = 390 patients aged 60 years and above with a range of geriatric conditions</w:t>
            </w:r>
          </w:p>
          <w:p w14:paraId="3C389BC7" w14:textId="77777777" w:rsidR="004A02CB" w:rsidRDefault="004A02CB" w:rsidP="008A63FD">
            <w:pPr>
              <w:pStyle w:val="TableParagraph"/>
              <w:rPr>
                <w:sz w:val="18"/>
                <w:szCs w:val="18"/>
              </w:rPr>
            </w:pPr>
          </w:p>
          <w:p w14:paraId="523E0CC3" w14:textId="77777777" w:rsidR="004A02CB" w:rsidRDefault="004A02CB" w:rsidP="008A63FD">
            <w:pPr>
              <w:pStyle w:val="TableParagraph"/>
              <w:rPr>
                <w:sz w:val="18"/>
                <w:szCs w:val="18"/>
              </w:rPr>
            </w:pPr>
            <w:r>
              <w:rPr>
                <w:sz w:val="18"/>
                <w:szCs w:val="18"/>
              </w:rPr>
              <w:t xml:space="preserve">Sample size = 390 </w:t>
            </w:r>
          </w:p>
          <w:p w14:paraId="1104947A" w14:textId="77777777" w:rsidR="004A02CB" w:rsidRDefault="004A02CB" w:rsidP="008A63FD">
            <w:pPr>
              <w:pStyle w:val="TableParagraph"/>
              <w:rPr>
                <w:sz w:val="18"/>
                <w:szCs w:val="18"/>
              </w:rPr>
            </w:pPr>
          </w:p>
          <w:p w14:paraId="61E2537F" w14:textId="4B365CF6" w:rsidR="004A02CB" w:rsidRPr="009C3787" w:rsidRDefault="004A02CB" w:rsidP="008A63FD">
            <w:pPr>
              <w:pStyle w:val="TableParagraph"/>
              <w:rPr>
                <w:sz w:val="18"/>
                <w:szCs w:val="18"/>
              </w:rPr>
            </w:pPr>
            <w:r>
              <w:rPr>
                <w:sz w:val="18"/>
                <w:szCs w:val="18"/>
              </w:rPr>
              <w:t>Setting = Western Australia</w:t>
            </w:r>
          </w:p>
        </w:tc>
        <w:tc>
          <w:tcPr>
            <w:tcW w:w="589" w:type="pct"/>
          </w:tcPr>
          <w:p w14:paraId="42AA06E1" w14:textId="3AFF7413" w:rsidR="004C3599" w:rsidRPr="009C3787" w:rsidRDefault="004A02CB" w:rsidP="008A63FD">
            <w:pPr>
              <w:pStyle w:val="TableParagraph"/>
              <w:rPr>
                <w:sz w:val="18"/>
                <w:szCs w:val="18"/>
              </w:rPr>
            </w:pPr>
            <w:r>
              <w:rPr>
                <w:sz w:val="18"/>
                <w:szCs w:val="18"/>
              </w:rPr>
              <w:t>The study examined the effects of tailored education delivered by physiotherapists on the knowledge (capability) and the motivation of older people to engage in fall prevention after hospital discharge</w:t>
            </w:r>
            <w:r w:rsidR="007C3B26">
              <w:rPr>
                <w:sz w:val="18"/>
                <w:szCs w:val="18"/>
              </w:rPr>
              <w:t xml:space="preserve">. </w:t>
            </w:r>
          </w:p>
        </w:tc>
        <w:tc>
          <w:tcPr>
            <w:tcW w:w="656" w:type="pct"/>
          </w:tcPr>
          <w:p w14:paraId="0FD6B41E" w14:textId="4CEE75F7" w:rsidR="004C3599" w:rsidRPr="007C3B26" w:rsidRDefault="007C3B26" w:rsidP="008A63FD">
            <w:pPr>
              <w:pStyle w:val="TableParagraph"/>
              <w:rPr>
                <w:sz w:val="18"/>
                <w:szCs w:val="18"/>
              </w:rPr>
            </w:pPr>
            <w:r>
              <w:rPr>
                <w:sz w:val="18"/>
                <w:szCs w:val="18"/>
              </w:rPr>
              <w:t xml:space="preserve">The education improved capability [−0.4, 95% CI: −0.7 to −0.2, </w:t>
            </w:r>
            <w:r>
              <w:rPr>
                <w:i/>
                <w:sz w:val="18"/>
                <w:szCs w:val="18"/>
              </w:rPr>
              <w:t>p</w:t>
            </w:r>
            <w:r>
              <w:rPr>
                <w:sz w:val="18"/>
                <w:szCs w:val="18"/>
              </w:rPr>
              <w:t xml:space="preserve"> &lt; 0.01) and motivation [−0.8, 95% CI: −1.1 to −0.5, </w:t>
            </w:r>
            <w:r>
              <w:rPr>
                <w:i/>
                <w:sz w:val="18"/>
                <w:szCs w:val="18"/>
              </w:rPr>
              <w:t>p</w:t>
            </w:r>
            <w:r>
              <w:rPr>
                <w:sz w:val="18"/>
                <w:szCs w:val="18"/>
              </w:rPr>
              <w:t xml:space="preserve"> &lt;0.01), reducing the risk of falls. </w:t>
            </w:r>
          </w:p>
        </w:tc>
        <w:tc>
          <w:tcPr>
            <w:tcW w:w="544" w:type="pct"/>
          </w:tcPr>
          <w:p w14:paraId="3AC8963A" w14:textId="6A81F5AB" w:rsidR="004C3599" w:rsidRPr="009C3787" w:rsidRDefault="007C3B26" w:rsidP="008A63FD">
            <w:pPr>
              <w:pStyle w:val="TableParagraph"/>
              <w:rPr>
                <w:sz w:val="18"/>
                <w:szCs w:val="18"/>
              </w:rPr>
            </w:pPr>
            <w:r>
              <w:rPr>
                <w:sz w:val="18"/>
                <w:szCs w:val="18"/>
              </w:rPr>
              <w:t xml:space="preserve">The </w:t>
            </w:r>
            <w:r w:rsidR="00FA715E">
              <w:rPr>
                <w:sz w:val="18"/>
                <w:szCs w:val="18"/>
              </w:rPr>
              <w:t>researchers measured capability (the perceived knowledge of risks of falls and falls injuries) and motivation (self-perceived awareness of he participant own fall risk, likelihood of reduced independence, and willingness to engage in fall prevention strategies)</w:t>
            </w:r>
          </w:p>
        </w:tc>
        <w:tc>
          <w:tcPr>
            <w:tcW w:w="430" w:type="pct"/>
          </w:tcPr>
          <w:p w14:paraId="3C37F2CE" w14:textId="2384C451" w:rsidR="004C3599" w:rsidRPr="009C3787" w:rsidRDefault="00FA715E" w:rsidP="008A63FD">
            <w:pPr>
              <w:pStyle w:val="TableParagraph"/>
              <w:rPr>
                <w:sz w:val="18"/>
                <w:szCs w:val="18"/>
              </w:rPr>
            </w:pPr>
            <w:r>
              <w:rPr>
                <w:sz w:val="18"/>
                <w:szCs w:val="18"/>
              </w:rPr>
              <w:t xml:space="preserve">Unforeseeable factors </w:t>
            </w:r>
            <w:r w:rsidR="00826285">
              <w:rPr>
                <w:sz w:val="18"/>
                <w:szCs w:val="18"/>
              </w:rPr>
              <w:t>such as delayed delivery of social assistance may have affected the results.</w:t>
            </w:r>
          </w:p>
        </w:tc>
        <w:tc>
          <w:tcPr>
            <w:tcW w:w="293" w:type="pct"/>
          </w:tcPr>
          <w:p w14:paraId="37DB67D3" w14:textId="77777777" w:rsidR="004C3599" w:rsidRDefault="00826285" w:rsidP="008A63FD">
            <w:pPr>
              <w:pStyle w:val="TableParagraph"/>
              <w:rPr>
                <w:sz w:val="18"/>
                <w:szCs w:val="18"/>
              </w:rPr>
            </w:pPr>
            <w:r>
              <w:rPr>
                <w:sz w:val="18"/>
                <w:szCs w:val="18"/>
              </w:rPr>
              <w:t>Level I</w:t>
            </w:r>
          </w:p>
          <w:p w14:paraId="496AAA78" w14:textId="6CC7F59E" w:rsidR="00826285" w:rsidRPr="009C3787" w:rsidRDefault="00826285" w:rsidP="008A63FD">
            <w:pPr>
              <w:pStyle w:val="TableParagraph"/>
              <w:rPr>
                <w:sz w:val="18"/>
                <w:szCs w:val="18"/>
              </w:rPr>
            </w:pPr>
            <w:r>
              <w:rPr>
                <w:sz w:val="18"/>
                <w:szCs w:val="18"/>
              </w:rPr>
              <w:t>Quality C</w:t>
            </w:r>
          </w:p>
        </w:tc>
        <w:tc>
          <w:tcPr>
            <w:tcW w:w="292" w:type="pct"/>
          </w:tcPr>
          <w:p w14:paraId="1C1A8B12" w14:textId="77777777" w:rsidR="004C3599" w:rsidRPr="009C3787" w:rsidRDefault="004C3599" w:rsidP="008A63FD">
            <w:pPr>
              <w:pStyle w:val="TableParagraph"/>
              <w:rPr>
                <w:sz w:val="18"/>
                <w:szCs w:val="18"/>
              </w:rPr>
            </w:pPr>
          </w:p>
        </w:tc>
      </w:tr>
      <w:tr w:rsidR="004C3599" w:rsidRPr="00826285" w14:paraId="18D7B7B1" w14:textId="77777777" w:rsidTr="008A63FD">
        <w:trPr>
          <w:trHeight w:val="661"/>
        </w:trPr>
        <w:tc>
          <w:tcPr>
            <w:tcW w:w="363" w:type="pct"/>
          </w:tcPr>
          <w:p w14:paraId="1BF12612" w14:textId="77777777" w:rsidR="004C3599" w:rsidRPr="00826285" w:rsidRDefault="004C3599" w:rsidP="008A63FD">
            <w:pPr>
              <w:pStyle w:val="TableParagraph"/>
              <w:rPr>
                <w:sz w:val="18"/>
                <w:szCs w:val="18"/>
              </w:rPr>
            </w:pPr>
          </w:p>
        </w:tc>
        <w:tc>
          <w:tcPr>
            <w:tcW w:w="339" w:type="pct"/>
          </w:tcPr>
          <w:p w14:paraId="0D4E3751" w14:textId="701B52C5" w:rsidR="004C3599" w:rsidRPr="00826285" w:rsidRDefault="004C3599" w:rsidP="005478FF">
            <w:pPr>
              <w:pStyle w:val="TableParagraph"/>
              <w:numPr>
                <w:ilvl w:val="0"/>
                <w:numId w:val="2"/>
              </w:numPr>
              <w:rPr>
                <w:sz w:val="18"/>
                <w:szCs w:val="18"/>
              </w:rPr>
            </w:pPr>
          </w:p>
        </w:tc>
        <w:tc>
          <w:tcPr>
            <w:tcW w:w="633" w:type="pct"/>
          </w:tcPr>
          <w:p w14:paraId="4E1A54BB" w14:textId="77777777" w:rsidR="004C3599" w:rsidRPr="00826285" w:rsidRDefault="00826285" w:rsidP="008A63FD">
            <w:pPr>
              <w:pStyle w:val="TableParagraph"/>
              <w:rPr>
                <w:sz w:val="18"/>
                <w:szCs w:val="18"/>
              </w:rPr>
            </w:pPr>
            <w:r w:rsidRPr="00826285">
              <w:rPr>
                <w:sz w:val="18"/>
                <w:szCs w:val="18"/>
                <w:lang w:val="en-GB" w:eastAsia="en-GB"/>
              </w:rPr>
              <w:t xml:space="preserve">Li, H., Liu, C., Ge, Z., Mu, X., Wang, X., Xiu, M., Wang, X., &amp; Li, Z. (2023). Efficacy of standard operating procedures for fall protection in hospitalized patients with schizophrenia. </w:t>
            </w:r>
            <w:r w:rsidRPr="00826285">
              <w:rPr>
                <w:i/>
                <w:iCs/>
                <w:sz w:val="18"/>
                <w:szCs w:val="18"/>
                <w:lang w:val="en-GB" w:eastAsia="en-GB"/>
              </w:rPr>
              <w:t>Schizophrenia</w:t>
            </w:r>
            <w:r w:rsidRPr="00826285">
              <w:rPr>
                <w:sz w:val="18"/>
                <w:szCs w:val="18"/>
                <w:lang w:val="en-GB" w:eastAsia="en-GB"/>
              </w:rPr>
              <w:t xml:space="preserve">, </w:t>
            </w:r>
            <w:r w:rsidRPr="00826285">
              <w:rPr>
                <w:i/>
                <w:iCs/>
                <w:sz w:val="18"/>
                <w:szCs w:val="18"/>
                <w:lang w:val="en-GB" w:eastAsia="en-GB"/>
              </w:rPr>
              <w:t>9</w:t>
            </w:r>
            <w:r w:rsidRPr="00826285">
              <w:rPr>
                <w:sz w:val="18"/>
                <w:szCs w:val="18"/>
                <w:lang w:val="en-GB" w:eastAsia="en-GB"/>
              </w:rPr>
              <w:t xml:space="preserve">(1), 73. </w:t>
            </w:r>
            <w:hyperlink r:id="rId35" w:history="1">
              <w:r w:rsidRPr="00826285">
                <w:rPr>
                  <w:rStyle w:val="Hyperlink"/>
                  <w:sz w:val="18"/>
                  <w:szCs w:val="18"/>
                </w:rPr>
                <w:t>https://doi.org/10.1038/s41537-023-00396-3</w:t>
              </w:r>
            </w:hyperlink>
          </w:p>
          <w:p w14:paraId="7AF55BC5" w14:textId="77777777" w:rsidR="00826285" w:rsidRPr="00826285" w:rsidRDefault="00826285" w:rsidP="008A63FD">
            <w:pPr>
              <w:pStyle w:val="TableParagraph"/>
              <w:rPr>
                <w:sz w:val="18"/>
                <w:szCs w:val="18"/>
              </w:rPr>
            </w:pPr>
          </w:p>
          <w:p w14:paraId="48A69A7B" w14:textId="77777777" w:rsidR="00826285" w:rsidRPr="00826285" w:rsidRDefault="00826285" w:rsidP="008A63FD">
            <w:pPr>
              <w:pStyle w:val="TableParagraph"/>
              <w:rPr>
                <w:sz w:val="18"/>
                <w:szCs w:val="18"/>
              </w:rPr>
            </w:pPr>
            <w:r w:rsidRPr="00826285">
              <w:rPr>
                <w:sz w:val="18"/>
                <w:szCs w:val="18"/>
              </w:rPr>
              <w:t>Permalink</w:t>
            </w:r>
          </w:p>
          <w:p w14:paraId="0CACC970" w14:textId="5127B696" w:rsidR="00826285" w:rsidRPr="00826285" w:rsidRDefault="00000000" w:rsidP="008A63FD">
            <w:pPr>
              <w:pStyle w:val="TableParagraph"/>
              <w:rPr>
                <w:sz w:val="18"/>
                <w:szCs w:val="18"/>
              </w:rPr>
            </w:pPr>
            <w:hyperlink r:id="rId36" w:history="1">
              <w:r w:rsidR="00826285" w:rsidRPr="00826285">
                <w:rPr>
                  <w:rStyle w:val="Hyperlink"/>
                  <w:sz w:val="18"/>
                  <w:szCs w:val="18"/>
                </w:rPr>
                <w:t>https://www.nature.com/articles/s41537-023-00396-3</w:t>
              </w:r>
            </w:hyperlink>
            <w:r w:rsidR="00826285" w:rsidRPr="00826285">
              <w:rPr>
                <w:sz w:val="18"/>
                <w:szCs w:val="18"/>
              </w:rPr>
              <w:t xml:space="preserve"> </w:t>
            </w:r>
          </w:p>
        </w:tc>
        <w:tc>
          <w:tcPr>
            <w:tcW w:w="363" w:type="pct"/>
          </w:tcPr>
          <w:p w14:paraId="5BB88B34" w14:textId="301C71E8" w:rsidR="004C3599" w:rsidRPr="00826285" w:rsidRDefault="00826285" w:rsidP="008A63FD">
            <w:pPr>
              <w:pStyle w:val="TableParagraph"/>
              <w:rPr>
                <w:sz w:val="18"/>
                <w:szCs w:val="18"/>
              </w:rPr>
            </w:pPr>
            <w:r>
              <w:rPr>
                <w:sz w:val="18"/>
                <w:szCs w:val="18"/>
              </w:rPr>
              <w:t>Quantitative research based on a quasi-experimental design</w:t>
            </w:r>
          </w:p>
        </w:tc>
        <w:tc>
          <w:tcPr>
            <w:tcW w:w="498" w:type="pct"/>
          </w:tcPr>
          <w:p w14:paraId="16D5275F" w14:textId="77777777" w:rsidR="004C3599" w:rsidRDefault="00826285" w:rsidP="008A63FD">
            <w:pPr>
              <w:pStyle w:val="TableParagraph"/>
              <w:rPr>
                <w:sz w:val="18"/>
                <w:szCs w:val="18"/>
              </w:rPr>
            </w:pPr>
            <w:r>
              <w:rPr>
                <w:sz w:val="18"/>
                <w:szCs w:val="18"/>
              </w:rPr>
              <w:t>Sample size = 345 participants in the intervention group and 342 participants in the control group</w:t>
            </w:r>
          </w:p>
          <w:p w14:paraId="57CFEB41" w14:textId="77777777" w:rsidR="005B65C6" w:rsidRDefault="005B65C6" w:rsidP="008A63FD">
            <w:pPr>
              <w:pStyle w:val="TableParagraph"/>
              <w:rPr>
                <w:sz w:val="18"/>
                <w:szCs w:val="18"/>
              </w:rPr>
            </w:pPr>
          </w:p>
          <w:p w14:paraId="391C2EC4" w14:textId="77777777" w:rsidR="005B65C6" w:rsidRDefault="005B65C6" w:rsidP="008A63FD">
            <w:pPr>
              <w:pStyle w:val="TableParagraph"/>
              <w:rPr>
                <w:sz w:val="18"/>
                <w:szCs w:val="18"/>
              </w:rPr>
            </w:pPr>
            <w:r>
              <w:rPr>
                <w:sz w:val="18"/>
                <w:szCs w:val="18"/>
              </w:rPr>
              <w:t>Sample size = 687 patients</w:t>
            </w:r>
          </w:p>
          <w:p w14:paraId="34C90C7B" w14:textId="77777777" w:rsidR="005B65C6" w:rsidRDefault="005B65C6" w:rsidP="008A63FD">
            <w:pPr>
              <w:pStyle w:val="TableParagraph"/>
              <w:rPr>
                <w:sz w:val="18"/>
                <w:szCs w:val="18"/>
              </w:rPr>
            </w:pPr>
          </w:p>
          <w:p w14:paraId="51C12899" w14:textId="6C5EF0A5" w:rsidR="005B65C6" w:rsidRPr="00826285" w:rsidRDefault="005B65C6" w:rsidP="008A63FD">
            <w:pPr>
              <w:pStyle w:val="TableParagraph"/>
              <w:rPr>
                <w:sz w:val="18"/>
                <w:szCs w:val="18"/>
              </w:rPr>
            </w:pPr>
            <w:r>
              <w:rPr>
                <w:sz w:val="18"/>
                <w:szCs w:val="18"/>
              </w:rPr>
              <w:t>Setting = United States</w:t>
            </w:r>
          </w:p>
        </w:tc>
        <w:tc>
          <w:tcPr>
            <w:tcW w:w="589" w:type="pct"/>
          </w:tcPr>
          <w:p w14:paraId="7A3F6632" w14:textId="51BBDC93" w:rsidR="004C3599" w:rsidRPr="00826285" w:rsidRDefault="005B65C6" w:rsidP="008A63FD">
            <w:pPr>
              <w:pStyle w:val="TableParagraph"/>
              <w:rPr>
                <w:sz w:val="18"/>
                <w:szCs w:val="18"/>
              </w:rPr>
            </w:pPr>
            <w:r>
              <w:rPr>
                <w:sz w:val="18"/>
                <w:szCs w:val="18"/>
              </w:rPr>
              <w:t xml:space="preserve">To examine the impact of standardized operating procedures (SOP) on falls in veterans with schizophrenia. </w:t>
            </w:r>
          </w:p>
        </w:tc>
        <w:tc>
          <w:tcPr>
            <w:tcW w:w="656" w:type="pct"/>
          </w:tcPr>
          <w:p w14:paraId="6D408C97" w14:textId="20E38EB6" w:rsidR="004C3599" w:rsidRPr="00826285" w:rsidRDefault="005B65C6" w:rsidP="008A63FD">
            <w:pPr>
              <w:pStyle w:val="TableParagraph"/>
              <w:rPr>
                <w:sz w:val="18"/>
                <w:szCs w:val="18"/>
              </w:rPr>
            </w:pPr>
            <w:r>
              <w:rPr>
                <w:sz w:val="18"/>
                <w:szCs w:val="18"/>
              </w:rPr>
              <w:t>The fall rate fell by 1.5% in the intervention group and 4.6% in the control group.</w:t>
            </w:r>
          </w:p>
        </w:tc>
        <w:tc>
          <w:tcPr>
            <w:tcW w:w="544" w:type="pct"/>
          </w:tcPr>
          <w:p w14:paraId="605E6395" w14:textId="61E8F0B4" w:rsidR="004C3599" w:rsidRPr="00826285" w:rsidRDefault="005478FF" w:rsidP="008A63FD">
            <w:pPr>
              <w:pStyle w:val="TableParagraph"/>
              <w:rPr>
                <w:sz w:val="18"/>
                <w:szCs w:val="18"/>
              </w:rPr>
            </w:pPr>
            <w:r>
              <w:rPr>
                <w:sz w:val="18"/>
                <w:szCs w:val="18"/>
              </w:rPr>
              <w:t xml:space="preserve">The primary measure was fall incidence, with patient satisfaction as the secondary outcome measure. </w:t>
            </w:r>
          </w:p>
        </w:tc>
        <w:tc>
          <w:tcPr>
            <w:tcW w:w="430" w:type="pct"/>
          </w:tcPr>
          <w:p w14:paraId="4A8E6D16" w14:textId="77777777" w:rsidR="004C3599" w:rsidRDefault="005478FF" w:rsidP="008A63FD">
            <w:pPr>
              <w:pStyle w:val="TableParagraph"/>
              <w:rPr>
                <w:sz w:val="18"/>
                <w:szCs w:val="18"/>
              </w:rPr>
            </w:pPr>
            <w:r>
              <w:rPr>
                <w:sz w:val="18"/>
                <w:szCs w:val="18"/>
              </w:rPr>
              <w:t>The sample was limited to men, reducing its generalizability.</w:t>
            </w:r>
          </w:p>
          <w:p w14:paraId="594A9DBF" w14:textId="77777777" w:rsidR="005478FF" w:rsidRDefault="005478FF" w:rsidP="008A63FD">
            <w:pPr>
              <w:pStyle w:val="TableParagraph"/>
              <w:rPr>
                <w:sz w:val="18"/>
                <w:szCs w:val="18"/>
              </w:rPr>
            </w:pPr>
          </w:p>
          <w:p w14:paraId="78BCBF13" w14:textId="77777777" w:rsidR="005478FF" w:rsidRDefault="005478FF" w:rsidP="008A63FD">
            <w:pPr>
              <w:pStyle w:val="TableParagraph"/>
              <w:rPr>
                <w:sz w:val="18"/>
                <w:szCs w:val="18"/>
              </w:rPr>
            </w:pPr>
            <w:r>
              <w:rPr>
                <w:sz w:val="18"/>
                <w:szCs w:val="18"/>
              </w:rPr>
              <w:t xml:space="preserve">The rate of falls among the participants was low, despite the large sample, reducing the ability to compare the groups across different time points. </w:t>
            </w:r>
          </w:p>
          <w:p w14:paraId="7134DE6E" w14:textId="77777777" w:rsidR="005478FF" w:rsidRDefault="005478FF" w:rsidP="008A63FD">
            <w:pPr>
              <w:pStyle w:val="TableParagraph"/>
              <w:rPr>
                <w:sz w:val="18"/>
                <w:szCs w:val="18"/>
              </w:rPr>
            </w:pPr>
          </w:p>
          <w:p w14:paraId="331AD7E5" w14:textId="77777777" w:rsidR="005478FF" w:rsidRDefault="005478FF" w:rsidP="008A63FD">
            <w:pPr>
              <w:pStyle w:val="TableParagraph"/>
              <w:rPr>
                <w:sz w:val="18"/>
                <w:szCs w:val="18"/>
              </w:rPr>
            </w:pPr>
            <w:r>
              <w:rPr>
                <w:sz w:val="18"/>
                <w:szCs w:val="18"/>
              </w:rPr>
              <w:t>Selection bias may have affected the results, considering the likelihood of non-compliance among participants.</w:t>
            </w:r>
          </w:p>
          <w:p w14:paraId="526C7497" w14:textId="77777777" w:rsidR="005478FF" w:rsidRDefault="005478FF" w:rsidP="008A63FD">
            <w:pPr>
              <w:pStyle w:val="TableParagraph"/>
              <w:rPr>
                <w:sz w:val="18"/>
                <w:szCs w:val="18"/>
              </w:rPr>
            </w:pPr>
          </w:p>
          <w:p w14:paraId="201F262B" w14:textId="7473448C" w:rsidR="005478FF" w:rsidRPr="00826285" w:rsidRDefault="005478FF" w:rsidP="008A63FD">
            <w:pPr>
              <w:pStyle w:val="TableParagraph"/>
              <w:rPr>
                <w:sz w:val="18"/>
                <w:szCs w:val="18"/>
              </w:rPr>
            </w:pPr>
            <w:r>
              <w:rPr>
                <w:sz w:val="18"/>
                <w:szCs w:val="18"/>
              </w:rPr>
              <w:t xml:space="preserve">Lack of blinding may have led to </w:t>
            </w:r>
            <w:proofErr w:type="spellStart"/>
            <w:r>
              <w:rPr>
                <w:sz w:val="18"/>
                <w:szCs w:val="18"/>
              </w:rPr>
              <w:t>performane</w:t>
            </w:r>
            <w:proofErr w:type="spellEnd"/>
            <w:r>
              <w:rPr>
                <w:sz w:val="18"/>
                <w:szCs w:val="18"/>
              </w:rPr>
              <w:t xml:space="preserve"> bias</w:t>
            </w:r>
          </w:p>
        </w:tc>
        <w:tc>
          <w:tcPr>
            <w:tcW w:w="293" w:type="pct"/>
          </w:tcPr>
          <w:p w14:paraId="162C0EC2" w14:textId="77777777" w:rsidR="004C3599" w:rsidRDefault="005478FF" w:rsidP="008A63FD">
            <w:pPr>
              <w:pStyle w:val="TableParagraph"/>
              <w:rPr>
                <w:sz w:val="18"/>
                <w:szCs w:val="18"/>
              </w:rPr>
            </w:pPr>
            <w:r>
              <w:rPr>
                <w:sz w:val="18"/>
                <w:szCs w:val="18"/>
              </w:rPr>
              <w:t>Level II</w:t>
            </w:r>
          </w:p>
          <w:p w14:paraId="66080DB2" w14:textId="7E515DC7" w:rsidR="005478FF" w:rsidRPr="00826285" w:rsidRDefault="005478FF" w:rsidP="008A63FD">
            <w:pPr>
              <w:pStyle w:val="TableParagraph"/>
              <w:rPr>
                <w:sz w:val="18"/>
                <w:szCs w:val="18"/>
              </w:rPr>
            </w:pPr>
            <w:r>
              <w:rPr>
                <w:sz w:val="18"/>
                <w:szCs w:val="18"/>
              </w:rPr>
              <w:t>Quality B</w:t>
            </w:r>
          </w:p>
        </w:tc>
        <w:tc>
          <w:tcPr>
            <w:tcW w:w="292" w:type="pct"/>
          </w:tcPr>
          <w:p w14:paraId="5E0249D7" w14:textId="77777777" w:rsidR="004C3599" w:rsidRPr="00826285" w:rsidRDefault="004C3599" w:rsidP="008A63FD">
            <w:pPr>
              <w:pStyle w:val="TableParagraph"/>
              <w:rPr>
                <w:sz w:val="18"/>
                <w:szCs w:val="18"/>
              </w:rPr>
            </w:pPr>
          </w:p>
        </w:tc>
      </w:tr>
      <w:tr w:rsidR="004C3599" w:rsidRPr="00532556" w14:paraId="12FFB7EC" w14:textId="77777777" w:rsidTr="008A63FD">
        <w:trPr>
          <w:trHeight w:val="659"/>
        </w:trPr>
        <w:tc>
          <w:tcPr>
            <w:tcW w:w="363" w:type="pct"/>
          </w:tcPr>
          <w:p w14:paraId="26AEBB13" w14:textId="77777777" w:rsidR="004C3599" w:rsidRPr="00532556" w:rsidRDefault="004C3599" w:rsidP="008A63FD">
            <w:pPr>
              <w:pStyle w:val="TableParagraph"/>
            </w:pPr>
          </w:p>
        </w:tc>
        <w:tc>
          <w:tcPr>
            <w:tcW w:w="339" w:type="pct"/>
          </w:tcPr>
          <w:p w14:paraId="184B7D1B" w14:textId="77777777" w:rsidR="004C3599" w:rsidRPr="00532556" w:rsidRDefault="004C3599" w:rsidP="008A63FD">
            <w:pPr>
              <w:pStyle w:val="TableParagraph"/>
            </w:pPr>
          </w:p>
        </w:tc>
        <w:tc>
          <w:tcPr>
            <w:tcW w:w="633" w:type="pct"/>
          </w:tcPr>
          <w:p w14:paraId="230B26F0" w14:textId="77777777" w:rsidR="004C3599" w:rsidRPr="00532556" w:rsidRDefault="004C3599" w:rsidP="008A63FD">
            <w:pPr>
              <w:pStyle w:val="TableParagraph"/>
            </w:pPr>
          </w:p>
        </w:tc>
        <w:tc>
          <w:tcPr>
            <w:tcW w:w="363" w:type="pct"/>
          </w:tcPr>
          <w:p w14:paraId="7DE18C84" w14:textId="77777777" w:rsidR="004C3599" w:rsidRPr="00532556" w:rsidRDefault="004C3599" w:rsidP="008A63FD">
            <w:pPr>
              <w:pStyle w:val="TableParagraph"/>
            </w:pPr>
          </w:p>
        </w:tc>
        <w:tc>
          <w:tcPr>
            <w:tcW w:w="498" w:type="pct"/>
          </w:tcPr>
          <w:p w14:paraId="50D8A128" w14:textId="77777777" w:rsidR="004C3599" w:rsidRPr="00532556" w:rsidRDefault="004C3599" w:rsidP="008A63FD">
            <w:pPr>
              <w:pStyle w:val="TableParagraph"/>
            </w:pPr>
          </w:p>
        </w:tc>
        <w:tc>
          <w:tcPr>
            <w:tcW w:w="589" w:type="pct"/>
          </w:tcPr>
          <w:p w14:paraId="21AB6974" w14:textId="77777777" w:rsidR="004C3599" w:rsidRPr="00532556" w:rsidRDefault="004C3599" w:rsidP="008A63FD">
            <w:pPr>
              <w:pStyle w:val="TableParagraph"/>
            </w:pPr>
          </w:p>
        </w:tc>
        <w:tc>
          <w:tcPr>
            <w:tcW w:w="656" w:type="pct"/>
          </w:tcPr>
          <w:p w14:paraId="47F94C86" w14:textId="77777777" w:rsidR="004C3599" w:rsidRPr="00532556" w:rsidRDefault="004C3599" w:rsidP="008A63FD">
            <w:pPr>
              <w:pStyle w:val="TableParagraph"/>
            </w:pPr>
          </w:p>
        </w:tc>
        <w:tc>
          <w:tcPr>
            <w:tcW w:w="544" w:type="pct"/>
          </w:tcPr>
          <w:p w14:paraId="41F99229" w14:textId="77777777" w:rsidR="004C3599" w:rsidRPr="00532556" w:rsidRDefault="004C3599" w:rsidP="008A63FD">
            <w:pPr>
              <w:pStyle w:val="TableParagraph"/>
            </w:pPr>
          </w:p>
        </w:tc>
        <w:tc>
          <w:tcPr>
            <w:tcW w:w="430" w:type="pct"/>
          </w:tcPr>
          <w:p w14:paraId="1E6914CD" w14:textId="77777777" w:rsidR="004C3599" w:rsidRPr="00532556" w:rsidRDefault="004C3599" w:rsidP="008A63FD">
            <w:pPr>
              <w:pStyle w:val="TableParagraph"/>
            </w:pPr>
          </w:p>
        </w:tc>
        <w:tc>
          <w:tcPr>
            <w:tcW w:w="293" w:type="pct"/>
          </w:tcPr>
          <w:p w14:paraId="404FB126" w14:textId="77777777" w:rsidR="004C3599" w:rsidRPr="00532556" w:rsidRDefault="004C3599" w:rsidP="008A63FD">
            <w:pPr>
              <w:pStyle w:val="TableParagraph"/>
            </w:pPr>
          </w:p>
        </w:tc>
        <w:tc>
          <w:tcPr>
            <w:tcW w:w="292" w:type="pct"/>
          </w:tcPr>
          <w:p w14:paraId="4C4BCCE1" w14:textId="77777777" w:rsidR="004C3599" w:rsidRPr="00532556" w:rsidRDefault="004C3599" w:rsidP="008A63FD">
            <w:pPr>
              <w:pStyle w:val="TableParagraph"/>
            </w:pPr>
          </w:p>
        </w:tc>
      </w:tr>
      <w:tr w:rsidR="004C3599" w:rsidRPr="00532556" w14:paraId="65E1B2FD" w14:textId="77777777" w:rsidTr="008A63FD">
        <w:trPr>
          <w:trHeight w:val="662"/>
        </w:trPr>
        <w:tc>
          <w:tcPr>
            <w:tcW w:w="363" w:type="pct"/>
          </w:tcPr>
          <w:p w14:paraId="773F8696" w14:textId="77777777" w:rsidR="004C3599" w:rsidRPr="00532556" w:rsidRDefault="004C3599" w:rsidP="008A63FD">
            <w:pPr>
              <w:pStyle w:val="TableParagraph"/>
            </w:pPr>
          </w:p>
        </w:tc>
        <w:tc>
          <w:tcPr>
            <w:tcW w:w="339" w:type="pct"/>
          </w:tcPr>
          <w:p w14:paraId="5B1B2EFD" w14:textId="77777777" w:rsidR="004C3599" w:rsidRPr="00532556" w:rsidRDefault="004C3599" w:rsidP="008A63FD">
            <w:pPr>
              <w:pStyle w:val="TableParagraph"/>
            </w:pPr>
          </w:p>
        </w:tc>
        <w:tc>
          <w:tcPr>
            <w:tcW w:w="633" w:type="pct"/>
          </w:tcPr>
          <w:p w14:paraId="3CE67B8C" w14:textId="77777777" w:rsidR="004C3599" w:rsidRPr="00532556" w:rsidRDefault="004C3599" w:rsidP="008A63FD">
            <w:pPr>
              <w:pStyle w:val="TableParagraph"/>
            </w:pPr>
          </w:p>
        </w:tc>
        <w:tc>
          <w:tcPr>
            <w:tcW w:w="363" w:type="pct"/>
          </w:tcPr>
          <w:p w14:paraId="711E8951" w14:textId="77777777" w:rsidR="004C3599" w:rsidRPr="00532556" w:rsidRDefault="004C3599" w:rsidP="008A63FD">
            <w:pPr>
              <w:pStyle w:val="TableParagraph"/>
            </w:pPr>
          </w:p>
        </w:tc>
        <w:tc>
          <w:tcPr>
            <w:tcW w:w="498" w:type="pct"/>
          </w:tcPr>
          <w:p w14:paraId="3B86D200" w14:textId="77777777" w:rsidR="004C3599" w:rsidRPr="00532556" w:rsidRDefault="004C3599" w:rsidP="008A63FD">
            <w:pPr>
              <w:pStyle w:val="TableParagraph"/>
            </w:pPr>
          </w:p>
        </w:tc>
        <w:tc>
          <w:tcPr>
            <w:tcW w:w="589" w:type="pct"/>
          </w:tcPr>
          <w:p w14:paraId="3E33214B" w14:textId="77777777" w:rsidR="004C3599" w:rsidRPr="00532556" w:rsidRDefault="004C3599" w:rsidP="008A63FD">
            <w:pPr>
              <w:pStyle w:val="TableParagraph"/>
            </w:pPr>
          </w:p>
        </w:tc>
        <w:tc>
          <w:tcPr>
            <w:tcW w:w="656" w:type="pct"/>
          </w:tcPr>
          <w:p w14:paraId="4A91052D" w14:textId="77777777" w:rsidR="004C3599" w:rsidRPr="00532556" w:rsidRDefault="004C3599" w:rsidP="008A63FD">
            <w:pPr>
              <w:pStyle w:val="TableParagraph"/>
            </w:pPr>
          </w:p>
        </w:tc>
        <w:tc>
          <w:tcPr>
            <w:tcW w:w="544" w:type="pct"/>
          </w:tcPr>
          <w:p w14:paraId="38805B67" w14:textId="77777777" w:rsidR="004C3599" w:rsidRPr="00532556" w:rsidRDefault="004C3599" w:rsidP="008A63FD">
            <w:pPr>
              <w:pStyle w:val="TableParagraph"/>
            </w:pPr>
          </w:p>
        </w:tc>
        <w:tc>
          <w:tcPr>
            <w:tcW w:w="430" w:type="pct"/>
          </w:tcPr>
          <w:p w14:paraId="2F3F3FE8" w14:textId="77777777" w:rsidR="004C3599" w:rsidRPr="00532556" w:rsidRDefault="004C3599" w:rsidP="008A63FD">
            <w:pPr>
              <w:pStyle w:val="TableParagraph"/>
            </w:pPr>
          </w:p>
        </w:tc>
        <w:tc>
          <w:tcPr>
            <w:tcW w:w="293" w:type="pct"/>
          </w:tcPr>
          <w:p w14:paraId="288377AE" w14:textId="77777777" w:rsidR="004C3599" w:rsidRPr="00532556" w:rsidRDefault="004C3599" w:rsidP="008A63FD">
            <w:pPr>
              <w:pStyle w:val="TableParagraph"/>
            </w:pPr>
          </w:p>
        </w:tc>
        <w:tc>
          <w:tcPr>
            <w:tcW w:w="292" w:type="pct"/>
          </w:tcPr>
          <w:p w14:paraId="5693243A" w14:textId="77777777" w:rsidR="004C3599" w:rsidRPr="00532556" w:rsidRDefault="004C3599" w:rsidP="008A63FD">
            <w:pPr>
              <w:pStyle w:val="TableParagraph"/>
            </w:pPr>
          </w:p>
        </w:tc>
      </w:tr>
      <w:tr w:rsidR="004C3599" w:rsidRPr="00532556" w14:paraId="0ECA47DB" w14:textId="77777777" w:rsidTr="008A63FD">
        <w:trPr>
          <w:trHeight w:val="662"/>
        </w:trPr>
        <w:tc>
          <w:tcPr>
            <w:tcW w:w="363" w:type="pct"/>
          </w:tcPr>
          <w:p w14:paraId="1E9C7FA9" w14:textId="77777777" w:rsidR="004C3599" w:rsidRPr="00532556" w:rsidRDefault="004C3599" w:rsidP="008A63FD">
            <w:pPr>
              <w:pStyle w:val="TableParagraph"/>
            </w:pPr>
          </w:p>
        </w:tc>
        <w:tc>
          <w:tcPr>
            <w:tcW w:w="339" w:type="pct"/>
          </w:tcPr>
          <w:p w14:paraId="74DA3183" w14:textId="77777777" w:rsidR="004C3599" w:rsidRPr="00532556" w:rsidRDefault="004C3599" w:rsidP="008A63FD">
            <w:pPr>
              <w:pStyle w:val="TableParagraph"/>
            </w:pPr>
          </w:p>
        </w:tc>
        <w:tc>
          <w:tcPr>
            <w:tcW w:w="633" w:type="pct"/>
          </w:tcPr>
          <w:p w14:paraId="71AA547D" w14:textId="77777777" w:rsidR="004C3599" w:rsidRPr="00532556" w:rsidRDefault="004C3599" w:rsidP="008A63FD">
            <w:pPr>
              <w:pStyle w:val="TableParagraph"/>
            </w:pPr>
          </w:p>
        </w:tc>
        <w:tc>
          <w:tcPr>
            <w:tcW w:w="363" w:type="pct"/>
          </w:tcPr>
          <w:p w14:paraId="2E7840D0" w14:textId="77777777" w:rsidR="004C3599" w:rsidRPr="00532556" w:rsidRDefault="004C3599" w:rsidP="008A63FD">
            <w:pPr>
              <w:pStyle w:val="TableParagraph"/>
            </w:pPr>
          </w:p>
        </w:tc>
        <w:tc>
          <w:tcPr>
            <w:tcW w:w="498" w:type="pct"/>
          </w:tcPr>
          <w:p w14:paraId="565B39B6" w14:textId="77777777" w:rsidR="004C3599" w:rsidRPr="00532556" w:rsidRDefault="004C3599" w:rsidP="008A63FD">
            <w:pPr>
              <w:pStyle w:val="TableParagraph"/>
            </w:pPr>
          </w:p>
        </w:tc>
        <w:tc>
          <w:tcPr>
            <w:tcW w:w="589" w:type="pct"/>
          </w:tcPr>
          <w:p w14:paraId="04C1E645" w14:textId="77777777" w:rsidR="004C3599" w:rsidRPr="00532556" w:rsidRDefault="004C3599" w:rsidP="008A63FD">
            <w:pPr>
              <w:pStyle w:val="TableParagraph"/>
            </w:pPr>
          </w:p>
        </w:tc>
        <w:tc>
          <w:tcPr>
            <w:tcW w:w="656" w:type="pct"/>
          </w:tcPr>
          <w:p w14:paraId="1DAB8ECE" w14:textId="77777777" w:rsidR="004C3599" w:rsidRPr="00532556" w:rsidRDefault="004C3599" w:rsidP="008A63FD">
            <w:pPr>
              <w:pStyle w:val="TableParagraph"/>
            </w:pPr>
          </w:p>
        </w:tc>
        <w:tc>
          <w:tcPr>
            <w:tcW w:w="544" w:type="pct"/>
          </w:tcPr>
          <w:p w14:paraId="59922EFB" w14:textId="77777777" w:rsidR="004C3599" w:rsidRPr="00532556" w:rsidRDefault="004C3599" w:rsidP="008A63FD">
            <w:pPr>
              <w:pStyle w:val="TableParagraph"/>
            </w:pPr>
          </w:p>
        </w:tc>
        <w:tc>
          <w:tcPr>
            <w:tcW w:w="430" w:type="pct"/>
          </w:tcPr>
          <w:p w14:paraId="58212B39" w14:textId="77777777" w:rsidR="004C3599" w:rsidRPr="00532556" w:rsidRDefault="004C3599" w:rsidP="008A63FD">
            <w:pPr>
              <w:pStyle w:val="TableParagraph"/>
            </w:pPr>
          </w:p>
        </w:tc>
        <w:tc>
          <w:tcPr>
            <w:tcW w:w="293" w:type="pct"/>
          </w:tcPr>
          <w:p w14:paraId="0B8413F5" w14:textId="77777777" w:rsidR="004C3599" w:rsidRPr="00532556" w:rsidRDefault="004C3599" w:rsidP="008A63FD">
            <w:pPr>
              <w:pStyle w:val="TableParagraph"/>
            </w:pPr>
          </w:p>
        </w:tc>
        <w:tc>
          <w:tcPr>
            <w:tcW w:w="292" w:type="pct"/>
          </w:tcPr>
          <w:p w14:paraId="64FE6735" w14:textId="77777777" w:rsidR="004C3599" w:rsidRPr="00532556" w:rsidRDefault="004C3599" w:rsidP="008A63FD">
            <w:pPr>
              <w:pStyle w:val="TableParagraph"/>
            </w:pPr>
          </w:p>
        </w:tc>
      </w:tr>
      <w:tr w:rsidR="004C3599" w:rsidRPr="00532556" w14:paraId="07F6076B" w14:textId="77777777" w:rsidTr="008A63FD">
        <w:trPr>
          <w:trHeight w:val="661"/>
        </w:trPr>
        <w:tc>
          <w:tcPr>
            <w:tcW w:w="363" w:type="pct"/>
          </w:tcPr>
          <w:p w14:paraId="013349BF" w14:textId="77777777" w:rsidR="004C3599" w:rsidRPr="00532556" w:rsidRDefault="004C3599" w:rsidP="008A63FD">
            <w:pPr>
              <w:pStyle w:val="TableParagraph"/>
            </w:pPr>
          </w:p>
        </w:tc>
        <w:tc>
          <w:tcPr>
            <w:tcW w:w="339" w:type="pct"/>
          </w:tcPr>
          <w:p w14:paraId="27A0C5CE" w14:textId="77777777" w:rsidR="004C3599" w:rsidRPr="00532556" w:rsidRDefault="004C3599" w:rsidP="008A63FD">
            <w:pPr>
              <w:pStyle w:val="TableParagraph"/>
            </w:pPr>
          </w:p>
        </w:tc>
        <w:tc>
          <w:tcPr>
            <w:tcW w:w="633" w:type="pct"/>
          </w:tcPr>
          <w:p w14:paraId="5DD14A20" w14:textId="77777777" w:rsidR="004C3599" w:rsidRPr="00532556" w:rsidRDefault="004C3599" w:rsidP="008A63FD">
            <w:pPr>
              <w:pStyle w:val="TableParagraph"/>
            </w:pPr>
          </w:p>
        </w:tc>
        <w:tc>
          <w:tcPr>
            <w:tcW w:w="363" w:type="pct"/>
          </w:tcPr>
          <w:p w14:paraId="41158E3F" w14:textId="77777777" w:rsidR="004C3599" w:rsidRPr="00532556" w:rsidRDefault="004C3599" w:rsidP="008A63FD">
            <w:pPr>
              <w:pStyle w:val="TableParagraph"/>
            </w:pPr>
          </w:p>
        </w:tc>
        <w:tc>
          <w:tcPr>
            <w:tcW w:w="498" w:type="pct"/>
          </w:tcPr>
          <w:p w14:paraId="72FED628" w14:textId="77777777" w:rsidR="004C3599" w:rsidRPr="00532556" w:rsidRDefault="004C3599" w:rsidP="008A63FD">
            <w:pPr>
              <w:pStyle w:val="TableParagraph"/>
            </w:pPr>
          </w:p>
        </w:tc>
        <w:tc>
          <w:tcPr>
            <w:tcW w:w="589" w:type="pct"/>
          </w:tcPr>
          <w:p w14:paraId="356AC37A" w14:textId="77777777" w:rsidR="004C3599" w:rsidRPr="00532556" w:rsidRDefault="004C3599" w:rsidP="008A63FD">
            <w:pPr>
              <w:pStyle w:val="TableParagraph"/>
            </w:pPr>
          </w:p>
        </w:tc>
        <w:tc>
          <w:tcPr>
            <w:tcW w:w="656" w:type="pct"/>
          </w:tcPr>
          <w:p w14:paraId="5BD9FE67" w14:textId="77777777" w:rsidR="004C3599" w:rsidRPr="00532556" w:rsidRDefault="004C3599" w:rsidP="008A63FD">
            <w:pPr>
              <w:pStyle w:val="TableParagraph"/>
            </w:pPr>
          </w:p>
        </w:tc>
        <w:tc>
          <w:tcPr>
            <w:tcW w:w="544" w:type="pct"/>
          </w:tcPr>
          <w:p w14:paraId="5501A283" w14:textId="77777777" w:rsidR="004C3599" w:rsidRPr="00532556" w:rsidRDefault="004C3599" w:rsidP="008A63FD">
            <w:pPr>
              <w:pStyle w:val="TableParagraph"/>
            </w:pPr>
          </w:p>
        </w:tc>
        <w:tc>
          <w:tcPr>
            <w:tcW w:w="430" w:type="pct"/>
          </w:tcPr>
          <w:p w14:paraId="3AC4676A" w14:textId="77777777" w:rsidR="004C3599" w:rsidRPr="00532556" w:rsidRDefault="004C3599" w:rsidP="008A63FD">
            <w:pPr>
              <w:pStyle w:val="TableParagraph"/>
            </w:pPr>
          </w:p>
        </w:tc>
        <w:tc>
          <w:tcPr>
            <w:tcW w:w="293" w:type="pct"/>
          </w:tcPr>
          <w:p w14:paraId="1BC00F99" w14:textId="77777777" w:rsidR="004C3599" w:rsidRPr="00532556" w:rsidRDefault="004C3599" w:rsidP="008A63FD">
            <w:pPr>
              <w:pStyle w:val="TableParagraph"/>
            </w:pPr>
          </w:p>
        </w:tc>
        <w:tc>
          <w:tcPr>
            <w:tcW w:w="292" w:type="pct"/>
          </w:tcPr>
          <w:p w14:paraId="32231C00" w14:textId="77777777" w:rsidR="004C3599" w:rsidRPr="00532556" w:rsidRDefault="004C3599" w:rsidP="008A63FD">
            <w:pPr>
              <w:pStyle w:val="TableParagraph"/>
            </w:pPr>
          </w:p>
        </w:tc>
      </w:tr>
      <w:tr w:rsidR="004C3599" w:rsidRPr="00532556" w14:paraId="4C9171D9" w14:textId="77777777" w:rsidTr="008A63FD">
        <w:trPr>
          <w:trHeight w:val="659"/>
        </w:trPr>
        <w:tc>
          <w:tcPr>
            <w:tcW w:w="363" w:type="pct"/>
          </w:tcPr>
          <w:p w14:paraId="04873811" w14:textId="77777777" w:rsidR="004C3599" w:rsidRPr="00532556" w:rsidRDefault="004C3599" w:rsidP="008A63FD">
            <w:pPr>
              <w:pStyle w:val="TableParagraph"/>
            </w:pPr>
          </w:p>
        </w:tc>
        <w:tc>
          <w:tcPr>
            <w:tcW w:w="339" w:type="pct"/>
          </w:tcPr>
          <w:p w14:paraId="527E8D63" w14:textId="77777777" w:rsidR="004C3599" w:rsidRPr="00532556" w:rsidRDefault="004C3599" w:rsidP="008A63FD">
            <w:pPr>
              <w:pStyle w:val="TableParagraph"/>
            </w:pPr>
          </w:p>
        </w:tc>
        <w:tc>
          <w:tcPr>
            <w:tcW w:w="633" w:type="pct"/>
          </w:tcPr>
          <w:p w14:paraId="5C02E50E" w14:textId="77777777" w:rsidR="004C3599" w:rsidRPr="00532556" w:rsidRDefault="004C3599" w:rsidP="008A63FD">
            <w:pPr>
              <w:pStyle w:val="TableParagraph"/>
            </w:pPr>
          </w:p>
        </w:tc>
        <w:tc>
          <w:tcPr>
            <w:tcW w:w="363" w:type="pct"/>
          </w:tcPr>
          <w:p w14:paraId="761A3EF9" w14:textId="77777777" w:rsidR="004C3599" w:rsidRPr="00532556" w:rsidRDefault="004C3599" w:rsidP="008A63FD">
            <w:pPr>
              <w:pStyle w:val="TableParagraph"/>
            </w:pPr>
          </w:p>
        </w:tc>
        <w:tc>
          <w:tcPr>
            <w:tcW w:w="498" w:type="pct"/>
          </w:tcPr>
          <w:p w14:paraId="67EEBE15" w14:textId="77777777" w:rsidR="004C3599" w:rsidRPr="00532556" w:rsidRDefault="004C3599" w:rsidP="008A63FD">
            <w:pPr>
              <w:pStyle w:val="TableParagraph"/>
            </w:pPr>
          </w:p>
        </w:tc>
        <w:tc>
          <w:tcPr>
            <w:tcW w:w="589" w:type="pct"/>
          </w:tcPr>
          <w:p w14:paraId="4CFF0D8F" w14:textId="77777777" w:rsidR="004C3599" w:rsidRPr="00532556" w:rsidRDefault="004C3599" w:rsidP="008A63FD">
            <w:pPr>
              <w:pStyle w:val="TableParagraph"/>
            </w:pPr>
          </w:p>
        </w:tc>
        <w:tc>
          <w:tcPr>
            <w:tcW w:w="656" w:type="pct"/>
          </w:tcPr>
          <w:p w14:paraId="6FB8104C" w14:textId="77777777" w:rsidR="004C3599" w:rsidRPr="00532556" w:rsidRDefault="004C3599" w:rsidP="008A63FD">
            <w:pPr>
              <w:pStyle w:val="TableParagraph"/>
            </w:pPr>
          </w:p>
        </w:tc>
        <w:tc>
          <w:tcPr>
            <w:tcW w:w="544" w:type="pct"/>
          </w:tcPr>
          <w:p w14:paraId="03561C4A" w14:textId="77777777" w:rsidR="004C3599" w:rsidRPr="00532556" w:rsidRDefault="004C3599" w:rsidP="008A63FD">
            <w:pPr>
              <w:pStyle w:val="TableParagraph"/>
            </w:pPr>
          </w:p>
        </w:tc>
        <w:tc>
          <w:tcPr>
            <w:tcW w:w="430" w:type="pct"/>
          </w:tcPr>
          <w:p w14:paraId="1987ECEC" w14:textId="77777777" w:rsidR="004C3599" w:rsidRPr="00532556" w:rsidRDefault="004C3599" w:rsidP="008A63FD">
            <w:pPr>
              <w:pStyle w:val="TableParagraph"/>
            </w:pPr>
          </w:p>
        </w:tc>
        <w:tc>
          <w:tcPr>
            <w:tcW w:w="293" w:type="pct"/>
          </w:tcPr>
          <w:p w14:paraId="0E98C964" w14:textId="77777777" w:rsidR="004C3599" w:rsidRPr="00532556" w:rsidRDefault="004C3599" w:rsidP="008A63FD">
            <w:pPr>
              <w:pStyle w:val="TableParagraph"/>
            </w:pPr>
          </w:p>
        </w:tc>
        <w:tc>
          <w:tcPr>
            <w:tcW w:w="292" w:type="pct"/>
          </w:tcPr>
          <w:p w14:paraId="1672C8E3" w14:textId="77777777" w:rsidR="004C3599" w:rsidRPr="00532556" w:rsidRDefault="004C3599" w:rsidP="008A63FD">
            <w:pPr>
              <w:pStyle w:val="TableParagraph"/>
            </w:pPr>
          </w:p>
        </w:tc>
      </w:tr>
      <w:tr w:rsidR="004C3599" w:rsidRPr="00532556" w14:paraId="50F063EF" w14:textId="77777777" w:rsidTr="008A63FD">
        <w:trPr>
          <w:trHeight w:val="662"/>
        </w:trPr>
        <w:tc>
          <w:tcPr>
            <w:tcW w:w="363" w:type="pct"/>
          </w:tcPr>
          <w:p w14:paraId="02C97351" w14:textId="77777777" w:rsidR="004C3599" w:rsidRPr="00532556" w:rsidRDefault="004C3599" w:rsidP="008A63FD">
            <w:pPr>
              <w:pStyle w:val="TableParagraph"/>
            </w:pPr>
          </w:p>
        </w:tc>
        <w:tc>
          <w:tcPr>
            <w:tcW w:w="339" w:type="pct"/>
          </w:tcPr>
          <w:p w14:paraId="0559A9F8" w14:textId="77777777" w:rsidR="004C3599" w:rsidRPr="00532556" w:rsidRDefault="004C3599" w:rsidP="008A63FD">
            <w:pPr>
              <w:pStyle w:val="TableParagraph"/>
            </w:pPr>
          </w:p>
        </w:tc>
        <w:tc>
          <w:tcPr>
            <w:tcW w:w="633" w:type="pct"/>
          </w:tcPr>
          <w:p w14:paraId="5BDA43C5" w14:textId="77777777" w:rsidR="004C3599" w:rsidRPr="00532556" w:rsidRDefault="004C3599" w:rsidP="008A63FD">
            <w:pPr>
              <w:pStyle w:val="TableParagraph"/>
            </w:pPr>
          </w:p>
        </w:tc>
        <w:tc>
          <w:tcPr>
            <w:tcW w:w="363" w:type="pct"/>
          </w:tcPr>
          <w:p w14:paraId="5F66C1A2" w14:textId="77777777" w:rsidR="004C3599" w:rsidRPr="00532556" w:rsidRDefault="004C3599" w:rsidP="008A63FD">
            <w:pPr>
              <w:pStyle w:val="TableParagraph"/>
            </w:pPr>
          </w:p>
        </w:tc>
        <w:tc>
          <w:tcPr>
            <w:tcW w:w="498" w:type="pct"/>
          </w:tcPr>
          <w:p w14:paraId="041F560C" w14:textId="77777777" w:rsidR="004C3599" w:rsidRPr="00532556" w:rsidRDefault="004C3599" w:rsidP="008A63FD">
            <w:pPr>
              <w:pStyle w:val="TableParagraph"/>
            </w:pPr>
          </w:p>
        </w:tc>
        <w:tc>
          <w:tcPr>
            <w:tcW w:w="589" w:type="pct"/>
          </w:tcPr>
          <w:p w14:paraId="4134B6F1" w14:textId="77777777" w:rsidR="004C3599" w:rsidRPr="00532556" w:rsidRDefault="004C3599" w:rsidP="008A63FD">
            <w:pPr>
              <w:pStyle w:val="TableParagraph"/>
            </w:pPr>
          </w:p>
        </w:tc>
        <w:tc>
          <w:tcPr>
            <w:tcW w:w="656" w:type="pct"/>
          </w:tcPr>
          <w:p w14:paraId="1E5B1850" w14:textId="77777777" w:rsidR="004C3599" w:rsidRPr="00532556" w:rsidRDefault="004C3599" w:rsidP="008A63FD">
            <w:pPr>
              <w:pStyle w:val="TableParagraph"/>
            </w:pPr>
          </w:p>
        </w:tc>
        <w:tc>
          <w:tcPr>
            <w:tcW w:w="544" w:type="pct"/>
          </w:tcPr>
          <w:p w14:paraId="27C089F5" w14:textId="77777777" w:rsidR="004C3599" w:rsidRPr="00532556" w:rsidRDefault="004C3599" w:rsidP="008A63FD">
            <w:pPr>
              <w:pStyle w:val="TableParagraph"/>
            </w:pPr>
          </w:p>
        </w:tc>
        <w:tc>
          <w:tcPr>
            <w:tcW w:w="430" w:type="pct"/>
          </w:tcPr>
          <w:p w14:paraId="20794E21" w14:textId="77777777" w:rsidR="004C3599" w:rsidRPr="00532556" w:rsidRDefault="004C3599" w:rsidP="008A63FD">
            <w:pPr>
              <w:pStyle w:val="TableParagraph"/>
            </w:pPr>
          </w:p>
        </w:tc>
        <w:tc>
          <w:tcPr>
            <w:tcW w:w="293" w:type="pct"/>
          </w:tcPr>
          <w:p w14:paraId="68B6FE76" w14:textId="77777777" w:rsidR="004C3599" w:rsidRPr="00532556" w:rsidRDefault="004C3599" w:rsidP="008A63FD">
            <w:pPr>
              <w:pStyle w:val="TableParagraph"/>
            </w:pPr>
          </w:p>
        </w:tc>
        <w:tc>
          <w:tcPr>
            <w:tcW w:w="292" w:type="pct"/>
          </w:tcPr>
          <w:p w14:paraId="4F4CD0BB" w14:textId="77777777" w:rsidR="004C3599" w:rsidRPr="00532556" w:rsidRDefault="004C3599" w:rsidP="008A63FD">
            <w:pPr>
              <w:pStyle w:val="TableParagraph"/>
            </w:pPr>
          </w:p>
        </w:tc>
      </w:tr>
    </w:tbl>
    <w:p w14:paraId="3136A509" w14:textId="77777777" w:rsidR="004C3599" w:rsidRPr="00532556" w:rsidRDefault="004C3599" w:rsidP="004C3599"/>
    <w:p w14:paraId="1866229D" w14:textId="77777777" w:rsidR="004C3599" w:rsidRPr="00532556" w:rsidRDefault="004C3599" w:rsidP="004C3599"/>
    <w:p w14:paraId="5D223AA4" w14:textId="48A71ACB" w:rsidR="00D027C4" w:rsidRPr="0015697E" w:rsidRDefault="00D027C4"/>
    <w:sectPr w:rsidR="00D027C4" w:rsidRPr="0015697E" w:rsidSect="004C4875">
      <w:footerReference w:type="default" r:id="rId37"/>
      <w:footerReference w:type="first" r:id="rId38"/>
      <w:pgSz w:w="20160" w:h="12240" w:orient="landscape"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CEB98" w14:textId="77777777" w:rsidR="004C4875" w:rsidRDefault="004C4875">
      <w:pPr>
        <w:spacing w:after="0" w:line="240" w:lineRule="auto"/>
      </w:pPr>
      <w:r>
        <w:separator/>
      </w:r>
    </w:p>
  </w:endnote>
  <w:endnote w:type="continuationSeparator" w:id="0">
    <w:p w14:paraId="65F1D2EE" w14:textId="77777777" w:rsidR="004C4875" w:rsidRDefault="004C4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2BC4" w14:textId="77777777" w:rsidR="008A63FD" w:rsidRDefault="008A6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A63FD" w14:paraId="05C5A6D5" w14:textId="77777777" w:rsidTr="008A63FD">
      <w:tc>
        <w:tcPr>
          <w:tcW w:w="3120" w:type="dxa"/>
        </w:tcPr>
        <w:p w14:paraId="028B3607" w14:textId="77777777" w:rsidR="008A63FD" w:rsidRDefault="008A63FD" w:rsidP="008A63FD">
          <w:pPr>
            <w:pStyle w:val="Header"/>
            <w:ind w:left="-115"/>
          </w:pPr>
        </w:p>
      </w:tc>
      <w:tc>
        <w:tcPr>
          <w:tcW w:w="3120" w:type="dxa"/>
        </w:tcPr>
        <w:p w14:paraId="31A455C7" w14:textId="77777777" w:rsidR="008A63FD" w:rsidRDefault="008A63FD" w:rsidP="008A63FD">
          <w:pPr>
            <w:pStyle w:val="Header"/>
            <w:jc w:val="center"/>
          </w:pPr>
        </w:p>
      </w:tc>
      <w:tc>
        <w:tcPr>
          <w:tcW w:w="3120" w:type="dxa"/>
        </w:tcPr>
        <w:p w14:paraId="087B85B8" w14:textId="77777777" w:rsidR="008A63FD" w:rsidRDefault="008A63FD" w:rsidP="008A63FD">
          <w:pPr>
            <w:pStyle w:val="Header"/>
            <w:ind w:right="-115"/>
            <w:jc w:val="right"/>
          </w:pPr>
        </w:p>
      </w:tc>
    </w:tr>
  </w:tbl>
  <w:p w14:paraId="0A9DFBB2" w14:textId="77777777" w:rsidR="008A63FD" w:rsidRDefault="008A63FD" w:rsidP="008A6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A63FD" w14:paraId="137E8E55" w14:textId="77777777" w:rsidTr="008A63FD">
      <w:tc>
        <w:tcPr>
          <w:tcW w:w="3120" w:type="dxa"/>
        </w:tcPr>
        <w:p w14:paraId="4272CF4D" w14:textId="77777777" w:rsidR="008A63FD" w:rsidRDefault="008A63FD" w:rsidP="008A63FD">
          <w:pPr>
            <w:pStyle w:val="Header"/>
            <w:ind w:left="-115"/>
          </w:pPr>
        </w:p>
      </w:tc>
      <w:tc>
        <w:tcPr>
          <w:tcW w:w="3120" w:type="dxa"/>
        </w:tcPr>
        <w:p w14:paraId="49879816" w14:textId="77777777" w:rsidR="008A63FD" w:rsidRDefault="008A63FD" w:rsidP="008A63FD">
          <w:pPr>
            <w:pStyle w:val="Header"/>
            <w:jc w:val="center"/>
          </w:pPr>
        </w:p>
      </w:tc>
      <w:tc>
        <w:tcPr>
          <w:tcW w:w="3120" w:type="dxa"/>
        </w:tcPr>
        <w:p w14:paraId="71E25908" w14:textId="77777777" w:rsidR="008A63FD" w:rsidRDefault="008A63FD" w:rsidP="008A63FD">
          <w:pPr>
            <w:pStyle w:val="Header"/>
            <w:ind w:right="-115"/>
            <w:jc w:val="right"/>
          </w:pPr>
        </w:p>
      </w:tc>
    </w:tr>
  </w:tbl>
  <w:p w14:paraId="79270142" w14:textId="77777777" w:rsidR="008A63FD" w:rsidRDefault="008A63FD" w:rsidP="008A63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8A63FD" w14:paraId="677645C2" w14:textId="77777777" w:rsidTr="008A63FD">
      <w:tc>
        <w:tcPr>
          <w:tcW w:w="4320" w:type="dxa"/>
        </w:tcPr>
        <w:p w14:paraId="7F5A98E7" w14:textId="77777777" w:rsidR="008A63FD" w:rsidRDefault="008A63FD" w:rsidP="008A63FD">
          <w:pPr>
            <w:pStyle w:val="Header"/>
            <w:ind w:left="-115"/>
          </w:pPr>
        </w:p>
      </w:tc>
      <w:tc>
        <w:tcPr>
          <w:tcW w:w="4320" w:type="dxa"/>
        </w:tcPr>
        <w:p w14:paraId="51A8E554" w14:textId="77777777" w:rsidR="008A63FD" w:rsidRDefault="008A63FD" w:rsidP="008A63FD">
          <w:pPr>
            <w:pStyle w:val="Header"/>
            <w:jc w:val="center"/>
          </w:pPr>
        </w:p>
      </w:tc>
      <w:tc>
        <w:tcPr>
          <w:tcW w:w="4320" w:type="dxa"/>
        </w:tcPr>
        <w:p w14:paraId="5772BAD4" w14:textId="77777777" w:rsidR="008A63FD" w:rsidRDefault="008A63FD" w:rsidP="008A63FD">
          <w:pPr>
            <w:pStyle w:val="Header"/>
            <w:ind w:right="-115"/>
            <w:jc w:val="right"/>
          </w:pPr>
        </w:p>
      </w:tc>
    </w:tr>
  </w:tbl>
  <w:p w14:paraId="3F5F0F26" w14:textId="77777777" w:rsidR="008A63FD" w:rsidRDefault="008A63FD" w:rsidP="008A63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8A63FD" w14:paraId="577428CD" w14:textId="77777777" w:rsidTr="008A63FD">
      <w:tc>
        <w:tcPr>
          <w:tcW w:w="4320" w:type="dxa"/>
        </w:tcPr>
        <w:p w14:paraId="5253B073" w14:textId="77777777" w:rsidR="008A63FD" w:rsidRDefault="008A63FD" w:rsidP="008A63FD">
          <w:pPr>
            <w:pStyle w:val="Header"/>
            <w:ind w:left="-115"/>
          </w:pPr>
        </w:p>
      </w:tc>
      <w:tc>
        <w:tcPr>
          <w:tcW w:w="4320" w:type="dxa"/>
        </w:tcPr>
        <w:p w14:paraId="6FA50670" w14:textId="77777777" w:rsidR="008A63FD" w:rsidRDefault="008A63FD" w:rsidP="008A63FD">
          <w:pPr>
            <w:pStyle w:val="Header"/>
            <w:jc w:val="center"/>
          </w:pPr>
        </w:p>
      </w:tc>
      <w:tc>
        <w:tcPr>
          <w:tcW w:w="4320" w:type="dxa"/>
        </w:tcPr>
        <w:p w14:paraId="28F4EEA6" w14:textId="77777777" w:rsidR="008A63FD" w:rsidRDefault="008A63FD" w:rsidP="008A63FD">
          <w:pPr>
            <w:pStyle w:val="Header"/>
            <w:ind w:right="-115"/>
            <w:jc w:val="right"/>
          </w:pPr>
        </w:p>
      </w:tc>
    </w:tr>
  </w:tbl>
  <w:p w14:paraId="1E4E19CA" w14:textId="77777777" w:rsidR="008A63FD" w:rsidRDefault="008A63FD" w:rsidP="008A6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01872" w14:textId="77777777" w:rsidR="004C4875" w:rsidRDefault="004C4875">
      <w:pPr>
        <w:spacing w:after="0" w:line="240" w:lineRule="auto"/>
      </w:pPr>
      <w:r>
        <w:separator/>
      </w:r>
    </w:p>
  </w:footnote>
  <w:footnote w:type="continuationSeparator" w:id="0">
    <w:p w14:paraId="290B4F18" w14:textId="77777777" w:rsidR="004C4875" w:rsidRDefault="004C4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9A6F" w14:textId="77777777" w:rsidR="008A63FD" w:rsidRDefault="008A6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554147"/>
      <w:docPartObj>
        <w:docPartGallery w:val="Page Numbers (Top of Page)"/>
        <w:docPartUnique/>
      </w:docPartObj>
    </w:sdtPr>
    <w:sdtEndPr>
      <w:rPr>
        <w:noProof/>
      </w:rPr>
    </w:sdtEndPr>
    <w:sdtContent>
      <w:p w14:paraId="6D7F8C17" w14:textId="77777777" w:rsidR="008A63FD" w:rsidRDefault="008A63F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2E3A2D" w14:textId="77777777" w:rsidR="008A63FD" w:rsidRDefault="008A6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1A2E" w14:textId="77777777" w:rsidR="008A63FD" w:rsidRDefault="008A63FD">
    <w:pPr>
      <w:pStyle w:val="Header"/>
      <w:jc w:val="right"/>
    </w:pPr>
    <w:r>
      <w:fldChar w:fldCharType="begin"/>
    </w:r>
    <w:r>
      <w:instrText xml:space="preserve"> PAGE   \* MERGEFORMAT </w:instrText>
    </w:r>
    <w:r>
      <w:fldChar w:fldCharType="separate"/>
    </w:r>
    <w:r>
      <w:rPr>
        <w:noProof/>
      </w:rPr>
      <w:t>6</w:t>
    </w:r>
    <w:r>
      <w:rPr>
        <w:noProof/>
      </w:rPr>
      <w:fldChar w:fldCharType="end"/>
    </w:r>
  </w:p>
  <w:p w14:paraId="75D4FC06" w14:textId="77777777" w:rsidR="008A63FD" w:rsidRDefault="008A6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0E83"/>
    <w:multiLevelType w:val="hybridMultilevel"/>
    <w:tmpl w:val="7FA41320"/>
    <w:lvl w:ilvl="0" w:tplc="308017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03C1A"/>
    <w:multiLevelType w:val="hybridMultilevel"/>
    <w:tmpl w:val="C5049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5804182">
    <w:abstractNumId w:val="0"/>
  </w:num>
  <w:num w:numId="2" w16cid:durableId="75150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7E"/>
    <w:rsid w:val="000E028C"/>
    <w:rsid w:val="00146540"/>
    <w:rsid w:val="0015697E"/>
    <w:rsid w:val="00203640"/>
    <w:rsid w:val="00224E09"/>
    <w:rsid w:val="003F78B0"/>
    <w:rsid w:val="004159AB"/>
    <w:rsid w:val="004224D2"/>
    <w:rsid w:val="004A02CB"/>
    <w:rsid w:val="004A6E4A"/>
    <w:rsid w:val="004C3599"/>
    <w:rsid w:val="004C4875"/>
    <w:rsid w:val="004E5AA3"/>
    <w:rsid w:val="005207E1"/>
    <w:rsid w:val="005415C4"/>
    <w:rsid w:val="005478FF"/>
    <w:rsid w:val="005B65C6"/>
    <w:rsid w:val="007168F7"/>
    <w:rsid w:val="007C3B26"/>
    <w:rsid w:val="00826285"/>
    <w:rsid w:val="008274DD"/>
    <w:rsid w:val="008A63FD"/>
    <w:rsid w:val="0090695F"/>
    <w:rsid w:val="009259E1"/>
    <w:rsid w:val="009600A0"/>
    <w:rsid w:val="009C3787"/>
    <w:rsid w:val="00D027C4"/>
    <w:rsid w:val="00D313BB"/>
    <w:rsid w:val="00D71AF5"/>
    <w:rsid w:val="00DA3ED8"/>
    <w:rsid w:val="00DD504D"/>
    <w:rsid w:val="00E03034"/>
    <w:rsid w:val="00E46ECF"/>
    <w:rsid w:val="00ED55B8"/>
    <w:rsid w:val="00F05278"/>
    <w:rsid w:val="00F977BC"/>
    <w:rsid w:val="00FA7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E23F0"/>
  <w15:chartTrackingRefBased/>
  <w15:docId w15:val="{D34221B7-7CDD-4B0F-85E7-A2F40E20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599"/>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599"/>
    <w:rPr>
      <w:rFonts w:eastAsiaTheme="minorEastAsia"/>
      <w:lang w:val="en-US"/>
    </w:rPr>
  </w:style>
  <w:style w:type="paragraph" w:styleId="Footer">
    <w:name w:val="footer"/>
    <w:basedOn w:val="Normal"/>
    <w:link w:val="FooterChar"/>
    <w:uiPriority w:val="99"/>
    <w:unhideWhenUsed/>
    <w:rsid w:val="004C3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599"/>
    <w:rPr>
      <w:rFonts w:eastAsiaTheme="minorEastAsia"/>
      <w:lang w:val="en-US"/>
    </w:rPr>
  </w:style>
  <w:style w:type="character" w:styleId="Hyperlink">
    <w:name w:val="Hyperlink"/>
    <w:basedOn w:val="DefaultParagraphFont"/>
    <w:uiPriority w:val="99"/>
    <w:unhideWhenUsed/>
    <w:rsid w:val="004C3599"/>
    <w:rPr>
      <w:color w:val="0000FF"/>
      <w:u w:val="single"/>
    </w:rPr>
  </w:style>
  <w:style w:type="table" w:customStyle="1" w:styleId="TableGrid">
    <w:name w:val="TableGrid"/>
    <w:rsid w:val="004C3599"/>
    <w:pPr>
      <w:spacing w:after="0" w:line="240" w:lineRule="auto"/>
    </w:pPr>
    <w:rPr>
      <w:rFonts w:eastAsia="Times New Roman"/>
      <w:lang w:val="en-US"/>
    </w:rPr>
    <w:tblPr>
      <w:tblCellMar>
        <w:top w:w="0" w:type="dxa"/>
        <w:left w:w="0" w:type="dxa"/>
        <w:bottom w:w="0" w:type="dxa"/>
        <w:right w:w="0" w:type="dxa"/>
      </w:tblCellMar>
    </w:tblPr>
  </w:style>
  <w:style w:type="paragraph" w:styleId="ListParagraph">
    <w:name w:val="List Paragraph"/>
    <w:basedOn w:val="Normal"/>
    <w:uiPriority w:val="34"/>
    <w:qFormat/>
    <w:rsid w:val="004C3599"/>
    <w:pPr>
      <w:ind w:left="720"/>
      <w:contextualSpacing/>
    </w:pPr>
  </w:style>
  <w:style w:type="paragraph" w:customStyle="1" w:styleId="TableParagraph">
    <w:name w:val="Table Paragraph"/>
    <w:basedOn w:val="Normal"/>
    <w:uiPriority w:val="1"/>
    <w:qFormat/>
    <w:rsid w:val="004C3599"/>
    <w:pPr>
      <w:widowControl w:val="0"/>
      <w:autoSpaceDE w:val="0"/>
      <w:autoSpaceDN w:val="0"/>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20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5927">
      <w:bodyDiv w:val="1"/>
      <w:marLeft w:val="0"/>
      <w:marRight w:val="0"/>
      <w:marTop w:val="0"/>
      <w:marBottom w:val="0"/>
      <w:divBdr>
        <w:top w:val="none" w:sz="0" w:space="0" w:color="auto"/>
        <w:left w:val="none" w:sz="0" w:space="0" w:color="auto"/>
        <w:bottom w:val="none" w:sz="0" w:space="0" w:color="auto"/>
        <w:right w:val="none" w:sz="0" w:space="0" w:color="auto"/>
      </w:divBdr>
      <w:divsChild>
        <w:div w:id="923804324">
          <w:marLeft w:val="0"/>
          <w:marRight w:val="0"/>
          <w:marTop w:val="0"/>
          <w:marBottom w:val="0"/>
          <w:divBdr>
            <w:top w:val="none" w:sz="0" w:space="0" w:color="auto"/>
            <w:left w:val="none" w:sz="0" w:space="0" w:color="auto"/>
            <w:bottom w:val="none" w:sz="0" w:space="0" w:color="auto"/>
            <w:right w:val="none" w:sz="0" w:space="0" w:color="auto"/>
          </w:divBdr>
        </w:div>
      </w:divsChild>
    </w:div>
    <w:div w:id="285242028">
      <w:bodyDiv w:val="1"/>
      <w:marLeft w:val="0"/>
      <w:marRight w:val="0"/>
      <w:marTop w:val="0"/>
      <w:marBottom w:val="0"/>
      <w:divBdr>
        <w:top w:val="none" w:sz="0" w:space="0" w:color="auto"/>
        <w:left w:val="none" w:sz="0" w:space="0" w:color="auto"/>
        <w:bottom w:val="none" w:sz="0" w:space="0" w:color="auto"/>
        <w:right w:val="none" w:sz="0" w:space="0" w:color="auto"/>
      </w:divBdr>
      <w:divsChild>
        <w:div w:id="1522084233">
          <w:marLeft w:val="0"/>
          <w:marRight w:val="0"/>
          <w:marTop w:val="0"/>
          <w:marBottom w:val="0"/>
          <w:divBdr>
            <w:top w:val="none" w:sz="0" w:space="0" w:color="auto"/>
            <w:left w:val="none" w:sz="0" w:space="0" w:color="auto"/>
            <w:bottom w:val="none" w:sz="0" w:space="0" w:color="auto"/>
            <w:right w:val="none" w:sz="0" w:space="0" w:color="auto"/>
          </w:divBdr>
        </w:div>
      </w:divsChild>
    </w:div>
    <w:div w:id="744887076">
      <w:bodyDiv w:val="1"/>
      <w:marLeft w:val="0"/>
      <w:marRight w:val="0"/>
      <w:marTop w:val="0"/>
      <w:marBottom w:val="0"/>
      <w:divBdr>
        <w:top w:val="none" w:sz="0" w:space="0" w:color="auto"/>
        <w:left w:val="none" w:sz="0" w:space="0" w:color="auto"/>
        <w:bottom w:val="none" w:sz="0" w:space="0" w:color="auto"/>
        <w:right w:val="none" w:sz="0" w:space="0" w:color="auto"/>
      </w:divBdr>
      <w:divsChild>
        <w:div w:id="1736856052">
          <w:marLeft w:val="0"/>
          <w:marRight w:val="0"/>
          <w:marTop w:val="0"/>
          <w:marBottom w:val="0"/>
          <w:divBdr>
            <w:top w:val="none" w:sz="0" w:space="0" w:color="auto"/>
            <w:left w:val="none" w:sz="0" w:space="0" w:color="auto"/>
            <w:bottom w:val="none" w:sz="0" w:space="0" w:color="auto"/>
            <w:right w:val="none" w:sz="0" w:space="0" w:color="auto"/>
          </w:divBdr>
        </w:div>
      </w:divsChild>
    </w:div>
    <w:div w:id="1018046837">
      <w:bodyDiv w:val="1"/>
      <w:marLeft w:val="0"/>
      <w:marRight w:val="0"/>
      <w:marTop w:val="0"/>
      <w:marBottom w:val="0"/>
      <w:divBdr>
        <w:top w:val="none" w:sz="0" w:space="0" w:color="auto"/>
        <w:left w:val="none" w:sz="0" w:space="0" w:color="auto"/>
        <w:bottom w:val="none" w:sz="0" w:space="0" w:color="auto"/>
        <w:right w:val="none" w:sz="0" w:space="0" w:color="auto"/>
      </w:divBdr>
      <w:divsChild>
        <w:div w:id="430929036">
          <w:marLeft w:val="0"/>
          <w:marRight w:val="0"/>
          <w:marTop w:val="0"/>
          <w:marBottom w:val="0"/>
          <w:divBdr>
            <w:top w:val="none" w:sz="0" w:space="0" w:color="auto"/>
            <w:left w:val="none" w:sz="0" w:space="0" w:color="auto"/>
            <w:bottom w:val="none" w:sz="0" w:space="0" w:color="auto"/>
            <w:right w:val="none" w:sz="0" w:space="0" w:color="auto"/>
          </w:divBdr>
        </w:div>
      </w:divsChild>
    </w:div>
    <w:div w:id="1128207980">
      <w:bodyDiv w:val="1"/>
      <w:marLeft w:val="0"/>
      <w:marRight w:val="0"/>
      <w:marTop w:val="0"/>
      <w:marBottom w:val="0"/>
      <w:divBdr>
        <w:top w:val="none" w:sz="0" w:space="0" w:color="auto"/>
        <w:left w:val="none" w:sz="0" w:space="0" w:color="auto"/>
        <w:bottom w:val="none" w:sz="0" w:space="0" w:color="auto"/>
        <w:right w:val="none" w:sz="0" w:space="0" w:color="auto"/>
      </w:divBdr>
      <w:divsChild>
        <w:div w:id="361783388">
          <w:marLeft w:val="0"/>
          <w:marRight w:val="0"/>
          <w:marTop w:val="0"/>
          <w:marBottom w:val="0"/>
          <w:divBdr>
            <w:top w:val="none" w:sz="0" w:space="0" w:color="auto"/>
            <w:left w:val="none" w:sz="0" w:space="0" w:color="auto"/>
            <w:bottom w:val="none" w:sz="0" w:space="0" w:color="auto"/>
            <w:right w:val="none" w:sz="0" w:space="0" w:color="auto"/>
          </w:divBdr>
        </w:div>
      </w:divsChild>
    </w:div>
    <w:div w:id="1221095447">
      <w:bodyDiv w:val="1"/>
      <w:marLeft w:val="0"/>
      <w:marRight w:val="0"/>
      <w:marTop w:val="0"/>
      <w:marBottom w:val="0"/>
      <w:divBdr>
        <w:top w:val="none" w:sz="0" w:space="0" w:color="auto"/>
        <w:left w:val="none" w:sz="0" w:space="0" w:color="auto"/>
        <w:bottom w:val="none" w:sz="0" w:space="0" w:color="auto"/>
        <w:right w:val="none" w:sz="0" w:space="0" w:color="auto"/>
      </w:divBdr>
      <w:divsChild>
        <w:div w:id="222449278">
          <w:marLeft w:val="0"/>
          <w:marRight w:val="0"/>
          <w:marTop w:val="0"/>
          <w:marBottom w:val="0"/>
          <w:divBdr>
            <w:top w:val="none" w:sz="0" w:space="0" w:color="auto"/>
            <w:left w:val="none" w:sz="0" w:space="0" w:color="auto"/>
            <w:bottom w:val="none" w:sz="0" w:space="0" w:color="auto"/>
            <w:right w:val="none" w:sz="0" w:space="0" w:color="auto"/>
          </w:divBdr>
        </w:div>
      </w:divsChild>
    </w:div>
    <w:div w:id="1285579909">
      <w:bodyDiv w:val="1"/>
      <w:marLeft w:val="0"/>
      <w:marRight w:val="0"/>
      <w:marTop w:val="0"/>
      <w:marBottom w:val="0"/>
      <w:divBdr>
        <w:top w:val="none" w:sz="0" w:space="0" w:color="auto"/>
        <w:left w:val="none" w:sz="0" w:space="0" w:color="auto"/>
        <w:bottom w:val="none" w:sz="0" w:space="0" w:color="auto"/>
        <w:right w:val="none" w:sz="0" w:space="0" w:color="auto"/>
      </w:divBdr>
      <w:divsChild>
        <w:div w:id="2049256266">
          <w:marLeft w:val="0"/>
          <w:marRight w:val="0"/>
          <w:marTop w:val="0"/>
          <w:marBottom w:val="0"/>
          <w:divBdr>
            <w:top w:val="none" w:sz="0" w:space="0" w:color="auto"/>
            <w:left w:val="none" w:sz="0" w:space="0" w:color="auto"/>
            <w:bottom w:val="none" w:sz="0" w:space="0" w:color="auto"/>
            <w:right w:val="none" w:sz="0" w:space="0" w:color="auto"/>
          </w:divBdr>
        </w:div>
      </w:divsChild>
    </w:div>
    <w:div w:id="1505584490">
      <w:bodyDiv w:val="1"/>
      <w:marLeft w:val="0"/>
      <w:marRight w:val="0"/>
      <w:marTop w:val="0"/>
      <w:marBottom w:val="0"/>
      <w:divBdr>
        <w:top w:val="none" w:sz="0" w:space="0" w:color="auto"/>
        <w:left w:val="none" w:sz="0" w:space="0" w:color="auto"/>
        <w:bottom w:val="none" w:sz="0" w:space="0" w:color="auto"/>
        <w:right w:val="none" w:sz="0" w:space="0" w:color="auto"/>
      </w:divBdr>
      <w:divsChild>
        <w:div w:id="222984056">
          <w:marLeft w:val="0"/>
          <w:marRight w:val="0"/>
          <w:marTop w:val="0"/>
          <w:marBottom w:val="0"/>
          <w:divBdr>
            <w:top w:val="none" w:sz="0" w:space="0" w:color="auto"/>
            <w:left w:val="none" w:sz="0" w:space="0" w:color="auto"/>
            <w:bottom w:val="none" w:sz="0" w:space="0" w:color="auto"/>
            <w:right w:val="none" w:sz="0" w:space="0" w:color="auto"/>
          </w:divBdr>
        </w:div>
      </w:divsChild>
    </w:div>
    <w:div w:id="1732265182">
      <w:bodyDiv w:val="1"/>
      <w:marLeft w:val="0"/>
      <w:marRight w:val="0"/>
      <w:marTop w:val="0"/>
      <w:marBottom w:val="0"/>
      <w:divBdr>
        <w:top w:val="none" w:sz="0" w:space="0" w:color="auto"/>
        <w:left w:val="none" w:sz="0" w:space="0" w:color="auto"/>
        <w:bottom w:val="none" w:sz="0" w:space="0" w:color="auto"/>
        <w:right w:val="none" w:sz="0" w:space="0" w:color="auto"/>
      </w:divBdr>
      <w:divsChild>
        <w:div w:id="1951619688">
          <w:marLeft w:val="0"/>
          <w:marRight w:val="0"/>
          <w:marTop w:val="0"/>
          <w:marBottom w:val="0"/>
          <w:divBdr>
            <w:top w:val="none" w:sz="0" w:space="0" w:color="auto"/>
            <w:left w:val="none" w:sz="0" w:space="0" w:color="auto"/>
            <w:bottom w:val="none" w:sz="0" w:space="0" w:color="auto"/>
            <w:right w:val="none" w:sz="0" w:space="0" w:color="auto"/>
          </w:divBdr>
        </w:div>
      </w:divsChild>
    </w:div>
    <w:div w:id="1830443064">
      <w:bodyDiv w:val="1"/>
      <w:marLeft w:val="0"/>
      <w:marRight w:val="0"/>
      <w:marTop w:val="0"/>
      <w:marBottom w:val="0"/>
      <w:divBdr>
        <w:top w:val="none" w:sz="0" w:space="0" w:color="auto"/>
        <w:left w:val="none" w:sz="0" w:space="0" w:color="auto"/>
        <w:bottom w:val="none" w:sz="0" w:space="0" w:color="auto"/>
        <w:right w:val="none" w:sz="0" w:space="0" w:color="auto"/>
      </w:divBdr>
      <w:divsChild>
        <w:div w:id="1095588022">
          <w:marLeft w:val="0"/>
          <w:marRight w:val="0"/>
          <w:marTop w:val="0"/>
          <w:marBottom w:val="0"/>
          <w:divBdr>
            <w:top w:val="none" w:sz="0" w:space="0" w:color="auto"/>
            <w:left w:val="none" w:sz="0" w:space="0" w:color="auto"/>
            <w:bottom w:val="none" w:sz="0" w:space="0" w:color="auto"/>
            <w:right w:val="none" w:sz="0" w:space="0" w:color="auto"/>
          </w:divBdr>
        </w:div>
      </w:divsChild>
    </w:div>
    <w:div w:id="1846625586">
      <w:bodyDiv w:val="1"/>
      <w:marLeft w:val="0"/>
      <w:marRight w:val="0"/>
      <w:marTop w:val="0"/>
      <w:marBottom w:val="0"/>
      <w:divBdr>
        <w:top w:val="none" w:sz="0" w:space="0" w:color="auto"/>
        <w:left w:val="none" w:sz="0" w:space="0" w:color="auto"/>
        <w:bottom w:val="none" w:sz="0" w:space="0" w:color="auto"/>
        <w:right w:val="none" w:sz="0" w:space="0" w:color="auto"/>
      </w:divBdr>
      <w:divsChild>
        <w:div w:id="291980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13-021-06507-z" TargetMode="External"/><Relationship Id="rId18" Type="http://schemas.openxmlformats.org/officeDocument/2006/relationships/hyperlink" Target="https://doi.org/10.1186/s41077-022-00227-y" TargetMode="External"/><Relationship Id="rId26" Type="http://schemas.openxmlformats.org/officeDocument/2006/relationships/header" Target="header2.xml"/><Relationship Id="rId39" Type="http://schemas.openxmlformats.org/officeDocument/2006/relationships/fontTable" Target="fontTable.xml"/><Relationship Id="rId21" Type="http://schemas.openxmlformats.org/officeDocument/2006/relationships/hyperlink" Target="https://doi.org/10.1177/2516043519887045" TargetMode="External"/><Relationship Id="rId34" Type="http://schemas.openxmlformats.org/officeDocument/2006/relationships/hyperlink" Target="https://www.frontiersin.org/journals/public-health/articles/10.3389/fpubh.2021.683723/full" TargetMode="External"/><Relationship Id="rId7" Type="http://schemas.openxmlformats.org/officeDocument/2006/relationships/hyperlink" Target="https://doi.org/10.1186/s12877-023-04045-3" TargetMode="External"/><Relationship Id="rId12" Type="http://schemas.openxmlformats.org/officeDocument/2006/relationships/hyperlink" Target="https://doi.org/10.1038/s41537-023-00396-3" TargetMode="External"/><Relationship Id="rId17" Type="http://schemas.openxmlformats.org/officeDocument/2006/relationships/hyperlink" Target="https://doi.org/10.1097@01.NAJ.0000688256.96880.a3" TargetMode="External"/><Relationship Id="rId25" Type="http://schemas.openxmlformats.org/officeDocument/2006/relationships/header" Target="header1.xml"/><Relationship Id="rId33" Type="http://schemas.openxmlformats.org/officeDocument/2006/relationships/hyperlink" Target="https://doi.org/10.3389/fpubh.2021.683723" TargetMode="External"/><Relationship Id="rId38"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doi.org/10.1016/j.emj.2019.02.004" TargetMode="External"/><Relationship Id="rId20" Type="http://schemas.openxmlformats.org/officeDocument/2006/relationships/hyperlink" Target="https://doi.org/10.1186/s13033-022-00514-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JHOM-01-2022-0018" TargetMode="External"/><Relationship Id="rId24" Type="http://schemas.openxmlformats.org/officeDocument/2006/relationships/hyperlink" Target="https://doi.org/10.12809/eaap2113" TargetMode="External"/><Relationship Id="rId32" Type="http://schemas.openxmlformats.org/officeDocument/2006/relationships/hyperlink" Target="https://pubmed.ncbi.nlm.nih.gov/34588316/"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89/fpubh.2021.683723" TargetMode="External"/><Relationship Id="rId23" Type="http://schemas.openxmlformats.org/officeDocument/2006/relationships/hyperlink" Target="https://doi.org/10.1186/s12912-023-01532-1" TargetMode="External"/><Relationship Id="rId28" Type="http://schemas.openxmlformats.org/officeDocument/2006/relationships/footer" Target="footer2.xml"/><Relationship Id="rId36" Type="http://schemas.openxmlformats.org/officeDocument/2006/relationships/hyperlink" Target="https://www.nature.com/articles/s41537-023-00396-3" TargetMode="External"/><Relationship Id="rId10" Type="http://schemas.openxmlformats.org/officeDocument/2006/relationships/hyperlink" Target="https://doi.org/10.2147/JHL.S289176" TargetMode="External"/><Relationship Id="rId19" Type="http://schemas.openxmlformats.org/officeDocument/2006/relationships/hyperlink" Target="https://doi.org/10.3390/ijerph17030776" TargetMode="External"/><Relationship Id="rId31" Type="http://schemas.openxmlformats.org/officeDocument/2006/relationships/hyperlink" Target="https://doi.org/10.12809/eaap2113" TargetMode="External"/><Relationship Id="rId4" Type="http://schemas.openxmlformats.org/officeDocument/2006/relationships/webSettings" Target="webSettings.xml"/><Relationship Id="rId9" Type="http://schemas.openxmlformats.org/officeDocument/2006/relationships/hyperlink" Target="https://doi.org/10.1016/j.mnl.2020.08.008" TargetMode="External"/><Relationship Id="rId14" Type="http://schemas.openxmlformats.org/officeDocument/2006/relationships/hyperlink" Target="https://doi.org/10.1093/ageing/afac077" TargetMode="External"/><Relationship Id="rId22" Type="http://schemas.openxmlformats.org/officeDocument/2006/relationships/hyperlink" Target="https://doi.org/10.1176/appi.ps.202000004"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doi.org/10.1038/s41537-023-00396-3" TargetMode="External"/><Relationship Id="rId8" Type="http://schemas.openxmlformats.org/officeDocument/2006/relationships/hyperlink" Target="https://doi.org/10.5152/alphapsychiatry.2022.2173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3167</Words>
  <Characters>19641</Characters>
  <Application>Microsoft Office Word</Application>
  <DocSecurity>0</DocSecurity>
  <Lines>701</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Onyima, Doris</cp:lastModifiedBy>
  <cp:revision>2</cp:revision>
  <dcterms:created xsi:type="dcterms:W3CDTF">2024-04-13T22:55:00Z</dcterms:created>
  <dcterms:modified xsi:type="dcterms:W3CDTF">2024-04-13T22:55:00Z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b626803a380b747879b0404e8812383295baa8a7ee624b56f30a417fa60be1a6</vt:lpwstr>
  </property>
</Properties>
</file>