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378FD" w14:textId="601ACC92" w:rsidR="00E21A43" w:rsidRDefault="00E21A43" w:rsidP="00E21A43">
      <w:pPr>
        <w:spacing w:after="0" w:line="480" w:lineRule="auto"/>
        <w:jc w:val="center"/>
        <w:rPr>
          <w:rFonts w:ascii="Times New Roman" w:hAnsi="Times New Roman" w:cs="Times New Roman"/>
          <w:sz w:val="24"/>
          <w:szCs w:val="24"/>
        </w:rPr>
      </w:pPr>
    </w:p>
    <w:p w14:paraId="7F26EA81" w14:textId="12FF6588" w:rsidR="00E21A43" w:rsidRDefault="00E21A43" w:rsidP="00E21A43">
      <w:pPr>
        <w:spacing w:after="0" w:line="480" w:lineRule="auto"/>
        <w:jc w:val="center"/>
        <w:rPr>
          <w:rFonts w:ascii="Times New Roman" w:hAnsi="Times New Roman" w:cs="Times New Roman"/>
          <w:sz w:val="24"/>
          <w:szCs w:val="24"/>
        </w:rPr>
      </w:pPr>
    </w:p>
    <w:p w14:paraId="6AE6BFE3" w14:textId="315C4B1F" w:rsidR="00E21A43" w:rsidRDefault="00E21A43" w:rsidP="00E21A43">
      <w:pPr>
        <w:spacing w:after="0" w:line="480" w:lineRule="auto"/>
        <w:jc w:val="center"/>
        <w:rPr>
          <w:rFonts w:ascii="Times New Roman" w:hAnsi="Times New Roman" w:cs="Times New Roman"/>
          <w:sz w:val="24"/>
          <w:szCs w:val="24"/>
        </w:rPr>
      </w:pPr>
    </w:p>
    <w:p w14:paraId="3CBAAE37" w14:textId="694976D3" w:rsidR="00E21A43" w:rsidRDefault="00E21A43" w:rsidP="00E21A43">
      <w:pPr>
        <w:spacing w:after="0" w:line="480" w:lineRule="auto"/>
        <w:jc w:val="center"/>
        <w:rPr>
          <w:rFonts w:ascii="Times New Roman" w:hAnsi="Times New Roman" w:cs="Times New Roman"/>
          <w:sz w:val="24"/>
          <w:szCs w:val="24"/>
        </w:rPr>
      </w:pPr>
    </w:p>
    <w:p w14:paraId="426073F0" w14:textId="77777777" w:rsidR="00E21A43" w:rsidRDefault="00E21A43" w:rsidP="00E21A43">
      <w:pPr>
        <w:spacing w:after="0" w:line="480" w:lineRule="auto"/>
        <w:jc w:val="center"/>
        <w:rPr>
          <w:rFonts w:ascii="Times New Roman" w:hAnsi="Times New Roman" w:cs="Times New Roman"/>
          <w:sz w:val="24"/>
          <w:szCs w:val="24"/>
        </w:rPr>
      </w:pPr>
    </w:p>
    <w:p w14:paraId="67E35077" w14:textId="1692D720" w:rsidR="00E21A43" w:rsidRDefault="00E21A43" w:rsidP="00E21A43">
      <w:pPr>
        <w:spacing w:after="0" w:line="480" w:lineRule="auto"/>
        <w:jc w:val="center"/>
        <w:rPr>
          <w:rFonts w:ascii="Times New Roman" w:hAnsi="Times New Roman" w:cs="Times New Roman"/>
          <w:sz w:val="24"/>
          <w:szCs w:val="24"/>
        </w:rPr>
      </w:pPr>
    </w:p>
    <w:p w14:paraId="1A539DB3" w14:textId="14D5A2EA" w:rsidR="00E21A43" w:rsidRDefault="00E21A43" w:rsidP="00E21A43">
      <w:pPr>
        <w:spacing w:after="0" w:line="480" w:lineRule="auto"/>
        <w:jc w:val="center"/>
        <w:rPr>
          <w:rFonts w:ascii="Times New Roman" w:hAnsi="Times New Roman" w:cs="Times New Roman"/>
          <w:sz w:val="24"/>
          <w:szCs w:val="24"/>
        </w:rPr>
      </w:pPr>
    </w:p>
    <w:p w14:paraId="62D7980A" w14:textId="03F097D8" w:rsidR="00E21A43" w:rsidRDefault="00E21A43" w:rsidP="00E21A43">
      <w:pPr>
        <w:spacing w:after="0" w:line="480" w:lineRule="auto"/>
        <w:jc w:val="center"/>
        <w:rPr>
          <w:rFonts w:ascii="Times New Roman" w:hAnsi="Times New Roman" w:cs="Times New Roman"/>
          <w:sz w:val="24"/>
          <w:szCs w:val="24"/>
        </w:rPr>
      </w:pPr>
    </w:p>
    <w:p w14:paraId="0CC54296" w14:textId="77777777" w:rsidR="00E21A43" w:rsidRDefault="00E21A43" w:rsidP="00E21A43">
      <w:pPr>
        <w:tabs>
          <w:tab w:val="center" w:pos="4680"/>
          <w:tab w:val="left" w:pos="6270"/>
        </w:tabs>
        <w:spacing w:after="0" w:line="480" w:lineRule="auto"/>
        <w:jc w:val="center"/>
        <w:rPr>
          <w:rFonts w:ascii="Times New Roman" w:hAnsi="Times New Roman" w:cs="Times New Roman"/>
          <w:b/>
          <w:sz w:val="24"/>
          <w:szCs w:val="24"/>
        </w:rPr>
      </w:pPr>
      <w:r w:rsidRPr="004D2A0A">
        <w:rPr>
          <w:rFonts w:ascii="Times New Roman" w:hAnsi="Times New Roman" w:cs="Times New Roman"/>
          <w:b/>
          <w:sz w:val="24"/>
          <w:szCs w:val="24"/>
        </w:rPr>
        <w:t xml:space="preserve">Culture Paper Draft </w:t>
      </w:r>
      <w:r>
        <w:rPr>
          <w:rFonts w:ascii="Times New Roman" w:hAnsi="Times New Roman" w:cs="Times New Roman"/>
          <w:b/>
          <w:sz w:val="24"/>
          <w:szCs w:val="24"/>
        </w:rPr>
        <w:t>I</w:t>
      </w:r>
    </w:p>
    <w:p w14:paraId="06983C34" w14:textId="77777777" w:rsidR="00E21A43" w:rsidRDefault="00E21A43" w:rsidP="00E21A43">
      <w:pPr>
        <w:tabs>
          <w:tab w:val="center" w:pos="4680"/>
          <w:tab w:val="left" w:pos="627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194A43DA" w14:textId="77777777" w:rsidR="00E21A43" w:rsidRDefault="00E21A43" w:rsidP="00E21A43">
      <w:pPr>
        <w:tabs>
          <w:tab w:val="center" w:pos="4680"/>
          <w:tab w:val="left" w:pos="627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14:paraId="5119B512" w14:textId="77777777" w:rsidR="00E21A43" w:rsidRDefault="00E21A43" w:rsidP="00E21A43">
      <w:pPr>
        <w:tabs>
          <w:tab w:val="center" w:pos="4680"/>
          <w:tab w:val="left" w:pos="627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62445A30" w14:textId="77777777" w:rsidR="00E21A43" w:rsidRDefault="00E21A43" w:rsidP="00E21A43">
      <w:pPr>
        <w:tabs>
          <w:tab w:val="center" w:pos="4680"/>
          <w:tab w:val="left" w:pos="627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7344DDCB" w14:textId="77777777" w:rsidR="00E21A43" w:rsidRDefault="00E21A43" w:rsidP="00E21A43">
      <w:pPr>
        <w:tabs>
          <w:tab w:val="center" w:pos="4680"/>
          <w:tab w:val="left" w:pos="627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14:paraId="33FDA657" w14:textId="77777777" w:rsidR="00E21A43" w:rsidRDefault="00E21A43" w:rsidP="00E21A43">
      <w:pPr>
        <w:rPr>
          <w:rFonts w:ascii="Times New Roman" w:hAnsi="Times New Roman" w:cs="Times New Roman"/>
          <w:sz w:val="24"/>
          <w:szCs w:val="24"/>
        </w:rPr>
      </w:pPr>
      <w:r>
        <w:rPr>
          <w:rFonts w:ascii="Times New Roman" w:hAnsi="Times New Roman" w:cs="Times New Roman"/>
          <w:sz w:val="24"/>
          <w:szCs w:val="24"/>
        </w:rPr>
        <w:br w:type="page"/>
      </w:r>
    </w:p>
    <w:p w14:paraId="3FFDF5A3" w14:textId="5E66FCF2" w:rsidR="00E21A43" w:rsidRDefault="00E21A43" w:rsidP="00E21A43">
      <w:pPr>
        <w:tabs>
          <w:tab w:val="center" w:pos="4680"/>
          <w:tab w:val="left" w:pos="6270"/>
        </w:tabs>
        <w:spacing w:after="0" w:line="480" w:lineRule="auto"/>
        <w:jc w:val="center"/>
        <w:rPr>
          <w:rFonts w:ascii="Times New Roman" w:hAnsi="Times New Roman" w:cs="Times New Roman"/>
          <w:sz w:val="24"/>
          <w:szCs w:val="24"/>
        </w:rPr>
      </w:pPr>
      <w:r w:rsidRPr="004D2A0A">
        <w:rPr>
          <w:rFonts w:ascii="Times New Roman" w:hAnsi="Times New Roman" w:cs="Times New Roman"/>
          <w:b/>
          <w:sz w:val="24"/>
          <w:szCs w:val="24"/>
        </w:rPr>
        <w:lastRenderedPageBreak/>
        <w:t>Culture Paper Draft I</w:t>
      </w:r>
      <w:r w:rsidR="002B73F2">
        <w:rPr>
          <w:rFonts w:ascii="Times New Roman" w:hAnsi="Times New Roman" w:cs="Times New Roman"/>
          <w:b/>
          <w:sz w:val="24"/>
          <w:szCs w:val="24"/>
        </w:rPr>
        <w:t>I</w:t>
      </w:r>
      <w:bookmarkStart w:id="0" w:name="_GoBack"/>
      <w:bookmarkEnd w:id="0"/>
    </w:p>
    <w:p w14:paraId="79A4DB98" w14:textId="0C946A02" w:rsidR="00E02814" w:rsidRDefault="00E02814" w:rsidP="00E0281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Poverty in urban settings in the US remains relatively higher than in comparable developed countries and a persistent challenge of the twenty-first century. Although multiple efforts to reduce the problem have emerged, the rates remain disproportionately high in marginalized groups such as immigrants and racial/ethnic minorities. Conventionally, the population lives in inner-city neighborhoods that experience social and economic isolation, deprivation, and poor access to services</w:t>
      </w:r>
      <w:r w:rsidR="002A1C73">
        <w:rPr>
          <w:rFonts w:ascii="Times New Roman" w:hAnsi="Times New Roman" w:cs="Times New Roman"/>
          <w:sz w:val="24"/>
          <w:szCs w:val="24"/>
        </w:rPr>
        <w:t xml:space="preserve"> (Beech et al., 2021)</w:t>
      </w:r>
      <w:r>
        <w:rPr>
          <w:rFonts w:ascii="Times New Roman" w:hAnsi="Times New Roman" w:cs="Times New Roman"/>
          <w:sz w:val="24"/>
          <w:szCs w:val="24"/>
        </w:rPr>
        <w:t xml:space="preserve">. A culturally competent approach to care delivery is required in addressing the health challenges that the population faces. Adopting the approach would enable tailoring and individualizing care according to the group’s and individuals’ needs. </w:t>
      </w:r>
    </w:p>
    <w:p w14:paraId="44894DE2" w14:textId="2BDC40F9" w:rsidR="00E02814" w:rsidRDefault="00E02814" w:rsidP="00E0281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Poverty among urban dwellers influences the group’s economic status, which results in significant physical and mental health effects. The existing evidence illustrates that living in inner-city neighborhoods with a high prevalence of unemployment, violent crime, social exclusion, and housing instability exacerbates the effects on health outcomes </w:t>
      </w:r>
      <w:r>
        <w:rPr>
          <w:rFonts w:ascii="Times New Roman" w:hAnsi="Times New Roman" w:cs="Times New Roman"/>
          <w:sz w:val="24"/>
          <w:szCs w:val="24"/>
        </w:rPr>
        <w:t xml:space="preserve">(Beech et al., 2021; </w:t>
      </w:r>
      <w:proofErr w:type="spellStart"/>
      <w:r>
        <w:rPr>
          <w:rFonts w:ascii="Times New Roman" w:hAnsi="Times New Roman" w:cs="Times New Roman"/>
          <w:sz w:val="24"/>
          <w:szCs w:val="24"/>
        </w:rPr>
        <w:t>Egede</w:t>
      </w:r>
      <w:proofErr w:type="spellEnd"/>
      <w:r>
        <w:rPr>
          <w:rFonts w:ascii="Times New Roman" w:hAnsi="Times New Roman" w:cs="Times New Roman"/>
          <w:sz w:val="24"/>
          <w:szCs w:val="24"/>
        </w:rPr>
        <w:t xml:space="preserve"> et al., 2021). In addition, structural factors, including systemic racism, discrimination, and gaps in public policy perpetuate the cycle of intergenerational poverty</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Consequently, this results in a disproportionate exposure to social determinants risk factors that increase the group’s vulnerability to poor health. The complex relationship between poverty and health requires a nursing workforce equipped with adequate cultural skills and knowledge to meet the health and social needs of this group. </w:t>
      </w:r>
    </w:p>
    <w:p w14:paraId="4D6BBD9B" w14:textId="310DD768" w:rsidR="002F175F" w:rsidRDefault="00E02814" w:rsidP="00E0281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regard, this paper examines the demographics of this group and the importance of cultural competence in addressing the adverse health outcomes. It further explored the application of transcultural nursing theories in understanding and addressing unique challenges </w:t>
      </w:r>
      <w:r>
        <w:rPr>
          <w:rFonts w:ascii="Times New Roman" w:hAnsi="Times New Roman" w:cs="Times New Roman"/>
          <w:sz w:val="24"/>
          <w:szCs w:val="24"/>
        </w:rPr>
        <w:lastRenderedPageBreak/>
        <w:t xml:space="preserve">in delivering care to the diverse urban population living in poverty based on the </w:t>
      </w:r>
      <w:proofErr w:type="spellStart"/>
      <w:r>
        <w:rPr>
          <w:rFonts w:ascii="Times New Roman" w:hAnsi="Times New Roman" w:cs="Times New Roman"/>
          <w:sz w:val="24"/>
          <w:szCs w:val="24"/>
        </w:rPr>
        <w:t>Campinha-Bacote</w:t>
      </w:r>
      <w:proofErr w:type="spellEnd"/>
      <w:r>
        <w:rPr>
          <w:rFonts w:ascii="Times New Roman" w:hAnsi="Times New Roman" w:cs="Times New Roman"/>
          <w:sz w:val="24"/>
          <w:szCs w:val="24"/>
        </w:rPr>
        <w:t xml:space="preserve"> Model. Moreover, it discusses the role of advanced practice registered nurses (APRNs) in ensuring cultural competence in care delivery with the aim of enhancing health equity and reducing health disparities. </w:t>
      </w:r>
    </w:p>
    <w:p w14:paraId="7B0D8F6A" w14:textId="7B3BEE56" w:rsidR="00E02814" w:rsidRDefault="00E02814" w:rsidP="00E0281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Definition of the Group</w:t>
      </w:r>
    </w:p>
    <w:p w14:paraId="0A3FD142" w14:textId="77777777" w:rsidR="00E02814" w:rsidRDefault="00E02814" w:rsidP="00E0281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Broadly, the urban poor population refers to city dwellers with limited economic security and social mobility who face notable challenges in negotiating society pertinent to education, employment, housing, and healthcare (Beech et al., 2021; </w:t>
      </w:r>
      <w:proofErr w:type="spellStart"/>
      <w:r>
        <w:rPr>
          <w:rFonts w:ascii="Times New Roman" w:hAnsi="Times New Roman" w:cs="Times New Roman"/>
          <w:sz w:val="24"/>
          <w:szCs w:val="24"/>
        </w:rPr>
        <w:t>Egede</w:t>
      </w:r>
      <w:proofErr w:type="spellEnd"/>
      <w:r>
        <w:rPr>
          <w:rFonts w:ascii="Times New Roman" w:hAnsi="Times New Roman" w:cs="Times New Roman"/>
          <w:sz w:val="24"/>
          <w:szCs w:val="24"/>
        </w:rPr>
        <w:t xml:space="preserve"> et al., 2021). Poverty is prevalent in inner-city neighborhoods that experience continued environmental, social, and economic deterioration from systematic resource removal and persistent segregation and isolation (</w:t>
      </w:r>
      <w:proofErr w:type="spellStart"/>
      <w:r>
        <w:rPr>
          <w:rFonts w:ascii="Times New Roman" w:hAnsi="Times New Roman" w:cs="Times New Roman"/>
          <w:sz w:val="24"/>
          <w:szCs w:val="24"/>
        </w:rPr>
        <w:t>Egede</w:t>
      </w:r>
      <w:proofErr w:type="spellEnd"/>
      <w:r>
        <w:rPr>
          <w:rFonts w:ascii="Times New Roman" w:hAnsi="Times New Roman" w:cs="Times New Roman"/>
          <w:sz w:val="24"/>
          <w:szCs w:val="24"/>
        </w:rPr>
        <w:t xml:space="preserve"> et al., 2021). According to </w:t>
      </w:r>
      <w:r w:rsidRPr="00725C52">
        <w:rPr>
          <w:rFonts w:ascii="Times New Roman" w:hAnsi="Times New Roman" w:cs="Times New Roman"/>
          <w:sz w:val="24"/>
          <w:szCs w:val="24"/>
        </w:rPr>
        <w:t>Desmond (2023),</w:t>
      </w:r>
      <w:r>
        <w:rPr>
          <w:rFonts w:ascii="Times New Roman" w:hAnsi="Times New Roman" w:cs="Times New Roman"/>
          <w:b/>
          <w:sz w:val="24"/>
          <w:szCs w:val="24"/>
        </w:rPr>
        <w:t xml:space="preserve"> </w:t>
      </w:r>
      <w:r>
        <w:rPr>
          <w:rFonts w:ascii="Times New Roman" w:hAnsi="Times New Roman" w:cs="Times New Roman"/>
          <w:sz w:val="24"/>
          <w:szCs w:val="24"/>
        </w:rPr>
        <w:t xml:space="preserve">people living in poverty across the country receive lower public aid compared to those from wealthy backgrounds, which reproduces the cycle of poverty. In addition, the urban poor population is exposed to higher levels of violent crime, unemployment, gun violence, mass incarceration, housing insecurity and evictions, and challenges in accessing healthcare services (Brady, 2023). Consequently, this leads to a disproportionate burden of mental health disorders because of the socioeconomic disadvantage. </w:t>
      </w:r>
    </w:p>
    <w:p w14:paraId="45335972" w14:textId="69CF85CB" w:rsidR="00E02814" w:rsidRDefault="00E02814" w:rsidP="00E02814">
      <w:pPr>
        <w:spacing w:after="0" w:line="480" w:lineRule="auto"/>
        <w:rPr>
          <w:rFonts w:ascii="Times New Roman" w:hAnsi="Times New Roman" w:cs="Times New Roman"/>
          <w:b/>
          <w:sz w:val="24"/>
          <w:szCs w:val="24"/>
        </w:rPr>
      </w:pPr>
      <w:r>
        <w:rPr>
          <w:rFonts w:ascii="Times New Roman" w:hAnsi="Times New Roman" w:cs="Times New Roman"/>
          <w:b/>
          <w:sz w:val="24"/>
          <w:szCs w:val="24"/>
        </w:rPr>
        <w:t>Demographic and Socioeconomic Status</w:t>
      </w:r>
    </w:p>
    <w:p w14:paraId="594C9B87" w14:textId="4F9E5304" w:rsidR="00E02814" w:rsidRDefault="00E02814" w:rsidP="00E02814">
      <w:pPr>
        <w:spacing w:after="0" w:line="480" w:lineRule="auto"/>
        <w:rPr>
          <w:rFonts w:ascii="Times New Roman" w:hAnsi="Times New Roman" w:cs="Times New Roman"/>
          <w:sz w:val="24"/>
          <w:szCs w:val="24"/>
        </w:rPr>
      </w:pPr>
      <w:r w:rsidRPr="00E02814">
        <w:rPr>
          <w:rFonts w:ascii="Times New Roman" w:hAnsi="Times New Roman" w:cs="Times New Roman"/>
          <w:sz w:val="24"/>
          <w:szCs w:val="24"/>
        </w:rPr>
        <w:tab/>
        <w:t xml:space="preserve">Urban poverty </w:t>
      </w:r>
      <w:r>
        <w:rPr>
          <w:rFonts w:ascii="Times New Roman" w:hAnsi="Times New Roman" w:cs="Times New Roman"/>
          <w:sz w:val="24"/>
          <w:szCs w:val="24"/>
        </w:rPr>
        <w:t xml:space="preserve">primarily affects the racial and ethnic minorities, people living in densely populated metropolitan areas, and undocumented immigrants. Compared to their suburban counterparts, individuals living in poverty within urban areas have experienced long-standing disparities that could be linked to systemic socioeconomic exclusion and inequality. </w:t>
      </w:r>
      <w:r w:rsidR="00C432EF">
        <w:rPr>
          <w:rFonts w:ascii="Times New Roman" w:hAnsi="Times New Roman" w:cs="Times New Roman"/>
          <w:sz w:val="24"/>
          <w:szCs w:val="24"/>
        </w:rPr>
        <w:t xml:space="preserve">According to </w:t>
      </w:r>
      <w:r w:rsidR="00C432EF" w:rsidRPr="002A1C73">
        <w:rPr>
          <w:rFonts w:ascii="Times New Roman" w:hAnsi="Times New Roman" w:cs="Times New Roman"/>
          <w:sz w:val="24"/>
          <w:szCs w:val="24"/>
        </w:rPr>
        <w:t>Iceland (2021),</w:t>
      </w:r>
      <w:r w:rsidR="00C432EF">
        <w:rPr>
          <w:rFonts w:ascii="Times New Roman" w:hAnsi="Times New Roman" w:cs="Times New Roman"/>
          <w:b/>
          <w:sz w:val="24"/>
          <w:szCs w:val="24"/>
        </w:rPr>
        <w:t xml:space="preserve"> </w:t>
      </w:r>
      <w:r w:rsidR="00C432EF">
        <w:rPr>
          <w:rFonts w:ascii="Times New Roman" w:hAnsi="Times New Roman" w:cs="Times New Roman"/>
          <w:sz w:val="24"/>
          <w:szCs w:val="24"/>
        </w:rPr>
        <w:t xml:space="preserve">urban poverty affects African Americans, Native Americans, and Hispanics </w:t>
      </w:r>
      <w:r w:rsidR="00C432EF">
        <w:rPr>
          <w:rFonts w:ascii="Times New Roman" w:hAnsi="Times New Roman" w:cs="Times New Roman"/>
          <w:sz w:val="24"/>
          <w:szCs w:val="24"/>
        </w:rPr>
        <w:lastRenderedPageBreak/>
        <w:t>disproportionately. Almost 30% of African Americans live in socioeconomically disadvantaged neighborhoods compared to 4.5% of non-Hispanic Whites (</w:t>
      </w:r>
      <w:r w:rsidR="002A1C73">
        <w:rPr>
          <w:rFonts w:ascii="Times New Roman" w:hAnsi="Times New Roman" w:cs="Times New Roman"/>
          <w:sz w:val="24"/>
          <w:szCs w:val="24"/>
        </w:rPr>
        <w:t>Christie-Mizell, 2022</w:t>
      </w:r>
      <w:r w:rsidR="00C432EF">
        <w:rPr>
          <w:rFonts w:ascii="Times New Roman" w:hAnsi="Times New Roman" w:cs="Times New Roman"/>
          <w:sz w:val="24"/>
          <w:szCs w:val="24"/>
        </w:rPr>
        <w:t>). The poverty rates among African Americans in urban areas is almost twice that of non-Hispanic Whites (</w:t>
      </w:r>
      <w:r w:rsidR="00C432EF" w:rsidRPr="002A1C73">
        <w:rPr>
          <w:rFonts w:ascii="Times New Roman" w:hAnsi="Times New Roman" w:cs="Times New Roman"/>
          <w:sz w:val="24"/>
          <w:szCs w:val="24"/>
        </w:rPr>
        <w:t>Iceland, 2021</w:t>
      </w:r>
      <w:r w:rsidR="00C432EF">
        <w:rPr>
          <w:rFonts w:ascii="Times New Roman" w:hAnsi="Times New Roman" w:cs="Times New Roman"/>
          <w:b/>
          <w:sz w:val="24"/>
          <w:szCs w:val="24"/>
        </w:rPr>
        <w:t>)</w:t>
      </w:r>
      <w:r w:rsidR="00C432EF">
        <w:rPr>
          <w:rFonts w:ascii="Times New Roman" w:hAnsi="Times New Roman" w:cs="Times New Roman"/>
          <w:sz w:val="24"/>
          <w:szCs w:val="24"/>
        </w:rPr>
        <w:t>. Similarly, Native Americans and Hispanics face disproportionate levels of socioeconomic deprivation that expose them to poverty.</w:t>
      </w:r>
    </w:p>
    <w:p w14:paraId="3AF6D181" w14:textId="3E725258" w:rsidR="00C432EF" w:rsidRDefault="00C432EF" w:rsidP="00E0281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Refugees and immigrants without legal status form another vulnerable urban population that faces high levels of poverty. </w:t>
      </w:r>
      <w:r w:rsidR="00AB3697">
        <w:rPr>
          <w:rFonts w:ascii="Times New Roman" w:hAnsi="Times New Roman" w:cs="Times New Roman"/>
          <w:sz w:val="24"/>
          <w:szCs w:val="24"/>
        </w:rPr>
        <w:t>While many immigrants who have resided in the US for at least 10 years live at or above the federal poverty level (</w:t>
      </w:r>
      <w:proofErr w:type="spellStart"/>
      <w:r w:rsidR="002A1C73">
        <w:rPr>
          <w:rFonts w:ascii="Times New Roman" w:hAnsi="Times New Roman" w:cs="Times New Roman"/>
          <w:sz w:val="24"/>
          <w:szCs w:val="24"/>
        </w:rPr>
        <w:t>Balakrishan</w:t>
      </w:r>
      <w:proofErr w:type="spellEnd"/>
      <w:r w:rsidR="002A1C73">
        <w:rPr>
          <w:rFonts w:ascii="Times New Roman" w:hAnsi="Times New Roman" w:cs="Times New Roman"/>
          <w:sz w:val="24"/>
          <w:szCs w:val="24"/>
        </w:rPr>
        <w:t xml:space="preserve"> &amp; Jordan, 2019</w:t>
      </w:r>
      <w:r w:rsidR="00AB3697">
        <w:rPr>
          <w:rFonts w:ascii="Times New Roman" w:hAnsi="Times New Roman" w:cs="Times New Roman"/>
          <w:sz w:val="24"/>
          <w:szCs w:val="24"/>
        </w:rPr>
        <w:t>), many of the recent immigrants from Latin America live in poverty. For example, about 32% of undocumented immigrants in Texas live below the federal poverty level (</w:t>
      </w:r>
      <w:r w:rsidR="002A1C73">
        <w:rPr>
          <w:rFonts w:ascii="Times New Roman" w:hAnsi="Times New Roman" w:cs="Times New Roman"/>
          <w:sz w:val="24"/>
          <w:szCs w:val="24"/>
        </w:rPr>
        <w:t>Clarke et al., 2020)</w:t>
      </w:r>
      <w:r w:rsidR="00AB3697" w:rsidRPr="002A1C73">
        <w:rPr>
          <w:rFonts w:ascii="Times New Roman" w:hAnsi="Times New Roman" w:cs="Times New Roman"/>
          <w:sz w:val="24"/>
          <w:szCs w:val="24"/>
        </w:rPr>
        <w:t>.</w:t>
      </w:r>
      <w:r w:rsidR="00AB3697">
        <w:rPr>
          <w:rFonts w:ascii="Times New Roman" w:hAnsi="Times New Roman" w:cs="Times New Roman"/>
          <w:b/>
          <w:sz w:val="24"/>
          <w:szCs w:val="24"/>
        </w:rPr>
        <w:t xml:space="preserve"> </w:t>
      </w:r>
      <w:r w:rsidR="00AB3697">
        <w:rPr>
          <w:rFonts w:ascii="Times New Roman" w:hAnsi="Times New Roman" w:cs="Times New Roman"/>
          <w:sz w:val="24"/>
          <w:szCs w:val="24"/>
        </w:rPr>
        <w:t xml:space="preserve">The subgroup experiences challenges such as limited access to health care services, unstable employment, barriers to educational advancement, and systemic discrimination that compound their problems (Brady, 2023). Limited English proficiency and the fear of deportation result in many undocumented immigrants working in low-wage jobs. Moreover, a significant proportion of them face homelessness or housing insecurity because they cannot afford adequate housing in urban areas (Desmond, 2023). Consequently, this results in many families of undocumented immigrants living in overcrowded and substandard housing, exacerbating their health inequalities. </w:t>
      </w:r>
    </w:p>
    <w:p w14:paraId="62744B40" w14:textId="0BDE11F7" w:rsidR="00AB3697" w:rsidRDefault="00AB3697" w:rsidP="00E02814">
      <w:pPr>
        <w:spacing w:after="0" w:line="480" w:lineRule="auto"/>
        <w:rPr>
          <w:rFonts w:ascii="Times New Roman" w:hAnsi="Times New Roman" w:cs="Times New Roman"/>
          <w:sz w:val="24"/>
          <w:szCs w:val="24"/>
        </w:rPr>
      </w:pPr>
      <w:r>
        <w:rPr>
          <w:rFonts w:ascii="Times New Roman" w:hAnsi="Times New Roman" w:cs="Times New Roman"/>
          <w:sz w:val="24"/>
          <w:szCs w:val="24"/>
        </w:rPr>
        <w:tab/>
        <w:t>As a whole, the urban poor face disproportionately high unemployment rates. According to</w:t>
      </w:r>
      <w:r w:rsidR="002A1C73">
        <w:rPr>
          <w:rFonts w:ascii="Times New Roman" w:hAnsi="Times New Roman" w:cs="Times New Roman"/>
          <w:sz w:val="24"/>
          <w:szCs w:val="24"/>
        </w:rPr>
        <w:t xml:space="preserve"> </w:t>
      </w:r>
      <w:proofErr w:type="spellStart"/>
      <w:r w:rsidR="002A1C73">
        <w:rPr>
          <w:rFonts w:ascii="Times New Roman" w:hAnsi="Times New Roman" w:cs="Times New Roman"/>
          <w:sz w:val="24"/>
          <w:szCs w:val="24"/>
        </w:rPr>
        <w:t>Gemelas</w:t>
      </w:r>
      <w:proofErr w:type="spellEnd"/>
      <w:r w:rsidR="002A1C73">
        <w:rPr>
          <w:rFonts w:ascii="Times New Roman" w:hAnsi="Times New Roman" w:cs="Times New Roman"/>
          <w:sz w:val="24"/>
          <w:szCs w:val="24"/>
        </w:rPr>
        <w:t xml:space="preserve"> et al. (2022)</w:t>
      </w:r>
      <w:r>
        <w:rPr>
          <w:rFonts w:ascii="Times New Roman" w:hAnsi="Times New Roman" w:cs="Times New Roman"/>
          <w:sz w:val="24"/>
          <w:szCs w:val="24"/>
        </w:rPr>
        <w:t xml:space="preserve">, structural racism </w:t>
      </w:r>
      <w:r w:rsidR="00B336EB">
        <w:rPr>
          <w:rFonts w:ascii="Times New Roman" w:hAnsi="Times New Roman" w:cs="Times New Roman"/>
          <w:sz w:val="24"/>
          <w:szCs w:val="24"/>
        </w:rPr>
        <w:t xml:space="preserve">has exacerbated the problem, with significant decline in the number, quality, and types of jobs available for the people of color living in urban areas. With the gradual collapse of the industrial sectors, many racial/ethnic minorities living in urban areas found themselves without stable employment. In turn, unemployment limits the group’s </w:t>
      </w:r>
      <w:r w:rsidR="00B336EB">
        <w:rPr>
          <w:rFonts w:ascii="Times New Roman" w:hAnsi="Times New Roman" w:cs="Times New Roman"/>
          <w:sz w:val="24"/>
          <w:szCs w:val="24"/>
        </w:rPr>
        <w:lastRenderedPageBreak/>
        <w:t>access to health insurance, contributing to the cycle of economic insecurity and poor health outcomes (</w:t>
      </w:r>
      <w:proofErr w:type="spellStart"/>
      <w:r w:rsidR="002A1C73">
        <w:rPr>
          <w:rFonts w:ascii="Times New Roman" w:hAnsi="Times New Roman" w:cs="Times New Roman"/>
          <w:sz w:val="24"/>
          <w:szCs w:val="24"/>
        </w:rPr>
        <w:t>Venkataramani</w:t>
      </w:r>
      <w:proofErr w:type="spellEnd"/>
      <w:r w:rsidR="002A1C73">
        <w:rPr>
          <w:rFonts w:ascii="Times New Roman" w:hAnsi="Times New Roman" w:cs="Times New Roman"/>
          <w:sz w:val="24"/>
          <w:szCs w:val="24"/>
        </w:rPr>
        <w:t xml:space="preserve"> et al., 2020</w:t>
      </w:r>
      <w:r w:rsidR="00B336EB" w:rsidRPr="002A1C73">
        <w:rPr>
          <w:rFonts w:ascii="Times New Roman" w:hAnsi="Times New Roman" w:cs="Times New Roman"/>
          <w:sz w:val="24"/>
          <w:szCs w:val="24"/>
        </w:rPr>
        <w:t>).</w:t>
      </w:r>
      <w:r w:rsidR="00B336EB">
        <w:rPr>
          <w:rFonts w:ascii="Times New Roman" w:hAnsi="Times New Roman" w:cs="Times New Roman"/>
          <w:b/>
          <w:sz w:val="24"/>
          <w:szCs w:val="24"/>
        </w:rPr>
        <w:t xml:space="preserve"> </w:t>
      </w:r>
      <w:r w:rsidR="00B336EB">
        <w:rPr>
          <w:rFonts w:ascii="Times New Roman" w:hAnsi="Times New Roman" w:cs="Times New Roman"/>
          <w:sz w:val="24"/>
          <w:szCs w:val="24"/>
        </w:rPr>
        <w:t xml:space="preserve">In addition, this population has inadequate access to educational opportunities, which perpetuates the cycle of poverty. Indeed, research shows that children growing in deprived neighborhoods have low high school completion rates and likelihood to pursue higher education </w:t>
      </w:r>
      <w:r w:rsidR="00B336EB" w:rsidRPr="00F32015">
        <w:rPr>
          <w:rFonts w:ascii="Times New Roman" w:hAnsi="Times New Roman" w:cs="Times New Roman"/>
          <w:sz w:val="24"/>
          <w:szCs w:val="24"/>
        </w:rPr>
        <w:t>(</w:t>
      </w:r>
      <w:r w:rsidR="00F32015" w:rsidRPr="00F32015">
        <w:rPr>
          <w:rFonts w:ascii="Times New Roman" w:hAnsi="Times New Roman" w:cs="Times New Roman"/>
          <w:sz w:val="24"/>
          <w:szCs w:val="24"/>
        </w:rPr>
        <w:t>Gunning, 2022</w:t>
      </w:r>
      <w:r w:rsidR="00B336EB" w:rsidRPr="00F32015">
        <w:rPr>
          <w:rFonts w:ascii="Times New Roman" w:hAnsi="Times New Roman" w:cs="Times New Roman"/>
          <w:sz w:val="24"/>
          <w:szCs w:val="24"/>
        </w:rPr>
        <w:t>).</w:t>
      </w:r>
      <w:r w:rsidR="00B336EB">
        <w:rPr>
          <w:rFonts w:ascii="Times New Roman" w:hAnsi="Times New Roman" w:cs="Times New Roman"/>
          <w:sz w:val="24"/>
          <w:szCs w:val="24"/>
        </w:rPr>
        <w:t xml:space="preserve"> According to </w:t>
      </w:r>
      <w:proofErr w:type="spellStart"/>
      <w:r w:rsidR="00B336EB" w:rsidRPr="00F32015">
        <w:rPr>
          <w:rFonts w:ascii="Times New Roman" w:hAnsi="Times New Roman" w:cs="Times New Roman"/>
          <w:sz w:val="24"/>
          <w:szCs w:val="24"/>
        </w:rPr>
        <w:t>Knifton</w:t>
      </w:r>
      <w:proofErr w:type="spellEnd"/>
      <w:r w:rsidR="00B336EB" w:rsidRPr="00F32015">
        <w:rPr>
          <w:rFonts w:ascii="Times New Roman" w:hAnsi="Times New Roman" w:cs="Times New Roman"/>
          <w:sz w:val="24"/>
          <w:szCs w:val="24"/>
        </w:rPr>
        <w:t xml:space="preserve"> and Inglis (2020), l</w:t>
      </w:r>
      <w:r w:rsidR="00B336EB">
        <w:rPr>
          <w:rFonts w:ascii="Times New Roman" w:hAnsi="Times New Roman" w:cs="Times New Roman"/>
          <w:sz w:val="24"/>
          <w:szCs w:val="24"/>
        </w:rPr>
        <w:t>ow educational attainment could hinder social mobility among the urban poor, leaving the subsequent generations in the continuous state of hardship.</w:t>
      </w:r>
      <w:r w:rsidR="00CB1BBE">
        <w:rPr>
          <w:rFonts w:ascii="Times New Roman" w:hAnsi="Times New Roman" w:cs="Times New Roman"/>
          <w:sz w:val="24"/>
          <w:szCs w:val="24"/>
        </w:rPr>
        <w:t xml:space="preserve"> In addition, the group’s socioeconomic status characterizes significant inequalities in access to resources. For example, many urban poor populations lack access to clean water, healthy food options, and health-promoting environments (</w:t>
      </w:r>
      <w:r w:rsidR="00CB1BBE" w:rsidRPr="00F32015">
        <w:rPr>
          <w:rFonts w:ascii="Times New Roman" w:hAnsi="Times New Roman" w:cs="Times New Roman"/>
          <w:sz w:val="24"/>
          <w:szCs w:val="24"/>
        </w:rPr>
        <w:t>Beech et al., 2021</w:t>
      </w:r>
      <w:r w:rsidR="00CB1BBE">
        <w:rPr>
          <w:rFonts w:ascii="Times New Roman" w:hAnsi="Times New Roman" w:cs="Times New Roman"/>
          <w:sz w:val="24"/>
          <w:szCs w:val="24"/>
        </w:rPr>
        <w:t xml:space="preserve">). The combination of unemployment, low income, limited education, and housing insecurity exacerbate the group’s vulnerability to mental health problems. </w:t>
      </w:r>
    </w:p>
    <w:p w14:paraId="65AC4650" w14:textId="5C37DAD6" w:rsidR="00CB1BBE" w:rsidRDefault="00CB1BBE" w:rsidP="00E02814">
      <w:pPr>
        <w:spacing w:after="0" w:line="480" w:lineRule="auto"/>
        <w:rPr>
          <w:rFonts w:ascii="Times New Roman" w:hAnsi="Times New Roman" w:cs="Times New Roman"/>
          <w:b/>
          <w:sz w:val="24"/>
          <w:szCs w:val="24"/>
        </w:rPr>
      </w:pPr>
      <w:r>
        <w:rPr>
          <w:rFonts w:ascii="Times New Roman" w:hAnsi="Times New Roman" w:cs="Times New Roman"/>
          <w:b/>
          <w:sz w:val="24"/>
          <w:szCs w:val="24"/>
        </w:rPr>
        <w:t>Cultural Norms and Traditions</w:t>
      </w:r>
    </w:p>
    <w:p w14:paraId="65D33B7A" w14:textId="20A4723E" w:rsidR="00CB1BBE" w:rsidRDefault="00A525A3" w:rsidP="00BD59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People living in poverty across the US characterize a diverse population with different cultural belief systems, traditions, and norms. Factors such as race, ethnicity, language, immigration status, and historical experiences of marginalization and oppression shape the group’s cultural diversity. The intra-group differences impact attitudes to healthcare, perceptions of health and illness, and health-seeking behaviors significantly. For example, African Americans, whether US-born or foreign-born, espouse </w:t>
      </w:r>
      <w:r w:rsidR="008F6126">
        <w:rPr>
          <w:rFonts w:ascii="Times New Roman" w:hAnsi="Times New Roman" w:cs="Times New Roman"/>
          <w:sz w:val="24"/>
          <w:szCs w:val="24"/>
        </w:rPr>
        <w:t xml:space="preserve">both </w:t>
      </w:r>
      <w:r>
        <w:rPr>
          <w:rFonts w:ascii="Times New Roman" w:hAnsi="Times New Roman" w:cs="Times New Roman"/>
          <w:sz w:val="24"/>
          <w:szCs w:val="24"/>
        </w:rPr>
        <w:t>collectivist</w:t>
      </w:r>
      <w:r w:rsidR="008F6126">
        <w:rPr>
          <w:rFonts w:ascii="Times New Roman" w:hAnsi="Times New Roman" w:cs="Times New Roman"/>
          <w:sz w:val="24"/>
          <w:szCs w:val="24"/>
        </w:rPr>
        <w:t xml:space="preserve"> and individualistic</w:t>
      </w:r>
      <w:r>
        <w:rPr>
          <w:rFonts w:ascii="Times New Roman" w:hAnsi="Times New Roman" w:cs="Times New Roman"/>
          <w:sz w:val="24"/>
          <w:szCs w:val="24"/>
        </w:rPr>
        <w:t xml:space="preserve"> </w:t>
      </w:r>
      <w:r w:rsidR="008F6126">
        <w:rPr>
          <w:rFonts w:ascii="Times New Roman" w:hAnsi="Times New Roman" w:cs="Times New Roman"/>
          <w:sz w:val="24"/>
          <w:szCs w:val="24"/>
        </w:rPr>
        <w:t xml:space="preserve">cultural </w:t>
      </w:r>
      <w:r>
        <w:rPr>
          <w:rFonts w:ascii="Times New Roman" w:hAnsi="Times New Roman" w:cs="Times New Roman"/>
          <w:sz w:val="24"/>
          <w:szCs w:val="24"/>
        </w:rPr>
        <w:t>values</w:t>
      </w:r>
      <w:r w:rsidR="008F6126">
        <w:rPr>
          <w:rFonts w:ascii="Times New Roman" w:hAnsi="Times New Roman" w:cs="Times New Roman"/>
          <w:sz w:val="24"/>
          <w:szCs w:val="24"/>
        </w:rPr>
        <w:t>.</w:t>
      </w:r>
      <w:r w:rsidR="00F32015">
        <w:rPr>
          <w:rFonts w:ascii="Times New Roman" w:hAnsi="Times New Roman" w:cs="Times New Roman"/>
          <w:sz w:val="24"/>
          <w:szCs w:val="24"/>
        </w:rPr>
        <w:t xml:space="preserve"> </w:t>
      </w:r>
      <w:r w:rsidR="008F6126">
        <w:rPr>
          <w:rFonts w:ascii="Times New Roman" w:hAnsi="Times New Roman" w:cs="Times New Roman"/>
          <w:sz w:val="24"/>
          <w:szCs w:val="24"/>
        </w:rPr>
        <w:t xml:space="preserve">As such, the group </w:t>
      </w:r>
      <w:r>
        <w:rPr>
          <w:rFonts w:ascii="Times New Roman" w:hAnsi="Times New Roman" w:cs="Times New Roman"/>
          <w:sz w:val="24"/>
          <w:szCs w:val="24"/>
        </w:rPr>
        <w:t>emphasiz</w:t>
      </w:r>
      <w:r w:rsidR="008F6126">
        <w:rPr>
          <w:rFonts w:ascii="Times New Roman" w:hAnsi="Times New Roman" w:cs="Times New Roman"/>
          <w:sz w:val="24"/>
          <w:szCs w:val="24"/>
        </w:rPr>
        <w:t>es</w:t>
      </w:r>
      <w:r>
        <w:rPr>
          <w:rFonts w:ascii="Times New Roman" w:hAnsi="Times New Roman" w:cs="Times New Roman"/>
          <w:sz w:val="24"/>
          <w:szCs w:val="24"/>
        </w:rPr>
        <w:t xml:space="preserve"> community bonding, family closeness, </w:t>
      </w:r>
      <w:r w:rsidR="008F6126">
        <w:rPr>
          <w:rFonts w:ascii="Times New Roman" w:hAnsi="Times New Roman" w:cs="Times New Roman"/>
          <w:sz w:val="24"/>
          <w:szCs w:val="24"/>
        </w:rPr>
        <w:t>solidarity, and individualistic values such as autonomy (</w:t>
      </w:r>
      <w:r w:rsidR="00F32015">
        <w:rPr>
          <w:rFonts w:ascii="Times New Roman" w:hAnsi="Times New Roman" w:cs="Times New Roman"/>
          <w:sz w:val="24"/>
          <w:szCs w:val="24"/>
        </w:rPr>
        <w:t>Smith et al., 2019</w:t>
      </w:r>
      <w:r w:rsidR="008F6126">
        <w:rPr>
          <w:rFonts w:ascii="Times New Roman" w:hAnsi="Times New Roman" w:cs="Times New Roman"/>
          <w:sz w:val="24"/>
          <w:szCs w:val="24"/>
        </w:rPr>
        <w:t>). The extensive family networks, kinship ties, and religious faith, and spirituality helps in coping with racism, as supported by</w:t>
      </w:r>
      <w:r w:rsidR="00F32015">
        <w:rPr>
          <w:rFonts w:ascii="Times New Roman" w:hAnsi="Times New Roman" w:cs="Times New Roman"/>
          <w:sz w:val="24"/>
          <w:szCs w:val="24"/>
        </w:rPr>
        <w:t xml:space="preserve"> Johnson and Carter (2020)</w:t>
      </w:r>
      <w:r w:rsidR="008F6126">
        <w:rPr>
          <w:rFonts w:ascii="Times New Roman" w:hAnsi="Times New Roman" w:cs="Times New Roman"/>
          <w:sz w:val="24"/>
          <w:szCs w:val="24"/>
        </w:rPr>
        <w:t xml:space="preserve">. At the same time, historical experiences </w:t>
      </w:r>
      <w:r w:rsidR="00BD5945">
        <w:rPr>
          <w:rFonts w:ascii="Times New Roman" w:hAnsi="Times New Roman" w:cs="Times New Roman"/>
          <w:sz w:val="24"/>
          <w:szCs w:val="24"/>
        </w:rPr>
        <w:t>of</w:t>
      </w:r>
      <w:r w:rsidR="008F6126">
        <w:rPr>
          <w:rFonts w:ascii="Times New Roman" w:hAnsi="Times New Roman" w:cs="Times New Roman"/>
          <w:sz w:val="24"/>
          <w:szCs w:val="24"/>
        </w:rPr>
        <w:t xml:space="preserve"> systemic racism</w:t>
      </w:r>
      <w:r w:rsidR="00BD5945">
        <w:rPr>
          <w:rFonts w:ascii="Times New Roman" w:hAnsi="Times New Roman" w:cs="Times New Roman"/>
          <w:sz w:val="24"/>
          <w:szCs w:val="24"/>
        </w:rPr>
        <w:t xml:space="preserve">, </w:t>
      </w:r>
      <w:r w:rsidR="00BD5945">
        <w:rPr>
          <w:rFonts w:ascii="Times New Roman" w:hAnsi="Times New Roman" w:cs="Times New Roman"/>
          <w:sz w:val="24"/>
          <w:szCs w:val="24"/>
        </w:rPr>
        <w:lastRenderedPageBreak/>
        <w:t>discrimination, and mistreatment, for instance, from the Tuskegee syphilis study, are associated with high levels of mistrust and suspicion of healthcare providers (Thomas and Quinn, 2019). In both Black and Hispanic communities living in poverty, religion and spirituality often shapes individual group’s attitudes towards health, illness, and treatment (</w:t>
      </w:r>
      <w:r w:rsidR="00F32015" w:rsidRPr="00F32015">
        <w:rPr>
          <w:rFonts w:ascii="Times New Roman" w:hAnsi="Times New Roman" w:cs="Times New Roman"/>
          <w:sz w:val="24"/>
          <w:szCs w:val="24"/>
        </w:rPr>
        <w:t>Kent et al., 2021</w:t>
      </w:r>
      <w:r w:rsidR="00BD5945" w:rsidRPr="00F32015">
        <w:rPr>
          <w:rFonts w:ascii="Times New Roman" w:hAnsi="Times New Roman" w:cs="Times New Roman"/>
          <w:sz w:val="24"/>
          <w:szCs w:val="24"/>
        </w:rPr>
        <w:t>).</w:t>
      </w:r>
      <w:r w:rsidR="00BD5945">
        <w:rPr>
          <w:rFonts w:ascii="Times New Roman" w:hAnsi="Times New Roman" w:cs="Times New Roman"/>
          <w:b/>
          <w:sz w:val="24"/>
          <w:szCs w:val="24"/>
        </w:rPr>
        <w:t xml:space="preserve"> </w:t>
      </w:r>
      <w:r w:rsidR="00BD5945">
        <w:rPr>
          <w:rFonts w:ascii="Times New Roman" w:hAnsi="Times New Roman" w:cs="Times New Roman"/>
          <w:sz w:val="24"/>
          <w:szCs w:val="24"/>
        </w:rPr>
        <w:t>Compounded with financial strain, the mistrust could affect health-seeking behaviors adversely in this group.</w:t>
      </w:r>
    </w:p>
    <w:p w14:paraId="3AAC4C0E" w14:textId="5DB90697" w:rsidR="00BD5945" w:rsidRDefault="00BD5945" w:rsidP="00BD59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Among Hispanics, cultural values such as </w:t>
      </w:r>
      <w:proofErr w:type="spellStart"/>
      <w:r>
        <w:rPr>
          <w:rFonts w:ascii="Times New Roman" w:hAnsi="Times New Roman" w:cs="Times New Roman"/>
          <w:i/>
          <w:sz w:val="24"/>
          <w:szCs w:val="24"/>
        </w:rPr>
        <w:t>familismo</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(commitment to family) and </w:t>
      </w:r>
      <w:proofErr w:type="spellStart"/>
      <w:r>
        <w:rPr>
          <w:rFonts w:ascii="Times New Roman" w:hAnsi="Times New Roman" w:cs="Times New Roman"/>
          <w:i/>
          <w:sz w:val="24"/>
          <w:szCs w:val="24"/>
        </w:rPr>
        <w:t>respeto</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(respect) influence health-related attitudes, beliefs, and decisions significantly. </w:t>
      </w:r>
      <w:r w:rsidR="00491F25">
        <w:rPr>
          <w:rFonts w:ascii="Times New Roman" w:hAnsi="Times New Roman" w:cs="Times New Roman"/>
          <w:sz w:val="24"/>
          <w:szCs w:val="24"/>
        </w:rPr>
        <w:t xml:space="preserve">For example, the group considers family involvement in caregiving processes essential, which affects individuals’ perception and engagement with health care </w:t>
      </w:r>
      <w:r w:rsidR="00491F25" w:rsidRPr="00491F25">
        <w:rPr>
          <w:rFonts w:ascii="Times New Roman" w:hAnsi="Times New Roman" w:cs="Times New Roman"/>
          <w:sz w:val="24"/>
          <w:szCs w:val="24"/>
        </w:rPr>
        <w:t>providers (</w:t>
      </w:r>
      <w:r w:rsidR="00F32015">
        <w:rPr>
          <w:rFonts w:ascii="Times New Roman" w:hAnsi="Times New Roman" w:cs="Times New Roman"/>
          <w:sz w:val="24"/>
          <w:szCs w:val="24"/>
        </w:rPr>
        <w:t>Lopez et al., 2022</w:t>
      </w:r>
      <w:r w:rsidR="00491F25" w:rsidRPr="00491F25">
        <w:rPr>
          <w:rFonts w:ascii="Times New Roman" w:hAnsi="Times New Roman" w:cs="Times New Roman"/>
          <w:sz w:val="24"/>
          <w:szCs w:val="24"/>
        </w:rPr>
        <w:t>)</w:t>
      </w:r>
      <w:r w:rsidR="00491F25">
        <w:rPr>
          <w:rFonts w:ascii="Times New Roman" w:hAnsi="Times New Roman" w:cs="Times New Roman"/>
          <w:sz w:val="24"/>
          <w:szCs w:val="24"/>
        </w:rPr>
        <w:t>. Similarly, many Hispanics consider respect essential in their interactions with healthcare providers (</w:t>
      </w:r>
      <w:proofErr w:type="spellStart"/>
      <w:r w:rsidR="00BA6671" w:rsidRPr="00BA6671">
        <w:rPr>
          <w:rFonts w:ascii="Times New Roman" w:hAnsi="Times New Roman" w:cs="Times New Roman"/>
          <w:color w:val="222222"/>
          <w:sz w:val="24"/>
          <w:szCs w:val="24"/>
          <w:shd w:val="clear" w:color="auto" w:fill="FFFFFF"/>
        </w:rPr>
        <w:t>Floríndez</w:t>
      </w:r>
      <w:proofErr w:type="spellEnd"/>
      <w:r w:rsidR="00BA6671">
        <w:rPr>
          <w:rFonts w:ascii="Times New Roman" w:hAnsi="Times New Roman" w:cs="Times New Roman"/>
          <w:sz w:val="24"/>
          <w:szCs w:val="24"/>
        </w:rPr>
        <w:t xml:space="preserve"> </w:t>
      </w:r>
      <w:r w:rsidR="00F32015">
        <w:rPr>
          <w:rFonts w:ascii="Times New Roman" w:hAnsi="Times New Roman" w:cs="Times New Roman"/>
          <w:sz w:val="24"/>
          <w:szCs w:val="24"/>
        </w:rPr>
        <w:t>et al., 2020</w:t>
      </w:r>
      <w:r w:rsidR="00491F25">
        <w:rPr>
          <w:rFonts w:ascii="Times New Roman" w:hAnsi="Times New Roman" w:cs="Times New Roman"/>
          <w:sz w:val="24"/>
          <w:szCs w:val="24"/>
        </w:rPr>
        <w:t>). Consequently, demonstrating respect for the cultural beliefs and practices during care interactions tends to foster engagement with treatment. Another aspect of the population entails linguistic barriers that may affect the group’s navigation of the health care system. For example, many refugees and immigrants from non-English-speaking countries experience language gaps that result in miscommunication and misunderstanding, potentiating inadequate treatment or misdiagnosis (</w:t>
      </w:r>
      <w:r w:rsidR="00BA6671">
        <w:rPr>
          <w:rFonts w:ascii="Times New Roman" w:hAnsi="Times New Roman" w:cs="Times New Roman"/>
          <w:sz w:val="24"/>
          <w:szCs w:val="24"/>
        </w:rPr>
        <w:t>Pandey et al., 2021</w:t>
      </w:r>
      <w:r w:rsidR="00491F25">
        <w:rPr>
          <w:rFonts w:ascii="Times New Roman" w:hAnsi="Times New Roman" w:cs="Times New Roman"/>
          <w:sz w:val="24"/>
          <w:szCs w:val="24"/>
        </w:rPr>
        <w:t>).</w:t>
      </w:r>
    </w:p>
    <w:p w14:paraId="7763A065" w14:textId="6C2DDD52" w:rsidR="00491F25" w:rsidRDefault="00491F25" w:rsidP="00491F2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Health Disparities and Exposure to Social Determinant Risks </w:t>
      </w:r>
    </w:p>
    <w:p w14:paraId="3FB72159" w14:textId="6BA524F1" w:rsidR="00491F25" w:rsidRDefault="00491F25" w:rsidP="00BD59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Urban poor population face a disproportionate exposure to social determinant risks that have entrenched the health disparities. Poverty</w:t>
      </w:r>
      <w:r w:rsidR="00AC30FA">
        <w:rPr>
          <w:rFonts w:ascii="Times New Roman" w:hAnsi="Times New Roman" w:cs="Times New Roman"/>
          <w:sz w:val="24"/>
          <w:szCs w:val="24"/>
        </w:rPr>
        <w:t xml:space="preserve"> increases the group’s risk for chronic conditions, including diabetes, hypertension, and cardiovascular disease, as well as poor mental health outcomes, for example, the severity of depression (Beech et al., 2021). Stressors such as housing insecurity, unemployment, social isolation, violent crime, food insecurity, and housing insecurity </w:t>
      </w:r>
      <w:r w:rsidR="00AC30FA">
        <w:rPr>
          <w:rFonts w:ascii="Times New Roman" w:hAnsi="Times New Roman" w:cs="Times New Roman"/>
          <w:sz w:val="24"/>
          <w:szCs w:val="24"/>
        </w:rPr>
        <w:lastRenderedPageBreak/>
        <w:t>contribute significantly to the occurrence of mental health disorders and poor mental health outcomes in this group (</w:t>
      </w:r>
      <w:proofErr w:type="spellStart"/>
      <w:r w:rsidR="00AC30FA">
        <w:rPr>
          <w:rFonts w:ascii="Times New Roman" w:hAnsi="Times New Roman" w:cs="Times New Roman"/>
          <w:sz w:val="24"/>
          <w:szCs w:val="24"/>
        </w:rPr>
        <w:t>Egede</w:t>
      </w:r>
      <w:proofErr w:type="spellEnd"/>
      <w:r w:rsidR="00AC30FA">
        <w:rPr>
          <w:rFonts w:ascii="Times New Roman" w:hAnsi="Times New Roman" w:cs="Times New Roman"/>
          <w:sz w:val="24"/>
          <w:szCs w:val="24"/>
        </w:rPr>
        <w:t xml:space="preserve"> et al., 2021</w:t>
      </w:r>
      <w:r w:rsidR="00BA6671">
        <w:rPr>
          <w:rFonts w:ascii="Times New Roman" w:hAnsi="Times New Roman" w:cs="Times New Roman"/>
          <w:sz w:val="24"/>
          <w:szCs w:val="24"/>
        </w:rPr>
        <w:t>; Kirkbride et al., 2024</w:t>
      </w:r>
      <w:r w:rsidR="00AC30FA">
        <w:rPr>
          <w:rFonts w:ascii="Times New Roman" w:hAnsi="Times New Roman" w:cs="Times New Roman"/>
          <w:sz w:val="24"/>
          <w:szCs w:val="24"/>
        </w:rPr>
        <w:t>). Many of the people living in poverty cannot access optimal mental health treatment because of financial constraints, stigma towards the group, and an inadequacy of culturally competent mental health workforce (</w:t>
      </w:r>
      <w:r w:rsidR="00BA6671">
        <w:rPr>
          <w:rFonts w:ascii="Times New Roman" w:hAnsi="Times New Roman" w:cs="Times New Roman"/>
          <w:sz w:val="24"/>
          <w:szCs w:val="24"/>
        </w:rPr>
        <w:t>Jimenez et al., 2022</w:t>
      </w:r>
      <w:r w:rsidR="00AC30FA">
        <w:rPr>
          <w:rFonts w:ascii="Times New Roman" w:hAnsi="Times New Roman" w:cs="Times New Roman"/>
          <w:sz w:val="24"/>
          <w:szCs w:val="24"/>
        </w:rPr>
        <w:t>). Consequently, mental health disorders are often underdiagnosed, undertreated, or untreated, increasing the risk of worse mental health outcomes.</w:t>
      </w:r>
    </w:p>
    <w:p w14:paraId="7A0A5A6E" w14:textId="50115930" w:rsidR="00AC30FA" w:rsidRDefault="00AC30FA" w:rsidP="00AC30F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Transcultural Theoretical Model and Graphic</w:t>
      </w:r>
    </w:p>
    <w:p w14:paraId="059DAE7F" w14:textId="77777777" w:rsidR="00AC30FA" w:rsidRDefault="00AC30FA" w:rsidP="00AC30F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emergence of transcultural nursing in the 1950s led to the development and evolution of multiple transcultural theoretical models aimed at shaping cultural competence among nurses. The Process of Cultural Competence in the Delivery of Healthcare Services (the </w:t>
      </w:r>
      <w:proofErr w:type="spellStart"/>
      <w:r>
        <w:rPr>
          <w:rFonts w:ascii="Times New Roman" w:hAnsi="Times New Roman" w:cs="Times New Roman"/>
          <w:sz w:val="24"/>
          <w:szCs w:val="24"/>
        </w:rPr>
        <w:t>Campinha-Bacote</w:t>
      </w:r>
      <w:proofErr w:type="spellEnd"/>
      <w:r>
        <w:rPr>
          <w:rFonts w:ascii="Times New Roman" w:hAnsi="Times New Roman" w:cs="Times New Roman"/>
          <w:sz w:val="24"/>
          <w:szCs w:val="24"/>
        </w:rPr>
        <w:t xml:space="preserve"> model) is among the transcultural models used in nursing practice. The model conceptualizes cultural competence as an ongoing process of improving one’s self-efficacy in delivering care to diverse populations in diverse environments (</w:t>
      </w:r>
      <w:proofErr w:type="spellStart"/>
      <w:r>
        <w:rPr>
          <w:rFonts w:ascii="Times New Roman" w:hAnsi="Times New Roman" w:cs="Times New Roman"/>
          <w:sz w:val="24"/>
          <w:szCs w:val="24"/>
        </w:rPr>
        <w:t>Albougami</w:t>
      </w:r>
      <w:proofErr w:type="spellEnd"/>
      <w:r>
        <w:rPr>
          <w:rFonts w:ascii="Times New Roman" w:hAnsi="Times New Roman" w:cs="Times New Roman"/>
          <w:sz w:val="24"/>
          <w:szCs w:val="24"/>
        </w:rPr>
        <w:t xml:space="preserve"> et al., 2016; </w:t>
      </w:r>
      <w:proofErr w:type="spellStart"/>
      <w:r>
        <w:rPr>
          <w:rFonts w:ascii="Times New Roman" w:hAnsi="Times New Roman" w:cs="Times New Roman"/>
          <w:sz w:val="24"/>
          <w:szCs w:val="24"/>
        </w:rPr>
        <w:t>Campinha-Bacote</w:t>
      </w:r>
      <w:proofErr w:type="spellEnd"/>
      <w:r>
        <w:rPr>
          <w:rFonts w:ascii="Times New Roman" w:hAnsi="Times New Roman" w:cs="Times New Roman"/>
          <w:sz w:val="24"/>
          <w:szCs w:val="24"/>
        </w:rPr>
        <w:t xml:space="preserve">, 2002). It incorporates five interrelated concepts relevant to cultural competence: “cultural awareness, cultural skills, cultural knowledge, cultural encounters, and cultural desire” (Figure 1). </w:t>
      </w:r>
    </w:p>
    <w:p w14:paraId="0D3BF92F" w14:textId="77777777" w:rsidR="00AC30FA" w:rsidRDefault="00AC30FA" w:rsidP="00AC30FA">
      <w:pPr>
        <w:keepNext/>
        <w:spacing w:after="0" w:line="480" w:lineRule="auto"/>
        <w:ind w:firstLine="720"/>
      </w:pPr>
      <w:r>
        <w:rPr>
          <w:rFonts w:ascii="Times New Roman" w:hAnsi="Times New Roman" w:cs="Times New Roman"/>
          <w:sz w:val="24"/>
          <w:szCs w:val="24"/>
        </w:rPr>
        <w:lastRenderedPageBreak/>
        <w:t xml:space="preserve"> </w:t>
      </w:r>
      <w:r>
        <w:rPr>
          <w:noProof/>
        </w:rPr>
        <w:drawing>
          <wp:inline distT="0" distB="0" distL="0" distR="0" wp14:anchorId="3A9E4026" wp14:editId="640FB324">
            <wp:extent cx="4562475" cy="3633470"/>
            <wp:effectExtent l="0" t="0" r="952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22013" cy="3680885"/>
                    </a:xfrm>
                    <a:prstGeom prst="rect">
                      <a:avLst/>
                    </a:prstGeom>
                  </pic:spPr>
                </pic:pic>
              </a:graphicData>
            </a:graphic>
          </wp:inline>
        </w:drawing>
      </w:r>
    </w:p>
    <w:p w14:paraId="50D338A5" w14:textId="77777777" w:rsidR="00AC30FA" w:rsidRPr="00A64AD5" w:rsidRDefault="00AC30FA" w:rsidP="00AC30FA">
      <w:pPr>
        <w:pStyle w:val="Caption"/>
        <w:rPr>
          <w:rFonts w:ascii="Times New Roman" w:hAnsi="Times New Roman" w:cs="Times New Roman"/>
          <w:b/>
          <w:color w:val="auto"/>
          <w:sz w:val="24"/>
          <w:szCs w:val="24"/>
        </w:rPr>
      </w:pPr>
      <w:r w:rsidRPr="00A64AD5">
        <w:rPr>
          <w:rFonts w:ascii="Times New Roman" w:hAnsi="Times New Roman" w:cs="Times New Roman"/>
          <w:b/>
          <w:color w:val="auto"/>
        </w:rPr>
        <w:t xml:space="preserve">Figure </w:t>
      </w:r>
      <w:r w:rsidRPr="00A64AD5">
        <w:rPr>
          <w:rFonts w:ascii="Times New Roman" w:hAnsi="Times New Roman" w:cs="Times New Roman"/>
          <w:b/>
          <w:color w:val="auto"/>
        </w:rPr>
        <w:fldChar w:fldCharType="begin"/>
      </w:r>
      <w:r w:rsidRPr="00A64AD5">
        <w:rPr>
          <w:rFonts w:ascii="Times New Roman" w:hAnsi="Times New Roman" w:cs="Times New Roman"/>
          <w:b/>
          <w:color w:val="auto"/>
        </w:rPr>
        <w:instrText xml:space="preserve"> SEQ Figure \* ARABIC </w:instrText>
      </w:r>
      <w:r w:rsidRPr="00A64AD5">
        <w:rPr>
          <w:rFonts w:ascii="Times New Roman" w:hAnsi="Times New Roman" w:cs="Times New Roman"/>
          <w:b/>
          <w:color w:val="auto"/>
        </w:rPr>
        <w:fldChar w:fldCharType="separate"/>
      </w:r>
      <w:r w:rsidRPr="00A64AD5">
        <w:rPr>
          <w:rFonts w:ascii="Times New Roman" w:hAnsi="Times New Roman" w:cs="Times New Roman"/>
          <w:b/>
          <w:noProof/>
          <w:color w:val="auto"/>
        </w:rPr>
        <w:t>1</w:t>
      </w:r>
      <w:r w:rsidRPr="00A64AD5">
        <w:rPr>
          <w:rFonts w:ascii="Times New Roman" w:hAnsi="Times New Roman" w:cs="Times New Roman"/>
          <w:b/>
          <w:color w:val="auto"/>
        </w:rPr>
        <w:fldChar w:fldCharType="end"/>
      </w:r>
      <w:r w:rsidRPr="00A64AD5">
        <w:rPr>
          <w:rFonts w:ascii="Times New Roman" w:hAnsi="Times New Roman" w:cs="Times New Roman"/>
          <w:b/>
          <w:color w:val="auto"/>
        </w:rPr>
        <w:t>: Process of Cultural Competence in the Delivery of Healthcare Services</w:t>
      </w:r>
    </w:p>
    <w:p w14:paraId="2F35B0D7" w14:textId="14DC351E" w:rsidR="00586735" w:rsidRDefault="00586735" w:rsidP="0058673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the model, cultural awareness emanates from a conscious introspection of one’s cultural background to ensure an understanding of individual biases towards people from other cultures. Cultural knowledge involves maintaining open-mindedness, which fosters the acknowledgment of variations in cultural beliefs and ethnic traits that shape individuals’ attitudes to health and illness. Cultural skill involves adjusting care based on client information to meet their specific cultural beliefs, values, and practices. Cultural encounters entail the proactive efforts and encouragement of interactions with culturally diverse groups with the aim of identifying personal prejudices and understanding the other cultures’ beliefs, values, and practices. Finally, cultural desire refers to individual inclination to interact with culturally diverse groups to enhance self-efficacy in delivering culturally congruent care. While the five concepts have commensurate importance in ensuring cultural competence, Fitzgerald and </w:t>
      </w:r>
      <w:proofErr w:type="spellStart"/>
      <w:r>
        <w:rPr>
          <w:rFonts w:ascii="Times New Roman" w:hAnsi="Times New Roman" w:cs="Times New Roman"/>
          <w:sz w:val="24"/>
          <w:szCs w:val="24"/>
        </w:rPr>
        <w:t>Campinha-</w:t>
      </w:r>
      <w:r>
        <w:rPr>
          <w:rFonts w:ascii="Times New Roman" w:hAnsi="Times New Roman" w:cs="Times New Roman"/>
          <w:sz w:val="24"/>
          <w:szCs w:val="24"/>
        </w:rPr>
        <w:lastRenderedPageBreak/>
        <w:t>Bacote</w:t>
      </w:r>
      <w:proofErr w:type="spellEnd"/>
      <w:r>
        <w:rPr>
          <w:rFonts w:ascii="Times New Roman" w:hAnsi="Times New Roman" w:cs="Times New Roman"/>
          <w:sz w:val="24"/>
          <w:szCs w:val="24"/>
        </w:rPr>
        <w:t xml:space="preserve"> (2019) emphasized cultural encounters as the foundation for developing the other capabilities. </w:t>
      </w:r>
    </w:p>
    <w:p w14:paraId="44976DC3" w14:textId="3051B324" w:rsidR="00AC30FA" w:rsidRDefault="00586735" w:rsidP="00AC30FA">
      <w:pPr>
        <w:spacing w:after="0" w:line="480" w:lineRule="auto"/>
        <w:rPr>
          <w:rFonts w:ascii="Times New Roman" w:hAnsi="Times New Roman" w:cs="Times New Roman"/>
          <w:sz w:val="24"/>
          <w:szCs w:val="24"/>
        </w:rPr>
      </w:pPr>
      <w:r>
        <w:rPr>
          <w:rFonts w:ascii="Times New Roman" w:hAnsi="Times New Roman" w:cs="Times New Roman"/>
          <w:sz w:val="24"/>
          <w:szCs w:val="24"/>
        </w:rPr>
        <w:tab/>
        <w:t>The model incorporates concepts from diverse theories, including psychosocial models of care, transcultural nursing theory, and cultural anthropology. Leininger’s Theory of Culture and Care Diversity and Universality informs the concepts based on its emphasis on adapting to patients’ cultural contexts (</w:t>
      </w:r>
      <w:proofErr w:type="spellStart"/>
      <w:r w:rsidRPr="00BA6671">
        <w:rPr>
          <w:rFonts w:ascii="Times New Roman" w:hAnsi="Times New Roman" w:cs="Times New Roman"/>
          <w:sz w:val="24"/>
          <w:szCs w:val="24"/>
        </w:rPr>
        <w:t>Leiniger</w:t>
      </w:r>
      <w:proofErr w:type="spellEnd"/>
      <w:r w:rsidRPr="00BA6671">
        <w:rPr>
          <w:rFonts w:ascii="Times New Roman" w:hAnsi="Times New Roman" w:cs="Times New Roman"/>
          <w:sz w:val="24"/>
          <w:szCs w:val="24"/>
        </w:rPr>
        <w:t>, 2006).</w:t>
      </w:r>
      <w:r>
        <w:rPr>
          <w:rFonts w:ascii="Times New Roman" w:hAnsi="Times New Roman" w:cs="Times New Roman"/>
          <w:b/>
          <w:sz w:val="24"/>
          <w:szCs w:val="24"/>
        </w:rPr>
        <w:t xml:space="preserve"> </w:t>
      </w:r>
      <w:r>
        <w:rPr>
          <w:rFonts w:ascii="Times New Roman" w:hAnsi="Times New Roman" w:cs="Times New Roman"/>
          <w:sz w:val="24"/>
          <w:szCs w:val="24"/>
        </w:rPr>
        <w:t xml:space="preserve">In extending the theory, </w:t>
      </w:r>
      <w:proofErr w:type="spellStart"/>
      <w:r>
        <w:rPr>
          <w:rFonts w:ascii="Times New Roman" w:hAnsi="Times New Roman" w:cs="Times New Roman"/>
          <w:sz w:val="24"/>
          <w:szCs w:val="24"/>
        </w:rPr>
        <w:t>Campinha-Bacote</w:t>
      </w:r>
      <w:proofErr w:type="spellEnd"/>
      <w:r>
        <w:rPr>
          <w:rFonts w:ascii="Times New Roman" w:hAnsi="Times New Roman" w:cs="Times New Roman"/>
          <w:sz w:val="24"/>
          <w:szCs w:val="24"/>
        </w:rPr>
        <w:t xml:space="preserve"> model offers a structured process for the development and enhancement of cultural competence based on its conceptualization as an ongoing process. In addition, the model draws significantly from Bandura’s social learning theory that posits that learning of norms, values, and behaviors involves observing and interacting with others within social contexts (</w:t>
      </w:r>
      <w:r w:rsidRPr="00BA6671">
        <w:rPr>
          <w:rFonts w:ascii="Times New Roman" w:hAnsi="Times New Roman" w:cs="Times New Roman"/>
          <w:sz w:val="24"/>
          <w:szCs w:val="24"/>
        </w:rPr>
        <w:t>Bandura, 1977).</w:t>
      </w:r>
      <w:r>
        <w:rPr>
          <w:rFonts w:ascii="Times New Roman" w:hAnsi="Times New Roman" w:cs="Times New Roman"/>
          <w:b/>
          <w:sz w:val="24"/>
          <w:szCs w:val="24"/>
        </w:rPr>
        <w:t xml:space="preserve"> </w:t>
      </w:r>
      <w:r w:rsidR="000729E0">
        <w:rPr>
          <w:rFonts w:ascii="Times New Roman" w:hAnsi="Times New Roman" w:cs="Times New Roman"/>
          <w:sz w:val="24"/>
          <w:szCs w:val="24"/>
        </w:rPr>
        <w:t xml:space="preserve">In this regard, interacting with diverse patient population (cultural encounters) fosters learning about others’ cultural values, beliefs, and practices. The need for ongoing improvement of cultural competence aligns the </w:t>
      </w:r>
      <w:proofErr w:type="spellStart"/>
      <w:r w:rsidR="000729E0">
        <w:rPr>
          <w:rFonts w:ascii="Times New Roman" w:hAnsi="Times New Roman" w:cs="Times New Roman"/>
          <w:sz w:val="24"/>
          <w:szCs w:val="24"/>
        </w:rPr>
        <w:t>Campinha-Bacote</w:t>
      </w:r>
      <w:proofErr w:type="spellEnd"/>
      <w:r w:rsidR="000729E0">
        <w:rPr>
          <w:rFonts w:ascii="Times New Roman" w:hAnsi="Times New Roman" w:cs="Times New Roman"/>
          <w:sz w:val="24"/>
          <w:szCs w:val="24"/>
        </w:rPr>
        <w:t xml:space="preserve"> model with the critical race theory. The theory acknowledges the entrenched nature of racism in social institutions. Pertaining to the health care system, this applies the need to engage in continuing efforts to address structural inequalities based on the recognition of the effect of systemic racism on health disparities (</w:t>
      </w:r>
      <w:proofErr w:type="spellStart"/>
      <w:r w:rsidR="00BA6671">
        <w:rPr>
          <w:rFonts w:ascii="Times New Roman" w:hAnsi="Times New Roman" w:cs="Times New Roman"/>
          <w:sz w:val="24"/>
          <w:szCs w:val="24"/>
        </w:rPr>
        <w:t>Todic</w:t>
      </w:r>
      <w:proofErr w:type="spellEnd"/>
      <w:r w:rsidR="00BA6671">
        <w:rPr>
          <w:rFonts w:ascii="Times New Roman" w:hAnsi="Times New Roman" w:cs="Times New Roman"/>
          <w:sz w:val="24"/>
          <w:szCs w:val="24"/>
        </w:rPr>
        <w:t xml:space="preserve"> et al., 2022</w:t>
      </w:r>
      <w:r w:rsidR="000729E0">
        <w:rPr>
          <w:rFonts w:ascii="Times New Roman" w:hAnsi="Times New Roman" w:cs="Times New Roman"/>
          <w:sz w:val="24"/>
          <w:szCs w:val="24"/>
        </w:rPr>
        <w:t xml:space="preserve">). </w:t>
      </w:r>
    </w:p>
    <w:p w14:paraId="27E42336" w14:textId="63082109" w:rsidR="000729E0" w:rsidRDefault="000729E0" w:rsidP="00AC30F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model aligns with the cultural context of the poor, especially in relation to addressing mental health problems. For instance, the model shows the need to acknowledge cultural dimensions of mental health, including individuals’ beliefs and attitudes towards psychiatric disorders, Western medicine. In turn, this could affect their health-seeking behaviors and adherence to treatment plans or medication. In many marginalized urban poor groups, religious, cultural, and socioeconomic factors lead to stigma and misunderstanding of mental health </w:t>
      </w:r>
      <w:r>
        <w:rPr>
          <w:rFonts w:ascii="Times New Roman" w:hAnsi="Times New Roman" w:cs="Times New Roman"/>
          <w:sz w:val="24"/>
          <w:szCs w:val="24"/>
        </w:rPr>
        <w:lastRenderedPageBreak/>
        <w:t>disorders (</w:t>
      </w:r>
      <w:proofErr w:type="spellStart"/>
      <w:r w:rsidR="00BA6671">
        <w:rPr>
          <w:rFonts w:ascii="Times New Roman" w:hAnsi="Times New Roman" w:cs="Times New Roman"/>
          <w:sz w:val="24"/>
          <w:szCs w:val="24"/>
        </w:rPr>
        <w:t>Ahad</w:t>
      </w:r>
      <w:proofErr w:type="spellEnd"/>
      <w:r w:rsidR="00BA6671">
        <w:rPr>
          <w:rFonts w:ascii="Times New Roman" w:hAnsi="Times New Roman" w:cs="Times New Roman"/>
          <w:sz w:val="24"/>
          <w:szCs w:val="24"/>
        </w:rPr>
        <w:t xml:space="preserve"> et al., 2023</w:t>
      </w:r>
      <w:r>
        <w:rPr>
          <w:rFonts w:ascii="Times New Roman" w:hAnsi="Times New Roman" w:cs="Times New Roman"/>
          <w:sz w:val="24"/>
          <w:szCs w:val="24"/>
        </w:rPr>
        <w:t xml:space="preserve">). Consequently, this </w:t>
      </w:r>
      <w:r w:rsidR="00404C36">
        <w:rPr>
          <w:rFonts w:ascii="Times New Roman" w:hAnsi="Times New Roman" w:cs="Times New Roman"/>
          <w:sz w:val="24"/>
          <w:szCs w:val="24"/>
        </w:rPr>
        <w:t xml:space="preserve">model offers mental health professionals a way of navigating the complex interplay of factors through cultural encounters, awareness, skill, and knowledge. </w:t>
      </w:r>
      <w:r>
        <w:rPr>
          <w:rFonts w:ascii="Times New Roman" w:hAnsi="Times New Roman" w:cs="Times New Roman"/>
          <w:sz w:val="24"/>
          <w:szCs w:val="24"/>
        </w:rPr>
        <w:t>Consistent with the group’s collectivist values,</w:t>
      </w:r>
      <w:r w:rsidR="00404C36">
        <w:rPr>
          <w:rFonts w:ascii="Times New Roman" w:hAnsi="Times New Roman" w:cs="Times New Roman"/>
          <w:sz w:val="24"/>
          <w:szCs w:val="24"/>
        </w:rPr>
        <w:t xml:space="preserve"> I resonate with the importance of community-centered mental health care. Community mental health services involve a holistic approach to care that recognizes the importance of biological, psychological, psychological, and spiritual factors in addressing social determinants of mental health (</w:t>
      </w:r>
      <w:r w:rsidR="00BA6671">
        <w:rPr>
          <w:rFonts w:ascii="Times New Roman" w:hAnsi="Times New Roman" w:cs="Times New Roman"/>
          <w:sz w:val="24"/>
          <w:szCs w:val="24"/>
        </w:rPr>
        <w:t>van Genk et al., 2023</w:t>
      </w:r>
      <w:r w:rsidR="00404C36">
        <w:rPr>
          <w:rFonts w:ascii="Times New Roman" w:hAnsi="Times New Roman" w:cs="Times New Roman"/>
          <w:sz w:val="24"/>
          <w:szCs w:val="24"/>
        </w:rPr>
        <w:t xml:space="preserve">). Based on the concept of cultural desire, this implies the need for lifelong learning and continued motivation to understand different cultural backgrounds. </w:t>
      </w:r>
    </w:p>
    <w:p w14:paraId="5F74D613" w14:textId="3D4DD56F" w:rsidR="00750A6A" w:rsidRDefault="00750A6A" w:rsidP="00AC30FA">
      <w:pPr>
        <w:spacing w:after="0" w:line="480" w:lineRule="auto"/>
        <w:rPr>
          <w:rFonts w:ascii="Times New Roman" w:hAnsi="Times New Roman" w:cs="Times New Roman"/>
          <w:sz w:val="24"/>
          <w:szCs w:val="24"/>
        </w:rPr>
      </w:pPr>
      <w:r>
        <w:rPr>
          <w:rFonts w:ascii="Times New Roman" w:hAnsi="Times New Roman" w:cs="Times New Roman"/>
          <w:sz w:val="24"/>
          <w:szCs w:val="24"/>
        </w:rPr>
        <w:tab/>
        <w:t>The model aligns with my core values as a DNP student. In caring for diverse populations, I espouse values such as equity, patient-centered care, and ethical accountability. From the model’s perspective, this implies that addressing health disparities and ensuring health equity depends on a continuous journey of learning about other cultures and the influence of the cultural values on their health-related behaviors (</w:t>
      </w:r>
      <w:r w:rsidR="00BA6671">
        <w:rPr>
          <w:rFonts w:ascii="Times New Roman" w:hAnsi="Times New Roman" w:cs="Times New Roman"/>
          <w:sz w:val="24"/>
          <w:szCs w:val="24"/>
        </w:rPr>
        <w:t>Hernandez &amp; Gibb, 2019</w:t>
      </w:r>
      <w:r>
        <w:rPr>
          <w:rFonts w:ascii="Times New Roman" w:hAnsi="Times New Roman" w:cs="Times New Roman"/>
          <w:sz w:val="24"/>
          <w:szCs w:val="24"/>
        </w:rPr>
        <w:t xml:space="preserve">). Cultural encounters cultivate positive relationships with diverse patients, fostering trust and patient-centered care. For example, the encounters could provide a comprehensive understanding of subjective beliefs and attitudes towards psychotropic medications, enabling tailored interventions to address the problem. Cultural awareness could contribute to efforts towards improving health equity for the urban poor. Through self-reflection, I could understand personal prejudices and assumptions that may contribute to inequitable care delivery. In turn, this </w:t>
      </w:r>
      <w:r w:rsidR="002A1C73">
        <w:rPr>
          <w:rFonts w:ascii="Times New Roman" w:hAnsi="Times New Roman" w:cs="Times New Roman"/>
          <w:sz w:val="24"/>
          <w:szCs w:val="24"/>
        </w:rPr>
        <w:t>provides a basis to commit to cultural competence as a professional responsibility for high-quality and equitable care.</w:t>
      </w:r>
    </w:p>
    <w:p w14:paraId="7D302E8E" w14:textId="77777777" w:rsidR="002A1C73" w:rsidRDefault="002A1C73" w:rsidP="002A1C7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Cultural Competence in Advanced Practice as a NP/DNP</w:t>
      </w:r>
    </w:p>
    <w:p w14:paraId="3C76EC68" w14:textId="48D04C6C" w:rsidR="002A1C73" w:rsidRDefault="002A1C73" w:rsidP="002A1C7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Sociodemographic changes in the country have led to a culturally diverse population and cemented the importance of cultural competence in nursing. Among advanced practice registered </w:t>
      </w:r>
      <w:r>
        <w:rPr>
          <w:rFonts w:ascii="Times New Roman" w:hAnsi="Times New Roman" w:cs="Times New Roman"/>
          <w:sz w:val="24"/>
          <w:szCs w:val="24"/>
        </w:rPr>
        <w:lastRenderedPageBreak/>
        <w:t>nurses (APRNs), this implies taking leadership roles in creating a vision and implementing strategies that enhance transcultural synergy within practice settings (</w:t>
      </w:r>
      <w:proofErr w:type="spellStart"/>
      <w:r>
        <w:rPr>
          <w:rFonts w:ascii="Times New Roman" w:hAnsi="Times New Roman" w:cs="Times New Roman"/>
          <w:sz w:val="24"/>
          <w:szCs w:val="24"/>
        </w:rPr>
        <w:t>Teixera</w:t>
      </w:r>
      <w:proofErr w:type="spellEnd"/>
      <w:r>
        <w:rPr>
          <w:rFonts w:ascii="Times New Roman" w:hAnsi="Times New Roman" w:cs="Times New Roman"/>
          <w:sz w:val="24"/>
          <w:szCs w:val="24"/>
        </w:rPr>
        <w:t xml:space="preserve"> et al., 2023). Based on their clinical expertise and knowledge in cultural competence, APRNs/DNPs could influence transformative changes that ensure culturally congruent care. For example, Berry et al. (2024) noted that APRNs could tap their advanced knowledge in using health literacy communication tools for culturally relevant health education among poor minority groups. As mentors of the future nursing workforce, APRNs/DNPs should also apply their advanced knowledge and mentorship skills in encouraging newly qualified nurses to engage in self-reflection on individual cultural biases towards other cultures and interactions with culturally diverse populations. In turn, this could enhance organization-wide cultural knowledge and cultural skill, leading to the delivery of culturally congruent care. Besides, this could involve implementing mentorship or training programs focused on cultural competence in nursing care. As supported by </w:t>
      </w:r>
      <w:proofErr w:type="spellStart"/>
      <w:r w:rsidRPr="00D674BE">
        <w:rPr>
          <w:rFonts w:ascii="Times New Roman" w:hAnsi="Times New Roman" w:cs="Times New Roman"/>
          <w:color w:val="212121"/>
          <w:sz w:val="24"/>
          <w:szCs w:val="24"/>
          <w:shd w:val="clear" w:color="auto" w:fill="FFFFFF"/>
        </w:rPr>
        <w:t>Červený</w:t>
      </w:r>
      <w:proofErr w:type="spellEnd"/>
      <w:r w:rsidRPr="00D674BE">
        <w:rPr>
          <w:rFonts w:ascii="Times New Roman" w:hAnsi="Times New Roman" w:cs="Times New Roman"/>
          <w:color w:val="212121"/>
          <w:sz w:val="24"/>
          <w:szCs w:val="24"/>
          <w:shd w:val="clear" w:color="auto" w:fill="FFFFFF"/>
        </w:rPr>
        <w:t xml:space="preserve"> et al. (2022</w:t>
      </w:r>
      <w:r>
        <w:rPr>
          <w:rFonts w:ascii="Times New Roman" w:hAnsi="Times New Roman" w:cs="Times New Roman"/>
          <w:color w:val="212121"/>
          <w:sz w:val="24"/>
          <w:szCs w:val="24"/>
          <w:shd w:val="clear" w:color="auto" w:fill="FFFFFF"/>
        </w:rPr>
        <w:t xml:space="preserve">), building organization-wide cultural competence would help in adapting care to the local cultural environment. Indeed, </w:t>
      </w:r>
      <w:proofErr w:type="spellStart"/>
      <w:r>
        <w:rPr>
          <w:rFonts w:ascii="Times New Roman" w:hAnsi="Times New Roman" w:cs="Times New Roman"/>
          <w:sz w:val="24"/>
          <w:szCs w:val="24"/>
        </w:rPr>
        <w:t>Kaihlanen</w:t>
      </w:r>
      <w:proofErr w:type="spellEnd"/>
      <w:r>
        <w:rPr>
          <w:rFonts w:ascii="Times New Roman" w:hAnsi="Times New Roman" w:cs="Times New Roman"/>
          <w:sz w:val="24"/>
          <w:szCs w:val="24"/>
        </w:rPr>
        <w:t xml:space="preserve"> et al. (2019) found that implementing a cultural competence program fostered open discussions around approaches to aligning care with the local cultures based on a comprehensive understanding of the varying cultural values and beliefs. Overall, APRNs/DNPs have a crucial responsibility in the delivery of culturally congruent care through mentorship, training, and leadership focused on cultural competence.</w:t>
      </w:r>
    </w:p>
    <w:p w14:paraId="7A10B554" w14:textId="3DD0F80F" w:rsidR="00BA6671" w:rsidRPr="00BA6671" w:rsidRDefault="00BA6671" w:rsidP="00BA66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14:paraId="39581E22" w14:textId="77777777" w:rsidR="002A1C73" w:rsidRDefault="002A1C73" w:rsidP="002A1C7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summary, the increasing cultural diversity in the country’s population highlights the importance of ongoing efforts to enhance cultural competence in the nursing workforce. The competence is essential in meeting unique needs of specific populations such as the urban dwellers living in poverty. As revealed, this population faces a disproportionate burden of </w:t>
      </w:r>
      <w:r>
        <w:rPr>
          <w:rFonts w:ascii="Times New Roman" w:hAnsi="Times New Roman" w:cs="Times New Roman"/>
          <w:sz w:val="24"/>
          <w:szCs w:val="24"/>
        </w:rPr>
        <w:lastRenderedPageBreak/>
        <w:t xml:space="preserve">disease because of exposure to social determinant risks such as high unemployment rates, lack of education, discrimination, and inadequate access to healthcare services. However, meeting the needs of this population requires a comprehensive understanding of individual sub-group cultural beliefs, values, and traditions. To this end, the </w:t>
      </w:r>
      <w:proofErr w:type="spellStart"/>
      <w:r>
        <w:rPr>
          <w:rFonts w:ascii="Times New Roman" w:hAnsi="Times New Roman" w:cs="Times New Roman"/>
          <w:sz w:val="24"/>
          <w:szCs w:val="24"/>
        </w:rPr>
        <w:t>Campinha-Bacote</w:t>
      </w:r>
      <w:proofErr w:type="spellEnd"/>
      <w:r>
        <w:rPr>
          <w:rFonts w:ascii="Times New Roman" w:hAnsi="Times New Roman" w:cs="Times New Roman"/>
          <w:sz w:val="24"/>
          <w:szCs w:val="24"/>
        </w:rPr>
        <w:t xml:space="preserve"> (2002) model could be used in shaping cultural competence among nurses serving this population. By encouraging cultural encounters, nurses working in this environment could understand individual subcultures and their influence on health-related beliefs and practices. APRNs should take a frontline role in ensuring cultural competence, for instance, by leading the development of strategic visions that emphasize transcultural synergy, mentoring other nurses, and implementing training programs. Future research should explore specific factors that should be addressed in enhancing cultural competence in care delivery for the highly diverse urban poor population.</w:t>
      </w:r>
    </w:p>
    <w:p w14:paraId="67E6A727" w14:textId="0488DBB7" w:rsidR="002A1C73" w:rsidRDefault="002A1C73">
      <w:pPr>
        <w:rPr>
          <w:rFonts w:ascii="Times New Roman" w:hAnsi="Times New Roman" w:cs="Times New Roman"/>
          <w:sz w:val="24"/>
          <w:szCs w:val="24"/>
        </w:rPr>
      </w:pPr>
      <w:r>
        <w:rPr>
          <w:rFonts w:ascii="Times New Roman" w:hAnsi="Times New Roman" w:cs="Times New Roman"/>
          <w:sz w:val="24"/>
          <w:szCs w:val="24"/>
        </w:rPr>
        <w:br w:type="page"/>
      </w:r>
    </w:p>
    <w:p w14:paraId="1161BB66" w14:textId="6A480B44" w:rsidR="002A1C73" w:rsidRDefault="002A1C73" w:rsidP="002A1C7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13821855" w14:textId="77777777" w:rsidR="00E21A43" w:rsidRPr="00E21A43" w:rsidRDefault="00E21A43" w:rsidP="002A1C73">
      <w:pPr>
        <w:spacing w:after="0" w:line="480" w:lineRule="auto"/>
        <w:ind w:left="720" w:hanging="720"/>
        <w:rPr>
          <w:rFonts w:ascii="Times New Roman" w:hAnsi="Times New Roman" w:cs="Times New Roman"/>
          <w:color w:val="212121"/>
          <w:sz w:val="24"/>
          <w:szCs w:val="24"/>
          <w:shd w:val="clear" w:color="auto" w:fill="FFFFFF"/>
        </w:rPr>
      </w:pPr>
      <w:proofErr w:type="spellStart"/>
      <w:r w:rsidRPr="00E21A43">
        <w:rPr>
          <w:rFonts w:ascii="Times New Roman" w:hAnsi="Times New Roman" w:cs="Times New Roman"/>
          <w:color w:val="212121"/>
          <w:sz w:val="24"/>
          <w:szCs w:val="24"/>
          <w:shd w:val="clear" w:color="auto" w:fill="FFFFFF"/>
        </w:rPr>
        <w:t>Ahad</w:t>
      </w:r>
      <w:proofErr w:type="spellEnd"/>
      <w:r w:rsidRPr="00E21A43">
        <w:rPr>
          <w:rFonts w:ascii="Times New Roman" w:hAnsi="Times New Roman" w:cs="Times New Roman"/>
          <w:color w:val="212121"/>
          <w:sz w:val="24"/>
          <w:szCs w:val="24"/>
          <w:shd w:val="clear" w:color="auto" w:fill="FFFFFF"/>
        </w:rPr>
        <w:t xml:space="preserve">, A. A., Sanchez-Gonzalez, M., &amp; </w:t>
      </w:r>
      <w:proofErr w:type="spellStart"/>
      <w:r w:rsidRPr="00E21A43">
        <w:rPr>
          <w:rFonts w:ascii="Times New Roman" w:hAnsi="Times New Roman" w:cs="Times New Roman"/>
          <w:color w:val="212121"/>
          <w:sz w:val="24"/>
          <w:szCs w:val="24"/>
          <w:shd w:val="clear" w:color="auto" w:fill="FFFFFF"/>
        </w:rPr>
        <w:t>Junquera</w:t>
      </w:r>
      <w:proofErr w:type="spellEnd"/>
      <w:r w:rsidRPr="00E21A43">
        <w:rPr>
          <w:rFonts w:ascii="Times New Roman" w:hAnsi="Times New Roman" w:cs="Times New Roman"/>
          <w:color w:val="212121"/>
          <w:sz w:val="24"/>
          <w:szCs w:val="24"/>
          <w:shd w:val="clear" w:color="auto" w:fill="FFFFFF"/>
        </w:rPr>
        <w:t xml:space="preserve">, P. (2023). Understanding </w:t>
      </w:r>
      <w:r w:rsidRPr="00E21A43">
        <w:rPr>
          <w:rFonts w:ascii="Times New Roman" w:hAnsi="Times New Roman" w:cs="Times New Roman"/>
          <w:color w:val="212121"/>
          <w:sz w:val="24"/>
          <w:szCs w:val="24"/>
          <w:shd w:val="clear" w:color="auto" w:fill="FFFFFF"/>
        </w:rPr>
        <w:t>and addressing mental health stigma across cultures for improving psychiatric care</w:t>
      </w:r>
      <w:r w:rsidRPr="00E21A43">
        <w:rPr>
          <w:rFonts w:ascii="Times New Roman" w:hAnsi="Times New Roman" w:cs="Times New Roman"/>
          <w:color w:val="212121"/>
          <w:sz w:val="24"/>
          <w:szCs w:val="24"/>
          <w:shd w:val="clear" w:color="auto" w:fill="FFFFFF"/>
        </w:rPr>
        <w:t xml:space="preserve">: A </w:t>
      </w:r>
      <w:r w:rsidRPr="00E21A43">
        <w:rPr>
          <w:rFonts w:ascii="Times New Roman" w:hAnsi="Times New Roman" w:cs="Times New Roman"/>
          <w:color w:val="212121"/>
          <w:sz w:val="24"/>
          <w:szCs w:val="24"/>
          <w:shd w:val="clear" w:color="auto" w:fill="FFFFFF"/>
        </w:rPr>
        <w:t>narrative review</w:t>
      </w:r>
      <w:r w:rsidRPr="00E21A43">
        <w:rPr>
          <w:rFonts w:ascii="Times New Roman" w:hAnsi="Times New Roman" w:cs="Times New Roman"/>
          <w:color w:val="212121"/>
          <w:sz w:val="24"/>
          <w:szCs w:val="24"/>
          <w:shd w:val="clear" w:color="auto" w:fill="FFFFFF"/>
        </w:rPr>
        <w:t>. </w:t>
      </w:r>
      <w:proofErr w:type="spellStart"/>
      <w:r w:rsidRPr="00E21A43">
        <w:rPr>
          <w:rFonts w:ascii="Times New Roman" w:hAnsi="Times New Roman" w:cs="Times New Roman"/>
          <w:i/>
          <w:iCs/>
          <w:color w:val="212121"/>
          <w:sz w:val="24"/>
          <w:szCs w:val="24"/>
          <w:shd w:val="clear" w:color="auto" w:fill="FFFFFF"/>
        </w:rPr>
        <w:t>Cureus</w:t>
      </w:r>
      <w:proofErr w:type="spellEnd"/>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15</w:t>
      </w:r>
      <w:r w:rsidRPr="00E21A43">
        <w:rPr>
          <w:rFonts w:ascii="Times New Roman" w:hAnsi="Times New Roman" w:cs="Times New Roman"/>
          <w:color w:val="212121"/>
          <w:sz w:val="24"/>
          <w:szCs w:val="24"/>
          <w:shd w:val="clear" w:color="auto" w:fill="FFFFFF"/>
        </w:rPr>
        <w:t>(5), e39549. https://doi.org/10.7759/cureus.39549</w:t>
      </w:r>
    </w:p>
    <w:p w14:paraId="00EC40B6" w14:textId="77777777" w:rsidR="00E21A43" w:rsidRPr="00E21A43" w:rsidRDefault="00E21A43" w:rsidP="00BA6671">
      <w:pPr>
        <w:spacing w:after="0" w:line="480" w:lineRule="auto"/>
        <w:ind w:left="720" w:hanging="720"/>
        <w:rPr>
          <w:rFonts w:ascii="Times New Roman" w:hAnsi="Times New Roman" w:cs="Times New Roman"/>
          <w:sz w:val="24"/>
          <w:szCs w:val="24"/>
          <w:shd w:val="clear" w:color="auto" w:fill="FFFFFF"/>
        </w:rPr>
      </w:pPr>
      <w:proofErr w:type="spellStart"/>
      <w:r w:rsidRPr="00E21A43">
        <w:rPr>
          <w:rFonts w:ascii="Times New Roman" w:hAnsi="Times New Roman" w:cs="Times New Roman"/>
          <w:sz w:val="24"/>
          <w:szCs w:val="24"/>
          <w:shd w:val="clear" w:color="auto" w:fill="FFFFFF"/>
        </w:rPr>
        <w:t>Albougami</w:t>
      </w:r>
      <w:proofErr w:type="spellEnd"/>
      <w:r w:rsidRPr="00E21A43">
        <w:rPr>
          <w:rFonts w:ascii="Times New Roman" w:hAnsi="Times New Roman" w:cs="Times New Roman"/>
          <w:sz w:val="24"/>
          <w:szCs w:val="24"/>
          <w:shd w:val="clear" w:color="auto" w:fill="FFFFFF"/>
        </w:rPr>
        <w:t xml:space="preserve">, A. S., Pounds, K. G., and Alotaibi, J. S. (2016). Comparison of four cultural competence models in transcultural nursing: A discussion paper. </w:t>
      </w:r>
      <w:r w:rsidRPr="00E21A43">
        <w:rPr>
          <w:rFonts w:ascii="Times New Roman" w:hAnsi="Times New Roman" w:cs="Times New Roman"/>
          <w:i/>
          <w:sz w:val="24"/>
          <w:szCs w:val="24"/>
          <w:shd w:val="clear" w:color="auto" w:fill="FFFFFF"/>
        </w:rPr>
        <w:t>International Archives of Nursing and Health Care, 2</w:t>
      </w:r>
      <w:r w:rsidRPr="00E21A43">
        <w:rPr>
          <w:rFonts w:ascii="Times New Roman" w:hAnsi="Times New Roman" w:cs="Times New Roman"/>
          <w:sz w:val="24"/>
          <w:szCs w:val="24"/>
          <w:shd w:val="clear" w:color="auto" w:fill="FFFFFF"/>
        </w:rPr>
        <w:t xml:space="preserve">(4), 2–5. </w:t>
      </w:r>
    </w:p>
    <w:p w14:paraId="027B32B4" w14:textId="77777777" w:rsidR="00E21A43" w:rsidRPr="00E21A43" w:rsidRDefault="00E21A43" w:rsidP="002A1C73">
      <w:pPr>
        <w:spacing w:after="0" w:line="480" w:lineRule="auto"/>
        <w:ind w:left="720" w:hanging="720"/>
        <w:rPr>
          <w:rFonts w:ascii="Times New Roman" w:hAnsi="Times New Roman" w:cs="Times New Roman"/>
          <w:color w:val="212121"/>
          <w:sz w:val="24"/>
          <w:szCs w:val="24"/>
          <w:shd w:val="clear" w:color="auto" w:fill="FFFFFF"/>
        </w:rPr>
      </w:pPr>
      <w:proofErr w:type="spellStart"/>
      <w:r w:rsidRPr="00E21A43">
        <w:rPr>
          <w:rFonts w:ascii="Times New Roman" w:hAnsi="Times New Roman" w:cs="Times New Roman"/>
          <w:color w:val="212121"/>
          <w:sz w:val="24"/>
          <w:szCs w:val="24"/>
          <w:shd w:val="clear" w:color="auto" w:fill="FFFFFF"/>
        </w:rPr>
        <w:t>Angawi</w:t>
      </w:r>
      <w:proofErr w:type="spellEnd"/>
      <w:r w:rsidRPr="00E21A43">
        <w:rPr>
          <w:rFonts w:ascii="Times New Roman" w:hAnsi="Times New Roman" w:cs="Times New Roman"/>
          <w:color w:val="212121"/>
          <w:sz w:val="24"/>
          <w:szCs w:val="24"/>
          <w:shd w:val="clear" w:color="auto" w:fill="FFFFFF"/>
        </w:rPr>
        <w:t xml:space="preserve"> K. (2023). Immigrants, health, and the impact of COVID-19: A narrative review. </w:t>
      </w:r>
      <w:r w:rsidRPr="00E21A43">
        <w:rPr>
          <w:rFonts w:ascii="Times New Roman" w:hAnsi="Times New Roman" w:cs="Times New Roman"/>
          <w:i/>
          <w:iCs/>
          <w:color w:val="212121"/>
          <w:sz w:val="24"/>
          <w:szCs w:val="24"/>
          <w:shd w:val="clear" w:color="auto" w:fill="FFFFFF"/>
        </w:rPr>
        <w:t>F1000Research</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12</w:t>
      </w:r>
      <w:r w:rsidRPr="00E21A43">
        <w:rPr>
          <w:rFonts w:ascii="Times New Roman" w:hAnsi="Times New Roman" w:cs="Times New Roman"/>
          <w:color w:val="212121"/>
          <w:sz w:val="24"/>
          <w:szCs w:val="24"/>
          <w:shd w:val="clear" w:color="auto" w:fill="FFFFFF"/>
        </w:rPr>
        <w:t>, 176. https://doi.org/10.12688/f1000research.130085.2</w:t>
      </w:r>
    </w:p>
    <w:p w14:paraId="4B54D9CA" w14:textId="77777777" w:rsidR="00E21A43" w:rsidRPr="00E21A43" w:rsidRDefault="00E21A43" w:rsidP="002A1C73">
      <w:pPr>
        <w:spacing w:after="0" w:line="480" w:lineRule="auto"/>
        <w:ind w:left="720" w:hanging="720"/>
        <w:rPr>
          <w:rFonts w:ascii="Times New Roman" w:hAnsi="Times New Roman" w:cs="Times New Roman"/>
          <w:color w:val="212121"/>
          <w:sz w:val="24"/>
          <w:szCs w:val="24"/>
          <w:shd w:val="clear" w:color="auto" w:fill="FFFFFF"/>
        </w:rPr>
      </w:pPr>
      <w:r w:rsidRPr="00E21A43">
        <w:rPr>
          <w:rFonts w:ascii="Times New Roman" w:hAnsi="Times New Roman" w:cs="Times New Roman"/>
          <w:color w:val="212121"/>
          <w:sz w:val="24"/>
          <w:szCs w:val="24"/>
          <w:shd w:val="clear" w:color="auto" w:fill="FFFFFF"/>
        </w:rPr>
        <w:t xml:space="preserve">Balakrishnan, A., &amp; Jordan, N. (2019). The </w:t>
      </w:r>
      <w:r w:rsidRPr="00E21A43">
        <w:rPr>
          <w:rFonts w:ascii="Times New Roman" w:hAnsi="Times New Roman" w:cs="Times New Roman"/>
          <w:color w:val="212121"/>
          <w:sz w:val="24"/>
          <w:szCs w:val="24"/>
          <w:shd w:val="clear" w:color="auto" w:fill="FFFFFF"/>
        </w:rPr>
        <w:t>undocumented elderly</w:t>
      </w:r>
      <w:r w:rsidRPr="00E21A43">
        <w:rPr>
          <w:rFonts w:ascii="Times New Roman" w:hAnsi="Times New Roman" w:cs="Times New Roman"/>
          <w:color w:val="212121"/>
          <w:sz w:val="24"/>
          <w:szCs w:val="24"/>
          <w:shd w:val="clear" w:color="auto" w:fill="FFFFFF"/>
        </w:rPr>
        <w:t xml:space="preserve">: Coverage </w:t>
      </w:r>
      <w:r w:rsidRPr="00E21A43">
        <w:rPr>
          <w:rFonts w:ascii="Times New Roman" w:hAnsi="Times New Roman" w:cs="Times New Roman"/>
          <w:color w:val="212121"/>
          <w:sz w:val="24"/>
          <w:szCs w:val="24"/>
          <w:shd w:val="clear" w:color="auto" w:fill="FFFFFF"/>
        </w:rPr>
        <w:t>gaps and low health care use</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 xml:space="preserve">Journal of </w:t>
      </w:r>
      <w:r w:rsidRPr="00E21A43">
        <w:rPr>
          <w:rFonts w:ascii="Times New Roman" w:hAnsi="Times New Roman" w:cs="Times New Roman"/>
          <w:i/>
          <w:iCs/>
          <w:color w:val="212121"/>
          <w:sz w:val="24"/>
          <w:szCs w:val="24"/>
          <w:shd w:val="clear" w:color="auto" w:fill="FFFFFF"/>
        </w:rPr>
        <w:t xml:space="preserve">Health Care </w:t>
      </w:r>
      <w:r w:rsidRPr="00E21A43">
        <w:rPr>
          <w:rFonts w:ascii="Times New Roman" w:hAnsi="Times New Roman" w:cs="Times New Roman"/>
          <w:i/>
          <w:iCs/>
          <w:color w:val="212121"/>
          <w:sz w:val="24"/>
          <w:szCs w:val="24"/>
          <w:shd w:val="clear" w:color="auto" w:fill="FFFFFF"/>
        </w:rPr>
        <w:t xml:space="preserve">for the </w:t>
      </w:r>
      <w:r w:rsidRPr="00E21A43">
        <w:rPr>
          <w:rFonts w:ascii="Times New Roman" w:hAnsi="Times New Roman" w:cs="Times New Roman"/>
          <w:i/>
          <w:iCs/>
          <w:color w:val="212121"/>
          <w:sz w:val="24"/>
          <w:szCs w:val="24"/>
          <w:shd w:val="clear" w:color="auto" w:fill="FFFFFF"/>
        </w:rPr>
        <w:t xml:space="preserve">Poor </w:t>
      </w:r>
      <w:r w:rsidRPr="00E21A43">
        <w:rPr>
          <w:rFonts w:ascii="Times New Roman" w:hAnsi="Times New Roman" w:cs="Times New Roman"/>
          <w:i/>
          <w:iCs/>
          <w:color w:val="212121"/>
          <w:sz w:val="24"/>
          <w:szCs w:val="24"/>
          <w:shd w:val="clear" w:color="auto" w:fill="FFFFFF"/>
        </w:rPr>
        <w:t xml:space="preserve">and </w:t>
      </w:r>
      <w:r w:rsidRPr="00E21A43">
        <w:rPr>
          <w:rFonts w:ascii="Times New Roman" w:hAnsi="Times New Roman" w:cs="Times New Roman"/>
          <w:i/>
          <w:iCs/>
          <w:color w:val="212121"/>
          <w:sz w:val="24"/>
          <w:szCs w:val="24"/>
          <w:shd w:val="clear" w:color="auto" w:fill="FFFFFF"/>
        </w:rPr>
        <w:t>Underserved</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30</w:t>
      </w:r>
      <w:r w:rsidRPr="00E21A43">
        <w:rPr>
          <w:rFonts w:ascii="Times New Roman" w:hAnsi="Times New Roman" w:cs="Times New Roman"/>
          <w:color w:val="212121"/>
          <w:sz w:val="24"/>
          <w:szCs w:val="24"/>
          <w:shd w:val="clear" w:color="auto" w:fill="FFFFFF"/>
        </w:rPr>
        <w:t>(3), 891–898. https://doi.org/10.1353/hpu.2019.0062</w:t>
      </w:r>
    </w:p>
    <w:p w14:paraId="1133FAC7" w14:textId="77777777" w:rsidR="00E21A43" w:rsidRPr="00E21A43" w:rsidRDefault="00E21A43" w:rsidP="002A1C73">
      <w:pPr>
        <w:spacing w:after="0" w:line="480" w:lineRule="auto"/>
        <w:ind w:left="720" w:hanging="720"/>
        <w:rPr>
          <w:rFonts w:ascii="Times New Roman" w:hAnsi="Times New Roman" w:cs="Times New Roman"/>
          <w:sz w:val="24"/>
          <w:szCs w:val="24"/>
        </w:rPr>
      </w:pPr>
      <w:r w:rsidRPr="00E21A43">
        <w:rPr>
          <w:rFonts w:ascii="Times New Roman" w:hAnsi="Times New Roman" w:cs="Times New Roman"/>
          <w:sz w:val="24"/>
          <w:szCs w:val="24"/>
        </w:rPr>
        <w:t xml:space="preserve">Bandura, A. (1977). </w:t>
      </w:r>
      <w:r w:rsidRPr="00E21A43">
        <w:rPr>
          <w:rStyle w:val="Emphasis"/>
          <w:rFonts w:ascii="Times New Roman" w:hAnsi="Times New Roman" w:cs="Times New Roman"/>
          <w:sz w:val="24"/>
          <w:szCs w:val="24"/>
        </w:rPr>
        <w:t>Social learning theory</w:t>
      </w:r>
      <w:r w:rsidRPr="00E21A43">
        <w:rPr>
          <w:rFonts w:ascii="Times New Roman" w:hAnsi="Times New Roman" w:cs="Times New Roman"/>
          <w:sz w:val="24"/>
          <w:szCs w:val="24"/>
        </w:rPr>
        <w:t>. Prentice-Hall.</w:t>
      </w:r>
    </w:p>
    <w:p w14:paraId="12286E1A" w14:textId="77777777" w:rsidR="00E21A43" w:rsidRPr="00E21A43" w:rsidRDefault="00E21A43" w:rsidP="002A1C73">
      <w:pPr>
        <w:spacing w:after="0" w:line="480" w:lineRule="auto"/>
        <w:ind w:left="720" w:hanging="720"/>
        <w:rPr>
          <w:rFonts w:ascii="Times New Roman" w:hAnsi="Times New Roman" w:cs="Times New Roman"/>
          <w:color w:val="212121"/>
          <w:sz w:val="24"/>
          <w:szCs w:val="24"/>
          <w:shd w:val="clear" w:color="auto" w:fill="FFFFFF"/>
        </w:rPr>
      </w:pPr>
      <w:r w:rsidRPr="00E21A43">
        <w:rPr>
          <w:rFonts w:ascii="Times New Roman" w:hAnsi="Times New Roman" w:cs="Times New Roman"/>
          <w:color w:val="212121"/>
          <w:sz w:val="24"/>
          <w:szCs w:val="24"/>
          <w:shd w:val="clear" w:color="auto" w:fill="FFFFFF"/>
        </w:rPr>
        <w:t>Beech, B. M., Ford, C., Thorpe, R. J., Jr, Bruce, M. A., &amp; Norris, K. C. (2021). Poverty, racism, and the public health crisis in America. </w:t>
      </w:r>
      <w:r w:rsidRPr="00E21A43">
        <w:rPr>
          <w:rFonts w:ascii="Times New Roman" w:hAnsi="Times New Roman" w:cs="Times New Roman"/>
          <w:i/>
          <w:iCs/>
          <w:color w:val="212121"/>
          <w:sz w:val="24"/>
          <w:szCs w:val="24"/>
          <w:shd w:val="clear" w:color="auto" w:fill="FFFFFF"/>
        </w:rPr>
        <w:t>Frontiers in Public Health</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9</w:t>
      </w:r>
      <w:r w:rsidRPr="00E21A43">
        <w:rPr>
          <w:rFonts w:ascii="Times New Roman" w:hAnsi="Times New Roman" w:cs="Times New Roman"/>
          <w:color w:val="212121"/>
          <w:sz w:val="24"/>
          <w:szCs w:val="24"/>
          <w:shd w:val="clear" w:color="auto" w:fill="FFFFFF"/>
        </w:rPr>
        <w:t xml:space="preserve">, 699049. https://doi.org/10.3389/fpubh.2021.699049 </w:t>
      </w:r>
    </w:p>
    <w:p w14:paraId="34148BB3" w14:textId="77777777" w:rsidR="00E21A43" w:rsidRPr="00E21A43" w:rsidRDefault="00E21A43" w:rsidP="00BA6671">
      <w:pPr>
        <w:spacing w:after="0" w:line="480" w:lineRule="auto"/>
        <w:ind w:left="720" w:hanging="720"/>
        <w:rPr>
          <w:rFonts w:ascii="Times New Roman" w:eastAsia="Times New Roman" w:hAnsi="Times New Roman" w:cs="Times New Roman"/>
          <w:sz w:val="24"/>
          <w:szCs w:val="24"/>
          <w:lang w:val="en-GB" w:eastAsia="en-GB"/>
        </w:rPr>
      </w:pPr>
      <w:r w:rsidRPr="00E21A43">
        <w:rPr>
          <w:rFonts w:ascii="Times New Roman" w:eastAsia="Times New Roman" w:hAnsi="Times New Roman" w:cs="Times New Roman"/>
          <w:sz w:val="24"/>
          <w:szCs w:val="24"/>
          <w:lang w:val="en-GB" w:eastAsia="en-GB"/>
        </w:rPr>
        <w:t xml:space="preserve">Berry, J. A., Cranford, J., &amp; Powell, R. (2024). The stress of advancement: A nurse practitioner's exploration in providing culturally competent obesity prevention </w:t>
      </w:r>
      <w:proofErr w:type="spellStart"/>
      <w:r w:rsidRPr="00E21A43">
        <w:rPr>
          <w:rFonts w:ascii="Times New Roman" w:eastAsia="Times New Roman" w:hAnsi="Times New Roman" w:cs="Times New Roman"/>
          <w:sz w:val="24"/>
          <w:szCs w:val="24"/>
          <w:lang w:val="en-GB" w:eastAsia="en-GB"/>
        </w:rPr>
        <w:t>counseling</w:t>
      </w:r>
      <w:proofErr w:type="spellEnd"/>
      <w:r w:rsidRPr="00E21A43">
        <w:rPr>
          <w:rFonts w:ascii="Times New Roman" w:eastAsia="Times New Roman" w:hAnsi="Times New Roman" w:cs="Times New Roman"/>
          <w:sz w:val="24"/>
          <w:szCs w:val="24"/>
          <w:lang w:val="en-GB" w:eastAsia="en-GB"/>
        </w:rPr>
        <w:t xml:space="preserve"> in Black Women. </w:t>
      </w:r>
      <w:r w:rsidRPr="00E21A43">
        <w:rPr>
          <w:rFonts w:ascii="Times New Roman" w:eastAsia="Times New Roman" w:hAnsi="Times New Roman" w:cs="Times New Roman"/>
          <w:i/>
          <w:iCs/>
          <w:sz w:val="24"/>
          <w:szCs w:val="24"/>
          <w:lang w:val="en-GB" w:eastAsia="en-GB"/>
        </w:rPr>
        <w:t>Health Promotion Practice</w:t>
      </w:r>
      <w:r w:rsidRPr="00E21A43">
        <w:rPr>
          <w:rFonts w:ascii="Times New Roman" w:eastAsia="Times New Roman" w:hAnsi="Times New Roman" w:cs="Times New Roman"/>
          <w:sz w:val="24"/>
          <w:szCs w:val="24"/>
          <w:lang w:val="en-GB" w:eastAsia="en-GB"/>
        </w:rPr>
        <w:t xml:space="preserve">, 15248399231221767. Advance online publication. https://doi.org/10.1177/15248399231221767 </w:t>
      </w:r>
    </w:p>
    <w:p w14:paraId="13402AF8" w14:textId="77777777" w:rsidR="00E21A43" w:rsidRPr="00E21A43" w:rsidRDefault="00E21A43" w:rsidP="002A1C73">
      <w:pPr>
        <w:spacing w:after="0" w:line="480" w:lineRule="auto"/>
        <w:ind w:left="720" w:hanging="720"/>
        <w:rPr>
          <w:rFonts w:ascii="Times New Roman" w:hAnsi="Times New Roman" w:cs="Times New Roman"/>
          <w:color w:val="212121"/>
          <w:sz w:val="24"/>
          <w:szCs w:val="24"/>
          <w:shd w:val="clear" w:color="auto" w:fill="FFFFFF"/>
        </w:rPr>
      </w:pPr>
      <w:r w:rsidRPr="00E21A43">
        <w:rPr>
          <w:rFonts w:ascii="Times New Roman" w:hAnsi="Times New Roman" w:cs="Times New Roman"/>
          <w:color w:val="212121"/>
          <w:sz w:val="24"/>
          <w:szCs w:val="24"/>
          <w:shd w:val="clear" w:color="auto" w:fill="FFFFFF"/>
        </w:rPr>
        <w:t>Brady D. (2023). Poverty, not the poor. </w:t>
      </w:r>
      <w:r w:rsidRPr="00E21A43">
        <w:rPr>
          <w:rFonts w:ascii="Times New Roman" w:hAnsi="Times New Roman" w:cs="Times New Roman"/>
          <w:i/>
          <w:iCs/>
          <w:color w:val="212121"/>
          <w:sz w:val="24"/>
          <w:szCs w:val="24"/>
          <w:shd w:val="clear" w:color="auto" w:fill="FFFFFF"/>
        </w:rPr>
        <w:t>Science Advances</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9</w:t>
      </w:r>
      <w:r w:rsidRPr="00E21A43">
        <w:rPr>
          <w:rFonts w:ascii="Times New Roman" w:hAnsi="Times New Roman" w:cs="Times New Roman"/>
          <w:color w:val="212121"/>
          <w:sz w:val="24"/>
          <w:szCs w:val="24"/>
          <w:shd w:val="clear" w:color="auto" w:fill="FFFFFF"/>
        </w:rPr>
        <w:t xml:space="preserve">(34), eadg1469. https://doi.org/10.1126/sciadv.adg1469 </w:t>
      </w:r>
    </w:p>
    <w:p w14:paraId="1FBD36E0" w14:textId="77777777" w:rsidR="00E21A43" w:rsidRPr="00E21A43" w:rsidRDefault="00E21A43" w:rsidP="00BA6671">
      <w:pPr>
        <w:spacing w:after="0" w:line="480" w:lineRule="auto"/>
        <w:ind w:left="720" w:hanging="720"/>
        <w:rPr>
          <w:rFonts w:ascii="Times New Roman" w:hAnsi="Times New Roman" w:cs="Times New Roman"/>
          <w:color w:val="212121"/>
          <w:sz w:val="24"/>
          <w:szCs w:val="24"/>
          <w:shd w:val="clear" w:color="auto" w:fill="FFFFFF"/>
        </w:rPr>
      </w:pPr>
      <w:proofErr w:type="spellStart"/>
      <w:r w:rsidRPr="00E21A43">
        <w:rPr>
          <w:rFonts w:ascii="Times New Roman" w:hAnsi="Times New Roman" w:cs="Times New Roman"/>
          <w:color w:val="212121"/>
          <w:sz w:val="24"/>
          <w:szCs w:val="24"/>
          <w:shd w:val="clear" w:color="auto" w:fill="FFFFFF"/>
        </w:rPr>
        <w:lastRenderedPageBreak/>
        <w:t>Campinha-Bacote</w:t>
      </w:r>
      <w:proofErr w:type="spellEnd"/>
      <w:r w:rsidRPr="00E21A43">
        <w:rPr>
          <w:rFonts w:ascii="Times New Roman" w:hAnsi="Times New Roman" w:cs="Times New Roman"/>
          <w:color w:val="212121"/>
          <w:sz w:val="24"/>
          <w:szCs w:val="24"/>
          <w:shd w:val="clear" w:color="auto" w:fill="FFFFFF"/>
        </w:rPr>
        <w:t xml:space="preserve"> J. (2002). The Process of Cultural Competence in the Delivery of Healthcare Services: a model of care. </w:t>
      </w:r>
      <w:r w:rsidRPr="00E21A43">
        <w:rPr>
          <w:rFonts w:ascii="Times New Roman" w:hAnsi="Times New Roman" w:cs="Times New Roman"/>
          <w:i/>
          <w:iCs/>
          <w:color w:val="212121"/>
          <w:sz w:val="24"/>
          <w:szCs w:val="24"/>
          <w:shd w:val="clear" w:color="auto" w:fill="FFFFFF"/>
        </w:rPr>
        <w:t>Journal of Transcultural Nursing: Official Journal of the Transcultural Nursing Society</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13</w:t>
      </w:r>
      <w:r w:rsidRPr="00E21A43">
        <w:rPr>
          <w:rFonts w:ascii="Times New Roman" w:hAnsi="Times New Roman" w:cs="Times New Roman"/>
          <w:color w:val="212121"/>
          <w:sz w:val="24"/>
          <w:szCs w:val="24"/>
          <w:shd w:val="clear" w:color="auto" w:fill="FFFFFF"/>
        </w:rPr>
        <w:t xml:space="preserve">(3), 181–201. https://doi.org/10.1177/10459602013003003 </w:t>
      </w:r>
    </w:p>
    <w:p w14:paraId="38EEED7E" w14:textId="77777777" w:rsidR="00E21A43" w:rsidRPr="00E21A43" w:rsidRDefault="00E21A43" w:rsidP="00BA6671">
      <w:pPr>
        <w:spacing w:after="0" w:line="480" w:lineRule="auto"/>
        <w:ind w:left="720" w:hanging="720"/>
        <w:rPr>
          <w:rFonts w:ascii="Times New Roman" w:hAnsi="Times New Roman" w:cs="Times New Roman"/>
          <w:color w:val="212121"/>
          <w:sz w:val="24"/>
          <w:szCs w:val="24"/>
          <w:shd w:val="clear" w:color="auto" w:fill="FFFFFF"/>
        </w:rPr>
      </w:pPr>
      <w:proofErr w:type="spellStart"/>
      <w:r w:rsidRPr="00E21A43">
        <w:rPr>
          <w:rFonts w:ascii="Times New Roman" w:hAnsi="Times New Roman" w:cs="Times New Roman"/>
          <w:color w:val="212121"/>
          <w:sz w:val="24"/>
          <w:szCs w:val="24"/>
          <w:shd w:val="clear" w:color="auto" w:fill="FFFFFF"/>
        </w:rPr>
        <w:t>Červený</w:t>
      </w:r>
      <w:proofErr w:type="spellEnd"/>
      <w:r w:rsidRPr="00E21A43">
        <w:rPr>
          <w:rFonts w:ascii="Times New Roman" w:hAnsi="Times New Roman" w:cs="Times New Roman"/>
          <w:color w:val="212121"/>
          <w:sz w:val="24"/>
          <w:szCs w:val="24"/>
          <w:shd w:val="clear" w:color="auto" w:fill="FFFFFF"/>
        </w:rPr>
        <w:t xml:space="preserve">, M., </w:t>
      </w:r>
      <w:proofErr w:type="spellStart"/>
      <w:r w:rsidRPr="00E21A43">
        <w:rPr>
          <w:rFonts w:ascii="Times New Roman" w:hAnsi="Times New Roman" w:cs="Times New Roman"/>
          <w:color w:val="212121"/>
          <w:sz w:val="24"/>
          <w:szCs w:val="24"/>
          <w:shd w:val="clear" w:color="auto" w:fill="FFFFFF"/>
        </w:rPr>
        <w:t>Kratochvílová</w:t>
      </w:r>
      <w:proofErr w:type="spellEnd"/>
      <w:r w:rsidRPr="00E21A43">
        <w:rPr>
          <w:rFonts w:ascii="Times New Roman" w:hAnsi="Times New Roman" w:cs="Times New Roman"/>
          <w:color w:val="212121"/>
          <w:sz w:val="24"/>
          <w:szCs w:val="24"/>
          <w:shd w:val="clear" w:color="auto" w:fill="FFFFFF"/>
        </w:rPr>
        <w:t xml:space="preserve">, I., </w:t>
      </w:r>
      <w:proofErr w:type="spellStart"/>
      <w:r w:rsidRPr="00E21A43">
        <w:rPr>
          <w:rFonts w:ascii="Times New Roman" w:hAnsi="Times New Roman" w:cs="Times New Roman"/>
          <w:color w:val="212121"/>
          <w:sz w:val="24"/>
          <w:szCs w:val="24"/>
          <w:shd w:val="clear" w:color="auto" w:fill="FFFFFF"/>
        </w:rPr>
        <w:t>Hellerová</w:t>
      </w:r>
      <w:proofErr w:type="spellEnd"/>
      <w:r w:rsidRPr="00E21A43">
        <w:rPr>
          <w:rFonts w:ascii="Times New Roman" w:hAnsi="Times New Roman" w:cs="Times New Roman"/>
          <w:color w:val="212121"/>
          <w:sz w:val="24"/>
          <w:szCs w:val="24"/>
          <w:shd w:val="clear" w:color="auto" w:fill="FFFFFF"/>
        </w:rPr>
        <w:t xml:space="preserve">, V., &amp; </w:t>
      </w:r>
      <w:proofErr w:type="spellStart"/>
      <w:r w:rsidRPr="00E21A43">
        <w:rPr>
          <w:rFonts w:ascii="Times New Roman" w:hAnsi="Times New Roman" w:cs="Times New Roman"/>
          <w:color w:val="212121"/>
          <w:sz w:val="24"/>
          <w:szCs w:val="24"/>
          <w:shd w:val="clear" w:color="auto" w:fill="FFFFFF"/>
        </w:rPr>
        <w:t>Tóthová</w:t>
      </w:r>
      <w:proofErr w:type="spellEnd"/>
      <w:r w:rsidRPr="00E21A43">
        <w:rPr>
          <w:rFonts w:ascii="Times New Roman" w:hAnsi="Times New Roman" w:cs="Times New Roman"/>
          <w:color w:val="212121"/>
          <w:sz w:val="24"/>
          <w:szCs w:val="24"/>
          <w:shd w:val="clear" w:color="auto" w:fill="FFFFFF"/>
        </w:rPr>
        <w:t>, V. (2022). Methods of increasing cultural competence in nurses working in clinical practice: A scoping review of literature 2011-2021. </w:t>
      </w:r>
      <w:r w:rsidRPr="00E21A43">
        <w:rPr>
          <w:rFonts w:ascii="Times New Roman" w:hAnsi="Times New Roman" w:cs="Times New Roman"/>
          <w:i/>
          <w:iCs/>
          <w:color w:val="212121"/>
          <w:sz w:val="24"/>
          <w:szCs w:val="24"/>
          <w:shd w:val="clear" w:color="auto" w:fill="FFFFFF"/>
        </w:rPr>
        <w:t>Frontiers in Psychology</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13</w:t>
      </w:r>
      <w:r w:rsidRPr="00E21A43">
        <w:rPr>
          <w:rFonts w:ascii="Times New Roman" w:hAnsi="Times New Roman" w:cs="Times New Roman"/>
          <w:color w:val="212121"/>
          <w:sz w:val="24"/>
          <w:szCs w:val="24"/>
          <w:shd w:val="clear" w:color="auto" w:fill="FFFFFF"/>
        </w:rPr>
        <w:t xml:space="preserve">, 936181. https://doi.org/10.3389/fpsyg.2022.936181 </w:t>
      </w:r>
    </w:p>
    <w:p w14:paraId="4119C481" w14:textId="77777777" w:rsidR="00E21A43" w:rsidRPr="00E21A43" w:rsidRDefault="00E21A43" w:rsidP="002A1C73">
      <w:pPr>
        <w:spacing w:after="0" w:line="480" w:lineRule="auto"/>
        <w:ind w:left="720" w:hanging="720"/>
        <w:rPr>
          <w:rFonts w:ascii="Times New Roman" w:hAnsi="Times New Roman" w:cs="Times New Roman"/>
          <w:color w:val="212121"/>
          <w:sz w:val="24"/>
          <w:szCs w:val="24"/>
          <w:shd w:val="clear" w:color="auto" w:fill="FFFFFF"/>
        </w:rPr>
      </w:pPr>
      <w:r w:rsidRPr="00E21A43">
        <w:rPr>
          <w:rFonts w:ascii="Times New Roman" w:hAnsi="Times New Roman" w:cs="Times New Roman"/>
          <w:color w:val="212121"/>
          <w:sz w:val="24"/>
          <w:szCs w:val="24"/>
          <w:shd w:val="clear" w:color="auto" w:fill="FFFFFF"/>
        </w:rPr>
        <w:t xml:space="preserve">Christie-Mizell C. A. (2022). Neighborhood </w:t>
      </w:r>
      <w:r w:rsidRPr="00E21A43">
        <w:rPr>
          <w:rFonts w:ascii="Times New Roman" w:hAnsi="Times New Roman" w:cs="Times New Roman"/>
          <w:color w:val="212121"/>
          <w:sz w:val="24"/>
          <w:szCs w:val="24"/>
          <w:shd w:val="clear" w:color="auto" w:fill="FFFFFF"/>
        </w:rPr>
        <w:t>disadvantage and poor health</w:t>
      </w:r>
      <w:r w:rsidRPr="00E21A43">
        <w:rPr>
          <w:rFonts w:ascii="Times New Roman" w:hAnsi="Times New Roman" w:cs="Times New Roman"/>
          <w:color w:val="212121"/>
          <w:sz w:val="24"/>
          <w:szCs w:val="24"/>
          <w:shd w:val="clear" w:color="auto" w:fill="FFFFFF"/>
        </w:rPr>
        <w:t xml:space="preserve">: The </w:t>
      </w:r>
      <w:r w:rsidRPr="00E21A43">
        <w:rPr>
          <w:rFonts w:ascii="Times New Roman" w:hAnsi="Times New Roman" w:cs="Times New Roman"/>
          <w:color w:val="212121"/>
          <w:sz w:val="24"/>
          <w:szCs w:val="24"/>
          <w:shd w:val="clear" w:color="auto" w:fill="FFFFFF"/>
        </w:rPr>
        <w:t>consequences of race, gender, and age among young adults</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 xml:space="preserve">International </w:t>
      </w:r>
      <w:r w:rsidRPr="00E21A43">
        <w:rPr>
          <w:rFonts w:ascii="Times New Roman" w:hAnsi="Times New Roman" w:cs="Times New Roman"/>
          <w:i/>
          <w:iCs/>
          <w:color w:val="212121"/>
          <w:sz w:val="24"/>
          <w:szCs w:val="24"/>
          <w:shd w:val="clear" w:color="auto" w:fill="FFFFFF"/>
        </w:rPr>
        <w:t xml:space="preserve">Journal </w:t>
      </w:r>
      <w:r w:rsidRPr="00E21A43">
        <w:rPr>
          <w:rFonts w:ascii="Times New Roman" w:hAnsi="Times New Roman" w:cs="Times New Roman"/>
          <w:i/>
          <w:iCs/>
          <w:color w:val="212121"/>
          <w:sz w:val="24"/>
          <w:szCs w:val="24"/>
          <w:shd w:val="clear" w:color="auto" w:fill="FFFFFF"/>
        </w:rPr>
        <w:t xml:space="preserve">of </w:t>
      </w:r>
      <w:r w:rsidRPr="00E21A43">
        <w:rPr>
          <w:rFonts w:ascii="Times New Roman" w:hAnsi="Times New Roman" w:cs="Times New Roman"/>
          <w:i/>
          <w:iCs/>
          <w:color w:val="212121"/>
          <w:sz w:val="24"/>
          <w:szCs w:val="24"/>
          <w:shd w:val="clear" w:color="auto" w:fill="FFFFFF"/>
        </w:rPr>
        <w:t xml:space="preserve">Environmental Research </w:t>
      </w:r>
      <w:r w:rsidRPr="00E21A43">
        <w:rPr>
          <w:rFonts w:ascii="Times New Roman" w:hAnsi="Times New Roman" w:cs="Times New Roman"/>
          <w:i/>
          <w:iCs/>
          <w:color w:val="212121"/>
          <w:sz w:val="24"/>
          <w:szCs w:val="24"/>
          <w:shd w:val="clear" w:color="auto" w:fill="FFFFFF"/>
        </w:rPr>
        <w:t xml:space="preserve">and </w:t>
      </w:r>
      <w:r w:rsidRPr="00E21A43">
        <w:rPr>
          <w:rFonts w:ascii="Times New Roman" w:hAnsi="Times New Roman" w:cs="Times New Roman"/>
          <w:i/>
          <w:iCs/>
          <w:color w:val="212121"/>
          <w:sz w:val="24"/>
          <w:szCs w:val="24"/>
          <w:shd w:val="clear" w:color="auto" w:fill="FFFFFF"/>
        </w:rPr>
        <w:t>Public Health</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19</w:t>
      </w:r>
      <w:r w:rsidRPr="00E21A43">
        <w:rPr>
          <w:rFonts w:ascii="Times New Roman" w:hAnsi="Times New Roman" w:cs="Times New Roman"/>
          <w:color w:val="212121"/>
          <w:sz w:val="24"/>
          <w:szCs w:val="24"/>
          <w:shd w:val="clear" w:color="auto" w:fill="FFFFFF"/>
        </w:rPr>
        <w:t>(13), 8107. https://doi.org/10.3390/ijerph19138107</w:t>
      </w:r>
    </w:p>
    <w:p w14:paraId="14945884" w14:textId="77777777" w:rsidR="00E21A43" w:rsidRPr="00E21A43" w:rsidRDefault="00E21A43" w:rsidP="002A1C73">
      <w:pPr>
        <w:spacing w:after="0" w:line="480" w:lineRule="auto"/>
        <w:ind w:left="720" w:hanging="720"/>
        <w:rPr>
          <w:rFonts w:ascii="Times New Roman" w:hAnsi="Times New Roman" w:cs="Times New Roman"/>
          <w:color w:val="303030"/>
          <w:sz w:val="24"/>
          <w:szCs w:val="24"/>
          <w:shd w:val="clear" w:color="auto" w:fill="FFFFFF"/>
        </w:rPr>
      </w:pPr>
      <w:r w:rsidRPr="00E21A43">
        <w:rPr>
          <w:rFonts w:ascii="Times New Roman" w:hAnsi="Times New Roman" w:cs="Times New Roman"/>
          <w:color w:val="222222"/>
          <w:sz w:val="24"/>
          <w:szCs w:val="24"/>
          <w:shd w:val="clear" w:color="auto" w:fill="FFFFFF"/>
        </w:rPr>
        <w:t xml:space="preserve">Clark, E., Fredricks, K., </w:t>
      </w:r>
      <w:proofErr w:type="spellStart"/>
      <w:r w:rsidRPr="00E21A43">
        <w:rPr>
          <w:rFonts w:ascii="Times New Roman" w:hAnsi="Times New Roman" w:cs="Times New Roman"/>
          <w:color w:val="222222"/>
          <w:sz w:val="24"/>
          <w:szCs w:val="24"/>
          <w:shd w:val="clear" w:color="auto" w:fill="FFFFFF"/>
        </w:rPr>
        <w:t>Woc</w:t>
      </w:r>
      <w:proofErr w:type="spellEnd"/>
      <w:r w:rsidRPr="00E21A43">
        <w:rPr>
          <w:rFonts w:ascii="Times New Roman" w:hAnsi="Times New Roman" w:cs="Times New Roman"/>
          <w:color w:val="222222"/>
          <w:sz w:val="24"/>
          <w:szCs w:val="24"/>
          <w:shd w:val="clear" w:color="auto" w:fill="FFFFFF"/>
        </w:rPr>
        <w:t xml:space="preserve">-Colburn, L., </w:t>
      </w:r>
      <w:proofErr w:type="spellStart"/>
      <w:r w:rsidRPr="00E21A43">
        <w:rPr>
          <w:rFonts w:ascii="Times New Roman" w:hAnsi="Times New Roman" w:cs="Times New Roman"/>
          <w:color w:val="222222"/>
          <w:sz w:val="24"/>
          <w:szCs w:val="24"/>
          <w:shd w:val="clear" w:color="auto" w:fill="FFFFFF"/>
        </w:rPr>
        <w:t>Bottazzi</w:t>
      </w:r>
      <w:proofErr w:type="spellEnd"/>
      <w:r w:rsidRPr="00E21A43">
        <w:rPr>
          <w:rFonts w:ascii="Times New Roman" w:hAnsi="Times New Roman" w:cs="Times New Roman"/>
          <w:color w:val="222222"/>
          <w:sz w:val="24"/>
          <w:szCs w:val="24"/>
          <w:shd w:val="clear" w:color="auto" w:fill="FFFFFF"/>
        </w:rPr>
        <w:t xml:space="preserve">, M. E., &amp; </w:t>
      </w:r>
      <w:proofErr w:type="spellStart"/>
      <w:r w:rsidRPr="00E21A43">
        <w:rPr>
          <w:rFonts w:ascii="Times New Roman" w:hAnsi="Times New Roman" w:cs="Times New Roman"/>
          <w:color w:val="222222"/>
          <w:sz w:val="24"/>
          <w:szCs w:val="24"/>
          <w:shd w:val="clear" w:color="auto" w:fill="FFFFFF"/>
        </w:rPr>
        <w:t>Weatherhead</w:t>
      </w:r>
      <w:proofErr w:type="spellEnd"/>
      <w:r w:rsidRPr="00E21A43">
        <w:rPr>
          <w:rFonts w:ascii="Times New Roman" w:hAnsi="Times New Roman" w:cs="Times New Roman"/>
          <w:color w:val="222222"/>
          <w:sz w:val="24"/>
          <w:szCs w:val="24"/>
          <w:shd w:val="clear" w:color="auto" w:fill="FFFFFF"/>
        </w:rPr>
        <w:t>, J. (2020). Disproportionate impact of the COVID-19 pandemic on immigrant communities in the United States. </w:t>
      </w:r>
      <w:proofErr w:type="spellStart"/>
      <w:r w:rsidRPr="00E21A43">
        <w:rPr>
          <w:rFonts w:ascii="Times New Roman" w:hAnsi="Times New Roman" w:cs="Times New Roman"/>
          <w:i/>
          <w:iCs/>
          <w:color w:val="222222"/>
          <w:sz w:val="24"/>
          <w:szCs w:val="24"/>
          <w:shd w:val="clear" w:color="auto" w:fill="FFFFFF"/>
        </w:rPr>
        <w:t>PLoS</w:t>
      </w:r>
      <w:proofErr w:type="spellEnd"/>
      <w:r w:rsidRPr="00E21A43">
        <w:rPr>
          <w:rFonts w:ascii="Times New Roman" w:hAnsi="Times New Roman" w:cs="Times New Roman"/>
          <w:i/>
          <w:iCs/>
          <w:color w:val="222222"/>
          <w:sz w:val="24"/>
          <w:szCs w:val="24"/>
          <w:shd w:val="clear" w:color="auto" w:fill="FFFFFF"/>
        </w:rPr>
        <w:t xml:space="preserve"> </w:t>
      </w:r>
      <w:r w:rsidRPr="00E21A43">
        <w:rPr>
          <w:rFonts w:ascii="Times New Roman" w:hAnsi="Times New Roman" w:cs="Times New Roman"/>
          <w:i/>
          <w:iCs/>
          <w:color w:val="222222"/>
          <w:sz w:val="24"/>
          <w:szCs w:val="24"/>
          <w:shd w:val="clear" w:color="auto" w:fill="FFFFFF"/>
        </w:rPr>
        <w:t>Neglected Tropical Diseases</w:t>
      </w:r>
      <w:r w:rsidRPr="00E21A43">
        <w:rPr>
          <w:rFonts w:ascii="Times New Roman" w:hAnsi="Times New Roman" w:cs="Times New Roman"/>
          <w:color w:val="222222"/>
          <w:sz w:val="24"/>
          <w:szCs w:val="24"/>
          <w:shd w:val="clear" w:color="auto" w:fill="FFFFFF"/>
        </w:rPr>
        <w:t>, </w:t>
      </w:r>
      <w:r w:rsidRPr="00E21A43">
        <w:rPr>
          <w:rFonts w:ascii="Times New Roman" w:hAnsi="Times New Roman" w:cs="Times New Roman"/>
          <w:i/>
          <w:iCs/>
          <w:color w:val="222222"/>
          <w:sz w:val="24"/>
          <w:szCs w:val="24"/>
          <w:shd w:val="clear" w:color="auto" w:fill="FFFFFF"/>
        </w:rPr>
        <w:t>14</w:t>
      </w:r>
      <w:r w:rsidRPr="00E21A43">
        <w:rPr>
          <w:rFonts w:ascii="Times New Roman" w:hAnsi="Times New Roman" w:cs="Times New Roman"/>
          <w:color w:val="222222"/>
          <w:sz w:val="24"/>
          <w:szCs w:val="24"/>
          <w:shd w:val="clear" w:color="auto" w:fill="FFFFFF"/>
        </w:rPr>
        <w:t>(7), e0008484.</w:t>
      </w:r>
      <w:r w:rsidRPr="00E21A43">
        <w:rPr>
          <w:rFonts w:ascii="Times New Roman" w:hAnsi="Times New Roman" w:cs="Times New Roman"/>
          <w:color w:val="222222"/>
          <w:sz w:val="24"/>
          <w:szCs w:val="24"/>
          <w:shd w:val="clear" w:color="auto" w:fill="FFFFFF"/>
        </w:rPr>
        <w:t xml:space="preserve"> https://doi.org/</w:t>
      </w:r>
      <w:r w:rsidRPr="00E21A43">
        <w:rPr>
          <w:rFonts w:ascii="Times New Roman" w:hAnsi="Times New Roman" w:cs="Times New Roman"/>
          <w:color w:val="303030"/>
          <w:sz w:val="24"/>
          <w:szCs w:val="24"/>
          <w:shd w:val="clear" w:color="auto" w:fill="FFFFFF"/>
        </w:rPr>
        <w:t>10.1371/journal.pntd.0008484 </w:t>
      </w:r>
    </w:p>
    <w:p w14:paraId="1A1476A7" w14:textId="77777777" w:rsidR="00E21A43" w:rsidRPr="00E21A43" w:rsidRDefault="00E21A43" w:rsidP="002A1C73">
      <w:pPr>
        <w:spacing w:after="0" w:line="480" w:lineRule="auto"/>
        <w:ind w:left="720" w:hanging="720"/>
        <w:rPr>
          <w:rFonts w:ascii="Times New Roman" w:hAnsi="Times New Roman" w:cs="Times New Roman"/>
          <w:color w:val="212121"/>
          <w:sz w:val="24"/>
          <w:szCs w:val="24"/>
          <w:shd w:val="clear" w:color="auto" w:fill="FFFFFF"/>
        </w:rPr>
      </w:pPr>
      <w:r w:rsidRPr="00E21A43">
        <w:rPr>
          <w:rFonts w:ascii="Times New Roman" w:hAnsi="Times New Roman" w:cs="Times New Roman"/>
          <w:color w:val="212121"/>
          <w:sz w:val="24"/>
          <w:szCs w:val="24"/>
          <w:shd w:val="clear" w:color="auto" w:fill="FFFFFF"/>
        </w:rPr>
        <w:t xml:space="preserve">Desmond, M. (2023). </w:t>
      </w:r>
      <w:r w:rsidRPr="00E21A43">
        <w:rPr>
          <w:rFonts w:ascii="Times New Roman" w:hAnsi="Times New Roman" w:cs="Times New Roman"/>
          <w:i/>
          <w:color w:val="212121"/>
          <w:sz w:val="24"/>
          <w:szCs w:val="24"/>
          <w:shd w:val="clear" w:color="auto" w:fill="FFFFFF"/>
        </w:rPr>
        <w:t xml:space="preserve">Poverty, by America. </w:t>
      </w:r>
      <w:r w:rsidRPr="00E21A43">
        <w:rPr>
          <w:rFonts w:ascii="Times New Roman" w:hAnsi="Times New Roman" w:cs="Times New Roman"/>
          <w:color w:val="212121"/>
          <w:sz w:val="24"/>
          <w:szCs w:val="24"/>
          <w:shd w:val="clear" w:color="auto" w:fill="FFFFFF"/>
        </w:rPr>
        <w:t>Crown.</w:t>
      </w:r>
    </w:p>
    <w:p w14:paraId="1E18AF13" w14:textId="77777777" w:rsidR="00E21A43" w:rsidRPr="00E21A43" w:rsidRDefault="00E21A43" w:rsidP="002A1C73">
      <w:pPr>
        <w:spacing w:after="0" w:line="480" w:lineRule="auto"/>
        <w:ind w:left="720" w:hanging="720"/>
        <w:rPr>
          <w:rFonts w:ascii="Times New Roman" w:hAnsi="Times New Roman" w:cs="Times New Roman"/>
          <w:color w:val="212121"/>
          <w:sz w:val="24"/>
          <w:szCs w:val="24"/>
          <w:shd w:val="clear" w:color="auto" w:fill="FFFFFF"/>
        </w:rPr>
      </w:pPr>
      <w:proofErr w:type="spellStart"/>
      <w:r w:rsidRPr="00E21A43">
        <w:rPr>
          <w:rFonts w:ascii="Times New Roman" w:hAnsi="Times New Roman" w:cs="Times New Roman"/>
          <w:color w:val="212121"/>
          <w:sz w:val="24"/>
          <w:szCs w:val="24"/>
          <w:shd w:val="clear" w:color="auto" w:fill="FFFFFF"/>
        </w:rPr>
        <w:t>Egede</w:t>
      </w:r>
      <w:proofErr w:type="spellEnd"/>
      <w:r w:rsidRPr="00E21A43">
        <w:rPr>
          <w:rFonts w:ascii="Times New Roman" w:hAnsi="Times New Roman" w:cs="Times New Roman"/>
          <w:color w:val="212121"/>
          <w:sz w:val="24"/>
          <w:szCs w:val="24"/>
          <w:shd w:val="clear" w:color="auto" w:fill="FFFFFF"/>
        </w:rPr>
        <w:t>, L. E., Walker, R. J., Campbell, J. A., Dawson, A. Z., &amp; Davidson, T. (2021). A new paradigm for addressing health disparities in inner-city environments: Adopting a disaster zone approach. </w:t>
      </w:r>
      <w:r w:rsidRPr="00E21A43">
        <w:rPr>
          <w:rFonts w:ascii="Times New Roman" w:hAnsi="Times New Roman" w:cs="Times New Roman"/>
          <w:i/>
          <w:iCs/>
          <w:color w:val="212121"/>
          <w:sz w:val="24"/>
          <w:szCs w:val="24"/>
          <w:shd w:val="clear" w:color="auto" w:fill="FFFFFF"/>
        </w:rPr>
        <w:t>Journal of Racial and Ethnic Health Disparities</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8</w:t>
      </w:r>
      <w:r w:rsidRPr="00E21A43">
        <w:rPr>
          <w:rFonts w:ascii="Times New Roman" w:hAnsi="Times New Roman" w:cs="Times New Roman"/>
          <w:color w:val="212121"/>
          <w:sz w:val="24"/>
          <w:szCs w:val="24"/>
          <w:shd w:val="clear" w:color="auto" w:fill="FFFFFF"/>
        </w:rPr>
        <w:t xml:space="preserve">(3), 690–697. https://doi.org/10.1007/s40615-020-00828-1 </w:t>
      </w:r>
    </w:p>
    <w:p w14:paraId="34012D8A" w14:textId="77777777" w:rsidR="00E21A43" w:rsidRPr="00E21A43" w:rsidRDefault="00E21A43" w:rsidP="002A1C73">
      <w:pPr>
        <w:spacing w:after="0" w:line="480" w:lineRule="auto"/>
        <w:ind w:left="720" w:hanging="720"/>
        <w:rPr>
          <w:rFonts w:ascii="Times New Roman" w:hAnsi="Times New Roman" w:cs="Times New Roman"/>
          <w:color w:val="222222"/>
          <w:sz w:val="24"/>
          <w:szCs w:val="24"/>
          <w:shd w:val="clear" w:color="auto" w:fill="FFFFFF"/>
        </w:rPr>
      </w:pPr>
      <w:proofErr w:type="spellStart"/>
      <w:r w:rsidRPr="00E21A43">
        <w:rPr>
          <w:rFonts w:ascii="Times New Roman" w:hAnsi="Times New Roman" w:cs="Times New Roman"/>
          <w:color w:val="222222"/>
          <w:sz w:val="24"/>
          <w:szCs w:val="24"/>
          <w:shd w:val="clear" w:color="auto" w:fill="FFFFFF"/>
        </w:rPr>
        <w:t>Floríndez</w:t>
      </w:r>
      <w:proofErr w:type="spellEnd"/>
      <w:r w:rsidRPr="00E21A43">
        <w:rPr>
          <w:rFonts w:ascii="Times New Roman" w:hAnsi="Times New Roman" w:cs="Times New Roman"/>
          <w:color w:val="222222"/>
          <w:sz w:val="24"/>
          <w:szCs w:val="24"/>
          <w:shd w:val="clear" w:color="auto" w:fill="FFFFFF"/>
        </w:rPr>
        <w:t xml:space="preserve">, L. I., </w:t>
      </w:r>
      <w:proofErr w:type="spellStart"/>
      <w:r w:rsidRPr="00E21A43">
        <w:rPr>
          <w:rFonts w:ascii="Times New Roman" w:hAnsi="Times New Roman" w:cs="Times New Roman"/>
          <w:color w:val="222222"/>
          <w:sz w:val="24"/>
          <w:szCs w:val="24"/>
          <w:shd w:val="clear" w:color="auto" w:fill="FFFFFF"/>
        </w:rPr>
        <w:t>Floríndez</w:t>
      </w:r>
      <w:proofErr w:type="spellEnd"/>
      <w:r w:rsidRPr="00E21A43">
        <w:rPr>
          <w:rFonts w:ascii="Times New Roman" w:hAnsi="Times New Roman" w:cs="Times New Roman"/>
          <w:color w:val="222222"/>
          <w:sz w:val="24"/>
          <w:szCs w:val="24"/>
          <w:shd w:val="clear" w:color="auto" w:fill="FFFFFF"/>
        </w:rPr>
        <w:t xml:space="preserve">, D. C., Como, D. H., </w:t>
      </w:r>
      <w:proofErr w:type="spellStart"/>
      <w:r w:rsidRPr="00E21A43">
        <w:rPr>
          <w:rFonts w:ascii="Times New Roman" w:hAnsi="Times New Roman" w:cs="Times New Roman"/>
          <w:color w:val="222222"/>
          <w:sz w:val="24"/>
          <w:szCs w:val="24"/>
          <w:shd w:val="clear" w:color="auto" w:fill="FFFFFF"/>
        </w:rPr>
        <w:t>Secola</w:t>
      </w:r>
      <w:proofErr w:type="spellEnd"/>
      <w:r w:rsidRPr="00E21A43">
        <w:rPr>
          <w:rFonts w:ascii="Times New Roman" w:hAnsi="Times New Roman" w:cs="Times New Roman"/>
          <w:color w:val="222222"/>
          <w:sz w:val="24"/>
          <w:szCs w:val="24"/>
          <w:shd w:val="clear" w:color="auto" w:fill="FFFFFF"/>
        </w:rPr>
        <w:t xml:space="preserve">, R., &amp; </w:t>
      </w:r>
      <w:proofErr w:type="spellStart"/>
      <w:r w:rsidRPr="00E21A43">
        <w:rPr>
          <w:rFonts w:ascii="Times New Roman" w:hAnsi="Times New Roman" w:cs="Times New Roman"/>
          <w:color w:val="222222"/>
          <w:sz w:val="24"/>
          <w:szCs w:val="24"/>
          <w:shd w:val="clear" w:color="auto" w:fill="FFFFFF"/>
        </w:rPr>
        <w:t>Duker</w:t>
      </w:r>
      <w:proofErr w:type="spellEnd"/>
      <w:r w:rsidRPr="00E21A43">
        <w:rPr>
          <w:rFonts w:ascii="Times New Roman" w:hAnsi="Times New Roman" w:cs="Times New Roman"/>
          <w:color w:val="222222"/>
          <w:sz w:val="24"/>
          <w:szCs w:val="24"/>
          <w:shd w:val="clear" w:color="auto" w:fill="FFFFFF"/>
        </w:rPr>
        <w:t xml:space="preserve">, L. I. S. (2020). Differing interpretations of health care encounters: A qualitative study of non-Latinx health care </w:t>
      </w:r>
      <w:r w:rsidRPr="00E21A43">
        <w:rPr>
          <w:rFonts w:ascii="Times New Roman" w:hAnsi="Times New Roman" w:cs="Times New Roman"/>
          <w:color w:val="222222"/>
          <w:sz w:val="24"/>
          <w:szCs w:val="24"/>
          <w:shd w:val="clear" w:color="auto" w:fill="FFFFFF"/>
        </w:rPr>
        <w:lastRenderedPageBreak/>
        <w:t>providers’ perceptions of Latinx patient behaviors. </w:t>
      </w:r>
      <w:proofErr w:type="spellStart"/>
      <w:r w:rsidRPr="00E21A43">
        <w:rPr>
          <w:rFonts w:ascii="Times New Roman" w:hAnsi="Times New Roman" w:cs="Times New Roman"/>
          <w:i/>
          <w:iCs/>
          <w:color w:val="222222"/>
          <w:sz w:val="24"/>
          <w:szCs w:val="24"/>
          <w:shd w:val="clear" w:color="auto" w:fill="FFFFFF"/>
        </w:rPr>
        <w:t>PLoS</w:t>
      </w:r>
      <w:proofErr w:type="spellEnd"/>
      <w:r w:rsidRPr="00E21A43">
        <w:rPr>
          <w:rFonts w:ascii="Times New Roman" w:hAnsi="Times New Roman" w:cs="Times New Roman"/>
          <w:i/>
          <w:iCs/>
          <w:color w:val="222222"/>
          <w:sz w:val="24"/>
          <w:szCs w:val="24"/>
          <w:shd w:val="clear" w:color="auto" w:fill="FFFFFF"/>
        </w:rPr>
        <w:t xml:space="preserve"> One</w:t>
      </w:r>
      <w:r w:rsidRPr="00E21A43">
        <w:rPr>
          <w:rFonts w:ascii="Times New Roman" w:hAnsi="Times New Roman" w:cs="Times New Roman"/>
          <w:color w:val="222222"/>
          <w:sz w:val="24"/>
          <w:szCs w:val="24"/>
          <w:shd w:val="clear" w:color="auto" w:fill="FFFFFF"/>
        </w:rPr>
        <w:t>, </w:t>
      </w:r>
      <w:r w:rsidRPr="00E21A43">
        <w:rPr>
          <w:rFonts w:ascii="Times New Roman" w:hAnsi="Times New Roman" w:cs="Times New Roman"/>
          <w:i/>
          <w:iCs/>
          <w:color w:val="222222"/>
          <w:sz w:val="24"/>
          <w:szCs w:val="24"/>
          <w:shd w:val="clear" w:color="auto" w:fill="FFFFFF"/>
        </w:rPr>
        <w:t>15</w:t>
      </w:r>
      <w:r w:rsidRPr="00E21A43">
        <w:rPr>
          <w:rFonts w:ascii="Times New Roman" w:hAnsi="Times New Roman" w:cs="Times New Roman"/>
          <w:color w:val="222222"/>
          <w:sz w:val="24"/>
          <w:szCs w:val="24"/>
          <w:shd w:val="clear" w:color="auto" w:fill="FFFFFF"/>
        </w:rPr>
        <w:t>(8), e0236706.</w:t>
      </w:r>
      <w:r w:rsidRPr="00E21A43">
        <w:rPr>
          <w:rFonts w:ascii="Times New Roman" w:hAnsi="Times New Roman" w:cs="Times New Roman"/>
          <w:color w:val="222222"/>
          <w:sz w:val="24"/>
          <w:szCs w:val="24"/>
          <w:shd w:val="clear" w:color="auto" w:fill="FFFFFF"/>
        </w:rPr>
        <w:t xml:space="preserve"> </w:t>
      </w:r>
      <w:r w:rsidRPr="00E21A43">
        <w:rPr>
          <w:rFonts w:ascii="Times New Roman" w:hAnsi="Times New Roman" w:cs="Times New Roman"/>
          <w:color w:val="222222"/>
          <w:sz w:val="24"/>
          <w:szCs w:val="24"/>
          <w:shd w:val="clear" w:color="auto" w:fill="FFFFFF"/>
        </w:rPr>
        <w:t>https://doi.org/10.1371/journal.pone.0236706</w:t>
      </w:r>
    </w:p>
    <w:p w14:paraId="2C3CE578" w14:textId="77777777" w:rsidR="00E21A43" w:rsidRPr="00E21A43" w:rsidRDefault="00E21A43" w:rsidP="002A1C73">
      <w:pPr>
        <w:spacing w:after="0" w:line="480" w:lineRule="auto"/>
        <w:ind w:left="720" w:hanging="720"/>
        <w:rPr>
          <w:rFonts w:ascii="Times New Roman" w:hAnsi="Times New Roman" w:cs="Times New Roman"/>
          <w:color w:val="212121"/>
          <w:sz w:val="24"/>
          <w:szCs w:val="24"/>
          <w:shd w:val="clear" w:color="auto" w:fill="FFFFFF"/>
        </w:rPr>
      </w:pPr>
      <w:proofErr w:type="spellStart"/>
      <w:r w:rsidRPr="00E21A43">
        <w:rPr>
          <w:rFonts w:ascii="Times New Roman" w:hAnsi="Times New Roman" w:cs="Times New Roman"/>
          <w:color w:val="212121"/>
          <w:sz w:val="24"/>
          <w:szCs w:val="24"/>
          <w:shd w:val="clear" w:color="auto" w:fill="FFFFFF"/>
        </w:rPr>
        <w:t>Gemelas</w:t>
      </w:r>
      <w:proofErr w:type="spellEnd"/>
      <w:r w:rsidRPr="00E21A43">
        <w:rPr>
          <w:rFonts w:ascii="Times New Roman" w:hAnsi="Times New Roman" w:cs="Times New Roman"/>
          <w:color w:val="212121"/>
          <w:sz w:val="24"/>
          <w:szCs w:val="24"/>
          <w:shd w:val="clear" w:color="auto" w:fill="FFFFFF"/>
        </w:rPr>
        <w:t xml:space="preserve">, J., Davison, J., Keltner, C., &amp; Ing, S. (2022). Inequities in </w:t>
      </w:r>
      <w:r w:rsidRPr="00E21A43">
        <w:rPr>
          <w:rFonts w:ascii="Times New Roman" w:hAnsi="Times New Roman" w:cs="Times New Roman"/>
          <w:color w:val="212121"/>
          <w:sz w:val="24"/>
          <w:szCs w:val="24"/>
          <w:shd w:val="clear" w:color="auto" w:fill="FFFFFF"/>
        </w:rPr>
        <w:t xml:space="preserve">employment by race, ethnicity, and sector during </w:t>
      </w:r>
      <w:r w:rsidRPr="00E21A43">
        <w:rPr>
          <w:rFonts w:ascii="Times New Roman" w:hAnsi="Times New Roman" w:cs="Times New Roman"/>
          <w:color w:val="212121"/>
          <w:sz w:val="24"/>
          <w:szCs w:val="24"/>
          <w:shd w:val="clear" w:color="auto" w:fill="FFFFFF"/>
        </w:rPr>
        <w:t>COVID-19. </w:t>
      </w:r>
      <w:r w:rsidRPr="00E21A43">
        <w:rPr>
          <w:rFonts w:ascii="Times New Roman" w:hAnsi="Times New Roman" w:cs="Times New Roman"/>
          <w:i/>
          <w:iCs/>
          <w:color w:val="212121"/>
          <w:sz w:val="24"/>
          <w:szCs w:val="24"/>
          <w:shd w:val="clear" w:color="auto" w:fill="FFFFFF"/>
        </w:rPr>
        <w:t xml:space="preserve">Journal of </w:t>
      </w:r>
      <w:r w:rsidRPr="00E21A43">
        <w:rPr>
          <w:rFonts w:ascii="Times New Roman" w:hAnsi="Times New Roman" w:cs="Times New Roman"/>
          <w:i/>
          <w:iCs/>
          <w:color w:val="212121"/>
          <w:sz w:val="24"/>
          <w:szCs w:val="24"/>
          <w:shd w:val="clear" w:color="auto" w:fill="FFFFFF"/>
        </w:rPr>
        <w:t xml:space="preserve">Racial </w:t>
      </w:r>
      <w:r w:rsidRPr="00E21A43">
        <w:rPr>
          <w:rFonts w:ascii="Times New Roman" w:hAnsi="Times New Roman" w:cs="Times New Roman"/>
          <w:i/>
          <w:iCs/>
          <w:color w:val="212121"/>
          <w:sz w:val="24"/>
          <w:szCs w:val="24"/>
          <w:shd w:val="clear" w:color="auto" w:fill="FFFFFF"/>
        </w:rPr>
        <w:t xml:space="preserve">and </w:t>
      </w:r>
      <w:r w:rsidRPr="00E21A43">
        <w:rPr>
          <w:rFonts w:ascii="Times New Roman" w:hAnsi="Times New Roman" w:cs="Times New Roman"/>
          <w:i/>
          <w:iCs/>
          <w:color w:val="212121"/>
          <w:sz w:val="24"/>
          <w:szCs w:val="24"/>
          <w:shd w:val="clear" w:color="auto" w:fill="FFFFFF"/>
        </w:rPr>
        <w:t>Ethnic Health Disparities</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9</w:t>
      </w:r>
      <w:r w:rsidRPr="00E21A43">
        <w:rPr>
          <w:rFonts w:ascii="Times New Roman" w:hAnsi="Times New Roman" w:cs="Times New Roman"/>
          <w:color w:val="212121"/>
          <w:sz w:val="24"/>
          <w:szCs w:val="24"/>
          <w:shd w:val="clear" w:color="auto" w:fill="FFFFFF"/>
        </w:rPr>
        <w:t>(1), 350–355. https://doi.org/10.1007/s40615-021-00963-3</w:t>
      </w:r>
    </w:p>
    <w:p w14:paraId="373BFA5F" w14:textId="77777777" w:rsidR="00E21A43" w:rsidRPr="00E21A43" w:rsidRDefault="00E21A43" w:rsidP="002A1C73">
      <w:pPr>
        <w:spacing w:after="0" w:line="480" w:lineRule="auto"/>
        <w:ind w:left="720" w:hanging="720"/>
        <w:rPr>
          <w:rFonts w:ascii="Times New Roman" w:hAnsi="Times New Roman" w:cs="Times New Roman"/>
          <w:color w:val="222222"/>
          <w:sz w:val="24"/>
          <w:szCs w:val="24"/>
          <w:shd w:val="clear" w:color="auto" w:fill="FFFFFF"/>
        </w:rPr>
      </w:pPr>
      <w:r w:rsidRPr="00E21A43">
        <w:rPr>
          <w:rFonts w:ascii="Times New Roman" w:hAnsi="Times New Roman" w:cs="Times New Roman"/>
          <w:color w:val="222222"/>
          <w:sz w:val="24"/>
          <w:szCs w:val="24"/>
          <w:shd w:val="clear" w:color="auto" w:fill="FFFFFF"/>
        </w:rPr>
        <w:t>Gunning, T. G. (2022). </w:t>
      </w:r>
      <w:r w:rsidRPr="00E21A43">
        <w:rPr>
          <w:rFonts w:ascii="Times New Roman" w:hAnsi="Times New Roman" w:cs="Times New Roman"/>
          <w:i/>
          <w:iCs/>
          <w:color w:val="222222"/>
          <w:sz w:val="24"/>
          <w:szCs w:val="24"/>
          <w:shd w:val="clear" w:color="auto" w:fill="FFFFFF"/>
        </w:rPr>
        <w:t>Closing the Literacy Gap: Accelerating the Progress of Underperforming Students</w:t>
      </w:r>
      <w:r w:rsidRPr="00E21A43">
        <w:rPr>
          <w:rFonts w:ascii="Times New Roman" w:hAnsi="Times New Roman" w:cs="Times New Roman"/>
          <w:color w:val="222222"/>
          <w:sz w:val="24"/>
          <w:szCs w:val="24"/>
          <w:shd w:val="clear" w:color="auto" w:fill="FFFFFF"/>
        </w:rPr>
        <w:t>. Guilford Publications.</w:t>
      </w:r>
    </w:p>
    <w:p w14:paraId="1300D6D2" w14:textId="77777777" w:rsidR="00E21A43" w:rsidRPr="00E21A43" w:rsidRDefault="00E21A43" w:rsidP="002A1C73">
      <w:pPr>
        <w:spacing w:after="0" w:line="480" w:lineRule="auto"/>
        <w:ind w:left="720" w:hanging="720"/>
        <w:rPr>
          <w:rFonts w:ascii="Times New Roman" w:hAnsi="Times New Roman" w:cs="Times New Roman"/>
          <w:color w:val="212121"/>
          <w:sz w:val="24"/>
          <w:szCs w:val="24"/>
          <w:shd w:val="clear" w:color="auto" w:fill="FFFFFF"/>
        </w:rPr>
      </w:pPr>
      <w:r w:rsidRPr="00E21A43">
        <w:rPr>
          <w:rFonts w:ascii="Times New Roman" w:hAnsi="Times New Roman" w:cs="Times New Roman"/>
          <w:color w:val="212121"/>
          <w:sz w:val="24"/>
          <w:szCs w:val="24"/>
          <w:shd w:val="clear" w:color="auto" w:fill="FFFFFF"/>
        </w:rPr>
        <w:t>Hernandez, M., &amp; Gibb, J. K. (2019). Culture, behavior and health. </w:t>
      </w:r>
      <w:r w:rsidRPr="00E21A43">
        <w:rPr>
          <w:rFonts w:ascii="Times New Roman" w:hAnsi="Times New Roman" w:cs="Times New Roman"/>
          <w:i/>
          <w:iCs/>
          <w:color w:val="212121"/>
          <w:sz w:val="24"/>
          <w:szCs w:val="24"/>
          <w:shd w:val="clear" w:color="auto" w:fill="FFFFFF"/>
        </w:rPr>
        <w:t xml:space="preserve">Evolution, </w:t>
      </w:r>
      <w:r w:rsidRPr="00E21A43">
        <w:rPr>
          <w:rFonts w:ascii="Times New Roman" w:hAnsi="Times New Roman" w:cs="Times New Roman"/>
          <w:i/>
          <w:iCs/>
          <w:color w:val="212121"/>
          <w:sz w:val="24"/>
          <w:szCs w:val="24"/>
          <w:shd w:val="clear" w:color="auto" w:fill="FFFFFF"/>
        </w:rPr>
        <w:t>Medicine</w:t>
      </w:r>
      <w:r w:rsidRPr="00E21A43">
        <w:rPr>
          <w:rFonts w:ascii="Times New Roman" w:hAnsi="Times New Roman" w:cs="Times New Roman"/>
          <w:i/>
          <w:iCs/>
          <w:color w:val="212121"/>
          <w:sz w:val="24"/>
          <w:szCs w:val="24"/>
          <w:shd w:val="clear" w:color="auto" w:fill="FFFFFF"/>
        </w:rPr>
        <w:t xml:space="preserve">, and </w:t>
      </w:r>
      <w:r w:rsidRPr="00E21A43">
        <w:rPr>
          <w:rFonts w:ascii="Times New Roman" w:hAnsi="Times New Roman" w:cs="Times New Roman"/>
          <w:i/>
          <w:iCs/>
          <w:color w:val="212121"/>
          <w:sz w:val="24"/>
          <w:szCs w:val="24"/>
          <w:shd w:val="clear" w:color="auto" w:fill="FFFFFF"/>
        </w:rPr>
        <w:t>Public Health</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2020</w:t>
      </w:r>
      <w:r w:rsidRPr="00E21A43">
        <w:rPr>
          <w:rFonts w:ascii="Times New Roman" w:hAnsi="Times New Roman" w:cs="Times New Roman"/>
          <w:color w:val="212121"/>
          <w:sz w:val="24"/>
          <w:szCs w:val="24"/>
          <w:shd w:val="clear" w:color="auto" w:fill="FFFFFF"/>
        </w:rPr>
        <w:t>(1), 12–13. https://doi.org/10.1093/emph/eoz036</w:t>
      </w:r>
    </w:p>
    <w:p w14:paraId="223DF4A2" w14:textId="77777777" w:rsidR="00E21A43" w:rsidRPr="00E21A43" w:rsidRDefault="00E21A43" w:rsidP="002A1C73">
      <w:pPr>
        <w:spacing w:after="0" w:line="480" w:lineRule="auto"/>
        <w:ind w:left="720" w:hanging="720"/>
        <w:rPr>
          <w:rFonts w:ascii="Times New Roman" w:hAnsi="Times New Roman" w:cs="Times New Roman"/>
          <w:color w:val="212121"/>
          <w:sz w:val="24"/>
          <w:szCs w:val="24"/>
          <w:shd w:val="clear" w:color="auto" w:fill="FFFFFF"/>
        </w:rPr>
      </w:pPr>
      <w:r w:rsidRPr="00E21A43">
        <w:rPr>
          <w:rFonts w:ascii="Times New Roman" w:hAnsi="Times New Roman" w:cs="Times New Roman"/>
          <w:color w:val="212121"/>
          <w:sz w:val="24"/>
          <w:szCs w:val="24"/>
          <w:shd w:val="clear" w:color="auto" w:fill="FFFFFF"/>
        </w:rPr>
        <w:t>Iceland J. (2019). Racial and ethnic inequality in poverty and affluence, 1959-2015. </w:t>
      </w:r>
      <w:r w:rsidRPr="00E21A43">
        <w:rPr>
          <w:rFonts w:ascii="Times New Roman" w:hAnsi="Times New Roman" w:cs="Times New Roman"/>
          <w:i/>
          <w:iCs/>
          <w:color w:val="212121"/>
          <w:sz w:val="24"/>
          <w:szCs w:val="24"/>
          <w:shd w:val="clear" w:color="auto" w:fill="FFFFFF"/>
        </w:rPr>
        <w:t>Population Research and Policy Review</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38</w:t>
      </w:r>
      <w:r w:rsidRPr="00E21A43">
        <w:rPr>
          <w:rFonts w:ascii="Times New Roman" w:hAnsi="Times New Roman" w:cs="Times New Roman"/>
          <w:color w:val="212121"/>
          <w:sz w:val="24"/>
          <w:szCs w:val="24"/>
          <w:shd w:val="clear" w:color="auto" w:fill="FFFFFF"/>
        </w:rPr>
        <w:t xml:space="preserve">(5), 615–654. https://doi.org/10.1007/s11113-019-09512-7 </w:t>
      </w:r>
    </w:p>
    <w:p w14:paraId="3DDEA320" w14:textId="77777777" w:rsidR="00E21A43" w:rsidRPr="00E21A43" w:rsidRDefault="00E21A43" w:rsidP="002A1C73">
      <w:pPr>
        <w:spacing w:after="0" w:line="480" w:lineRule="auto"/>
        <w:ind w:left="720" w:hanging="720"/>
        <w:rPr>
          <w:rFonts w:ascii="Times New Roman" w:hAnsi="Times New Roman" w:cs="Times New Roman"/>
          <w:color w:val="222222"/>
          <w:sz w:val="24"/>
          <w:szCs w:val="24"/>
          <w:shd w:val="clear" w:color="auto" w:fill="FFFFFF"/>
        </w:rPr>
      </w:pPr>
      <w:r w:rsidRPr="00E21A43">
        <w:rPr>
          <w:rFonts w:ascii="Times New Roman" w:hAnsi="Times New Roman" w:cs="Times New Roman"/>
          <w:color w:val="222222"/>
          <w:sz w:val="24"/>
          <w:szCs w:val="24"/>
          <w:shd w:val="clear" w:color="auto" w:fill="FFFFFF"/>
        </w:rPr>
        <w:t xml:space="preserve">Jimenez, D. E., Park, M., Rosen, D., hui </w:t>
      </w:r>
      <w:proofErr w:type="spellStart"/>
      <w:r w:rsidRPr="00E21A43">
        <w:rPr>
          <w:rFonts w:ascii="Times New Roman" w:hAnsi="Times New Roman" w:cs="Times New Roman"/>
          <w:color w:val="222222"/>
          <w:sz w:val="24"/>
          <w:szCs w:val="24"/>
          <w:shd w:val="clear" w:color="auto" w:fill="FFFFFF"/>
        </w:rPr>
        <w:t>Joo</w:t>
      </w:r>
      <w:proofErr w:type="spellEnd"/>
      <w:r w:rsidRPr="00E21A43">
        <w:rPr>
          <w:rFonts w:ascii="Times New Roman" w:hAnsi="Times New Roman" w:cs="Times New Roman"/>
          <w:color w:val="222222"/>
          <w:sz w:val="24"/>
          <w:szCs w:val="24"/>
          <w:shd w:val="clear" w:color="auto" w:fill="FFFFFF"/>
        </w:rPr>
        <w:t xml:space="preserve">, J., Garza, D. M., Weinstein, E. R., </w:t>
      </w:r>
      <w:r w:rsidRPr="00E21A43">
        <w:rPr>
          <w:rFonts w:ascii="Times New Roman" w:hAnsi="Times New Roman" w:cs="Times New Roman"/>
          <w:color w:val="222222"/>
          <w:sz w:val="24"/>
          <w:szCs w:val="24"/>
          <w:shd w:val="clear" w:color="auto" w:fill="FFFFFF"/>
        </w:rPr>
        <w:t xml:space="preserve">Conner, K., Silva, C., </w:t>
      </w:r>
      <w:r w:rsidRPr="00E21A43">
        <w:rPr>
          <w:rFonts w:ascii="Times New Roman" w:hAnsi="Times New Roman" w:cs="Times New Roman"/>
          <w:color w:val="222222"/>
          <w:sz w:val="24"/>
          <w:szCs w:val="24"/>
          <w:shd w:val="clear" w:color="auto" w:fill="FFFFFF"/>
        </w:rPr>
        <w:t>&amp; Okereke, O. (2022). Centering culture in mental health: Differences in diagnosis, treatment, and access to care among older people of color. </w:t>
      </w:r>
      <w:r w:rsidRPr="00E21A43">
        <w:rPr>
          <w:rFonts w:ascii="Times New Roman" w:hAnsi="Times New Roman" w:cs="Times New Roman"/>
          <w:i/>
          <w:iCs/>
          <w:color w:val="222222"/>
          <w:sz w:val="24"/>
          <w:szCs w:val="24"/>
          <w:shd w:val="clear" w:color="auto" w:fill="FFFFFF"/>
        </w:rPr>
        <w:t>The American Journal of Geriatric Psychiatry</w:t>
      </w:r>
      <w:r w:rsidRPr="00E21A43">
        <w:rPr>
          <w:rFonts w:ascii="Times New Roman" w:hAnsi="Times New Roman" w:cs="Times New Roman"/>
          <w:color w:val="222222"/>
          <w:sz w:val="24"/>
          <w:szCs w:val="24"/>
          <w:shd w:val="clear" w:color="auto" w:fill="FFFFFF"/>
        </w:rPr>
        <w:t>, </w:t>
      </w:r>
      <w:r w:rsidRPr="00E21A43">
        <w:rPr>
          <w:rFonts w:ascii="Times New Roman" w:hAnsi="Times New Roman" w:cs="Times New Roman"/>
          <w:i/>
          <w:iCs/>
          <w:color w:val="222222"/>
          <w:sz w:val="24"/>
          <w:szCs w:val="24"/>
          <w:shd w:val="clear" w:color="auto" w:fill="FFFFFF"/>
        </w:rPr>
        <w:t>30</w:t>
      </w:r>
      <w:r w:rsidRPr="00E21A43">
        <w:rPr>
          <w:rFonts w:ascii="Times New Roman" w:hAnsi="Times New Roman" w:cs="Times New Roman"/>
          <w:color w:val="222222"/>
          <w:sz w:val="24"/>
          <w:szCs w:val="24"/>
          <w:shd w:val="clear" w:color="auto" w:fill="FFFFFF"/>
        </w:rPr>
        <w:t>(11), 1234-1251.</w:t>
      </w:r>
      <w:r w:rsidRPr="00E21A43">
        <w:rPr>
          <w:rFonts w:ascii="Times New Roman" w:hAnsi="Times New Roman" w:cs="Times New Roman"/>
          <w:color w:val="222222"/>
          <w:sz w:val="24"/>
          <w:szCs w:val="24"/>
          <w:shd w:val="clear" w:color="auto" w:fill="FFFFFF"/>
        </w:rPr>
        <w:t xml:space="preserve"> </w:t>
      </w:r>
      <w:r w:rsidRPr="00E21A43">
        <w:rPr>
          <w:rFonts w:ascii="Times New Roman" w:hAnsi="Times New Roman" w:cs="Times New Roman"/>
          <w:color w:val="222222"/>
          <w:sz w:val="24"/>
          <w:szCs w:val="24"/>
          <w:shd w:val="clear" w:color="auto" w:fill="FFFFFF"/>
        </w:rPr>
        <w:t>https://doi.org/10.1016/j.jagp.2022.07.001</w:t>
      </w:r>
    </w:p>
    <w:p w14:paraId="2124C5EA" w14:textId="77777777" w:rsidR="00E21A43" w:rsidRPr="00E21A43" w:rsidRDefault="00E21A43" w:rsidP="002A1C73">
      <w:pPr>
        <w:spacing w:after="0" w:line="480" w:lineRule="auto"/>
        <w:ind w:left="720" w:hanging="720"/>
        <w:rPr>
          <w:rFonts w:ascii="Times New Roman" w:hAnsi="Times New Roman" w:cs="Times New Roman"/>
          <w:color w:val="222222"/>
          <w:sz w:val="24"/>
          <w:szCs w:val="24"/>
          <w:shd w:val="clear" w:color="auto" w:fill="FFFFFF"/>
        </w:rPr>
      </w:pPr>
      <w:r w:rsidRPr="00E21A43">
        <w:rPr>
          <w:rFonts w:ascii="Times New Roman" w:hAnsi="Times New Roman" w:cs="Times New Roman"/>
          <w:color w:val="222222"/>
          <w:sz w:val="24"/>
          <w:szCs w:val="24"/>
          <w:shd w:val="clear" w:color="auto" w:fill="FFFFFF"/>
        </w:rPr>
        <w:t>Johnson, V. E., &amp; Carter, R. T. (2020). Black cultural strengths and psychosocial well-being: An empirical analysis with Black American adults. </w:t>
      </w:r>
      <w:r w:rsidRPr="00E21A43">
        <w:rPr>
          <w:rFonts w:ascii="Times New Roman" w:hAnsi="Times New Roman" w:cs="Times New Roman"/>
          <w:i/>
          <w:iCs/>
          <w:color w:val="222222"/>
          <w:sz w:val="24"/>
          <w:szCs w:val="24"/>
          <w:shd w:val="clear" w:color="auto" w:fill="FFFFFF"/>
        </w:rPr>
        <w:t>Journal of Black Psychology</w:t>
      </w:r>
      <w:r w:rsidRPr="00E21A43">
        <w:rPr>
          <w:rFonts w:ascii="Times New Roman" w:hAnsi="Times New Roman" w:cs="Times New Roman"/>
          <w:color w:val="222222"/>
          <w:sz w:val="24"/>
          <w:szCs w:val="24"/>
          <w:shd w:val="clear" w:color="auto" w:fill="FFFFFF"/>
        </w:rPr>
        <w:t>, </w:t>
      </w:r>
      <w:r w:rsidRPr="00E21A43">
        <w:rPr>
          <w:rFonts w:ascii="Times New Roman" w:hAnsi="Times New Roman" w:cs="Times New Roman"/>
          <w:i/>
          <w:iCs/>
          <w:color w:val="222222"/>
          <w:sz w:val="24"/>
          <w:szCs w:val="24"/>
          <w:shd w:val="clear" w:color="auto" w:fill="FFFFFF"/>
        </w:rPr>
        <w:t>46</w:t>
      </w:r>
      <w:r w:rsidRPr="00E21A43">
        <w:rPr>
          <w:rFonts w:ascii="Times New Roman" w:hAnsi="Times New Roman" w:cs="Times New Roman"/>
          <w:color w:val="222222"/>
          <w:sz w:val="24"/>
          <w:szCs w:val="24"/>
          <w:shd w:val="clear" w:color="auto" w:fill="FFFFFF"/>
        </w:rPr>
        <w:t>(1), 55-89.</w:t>
      </w:r>
      <w:r w:rsidRPr="00E21A43">
        <w:rPr>
          <w:rFonts w:ascii="Times New Roman" w:hAnsi="Times New Roman" w:cs="Times New Roman"/>
          <w:color w:val="222222"/>
          <w:sz w:val="24"/>
          <w:szCs w:val="24"/>
          <w:shd w:val="clear" w:color="auto" w:fill="FFFFFF"/>
        </w:rPr>
        <w:t xml:space="preserve"> </w:t>
      </w:r>
      <w:r w:rsidRPr="00E21A43">
        <w:rPr>
          <w:rFonts w:ascii="Times New Roman" w:hAnsi="Times New Roman" w:cs="Times New Roman"/>
          <w:color w:val="222222"/>
          <w:sz w:val="24"/>
          <w:szCs w:val="24"/>
          <w:shd w:val="clear" w:color="auto" w:fill="FFFFFF"/>
        </w:rPr>
        <w:t>https://doi.org/10.1177/0095798419889752</w:t>
      </w:r>
    </w:p>
    <w:p w14:paraId="1AC959D5" w14:textId="77777777" w:rsidR="00E21A43" w:rsidRPr="00E21A43" w:rsidRDefault="00E21A43" w:rsidP="00BA6671">
      <w:pPr>
        <w:spacing w:after="0" w:line="480" w:lineRule="auto"/>
        <w:ind w:left="720" w:hanging="720"/>
        <w:rPr>
          <w:rFonts w:ascii="Times New Roman" w:hAnsi="Times New Roman" w:cs="Times New Roman"/>
          <w:b/>
          <w:sz w:val="24"/>
          <w:szCs w:val="24"/>
        </w:rPr>
      </w:pPr>
      <w:proofErr w:type="spellStart"/>
      <w:r w:rsidRPr="00E21A43">
        <w:rPr>
          <w:rFonts w:ascii="Times New Roman" w:hAnsi="Times New Roman" w:cs="Times New Roman"/>
          <w:color w:val="212121"/>
          <w:sz w:val="24"/>
          <w:szCs w:val="24"/>
          <w:shd w:val="clear" w:color="auto" w:fill="FFFFFF"/>
        </w:rPr>
        <w:t>Kaihlanen</w:t>
      </w:r>
      <w:proofErr w:type="spellEnd"/>
      <w:r w:rsidRPr="00E21A43">
        <w:rPr>
          <w:rFonts w:ascii="Times New Roman" w:hAnsi="Times New Roman" w:cs="Times New Roman"/>
          <w:color w:val="212121"/>
          <w:sz w:val="24"/>
          <w:szCs w:val="24"/>
          <w:shd w:val="clear" w:color="auto" w:fill="FFFFFF"/>
        </w:rPr>
        <w:t xml:space="preserve">, A. M., </w:t>
      </w:r>
      <w:proofErr w:type="spellStart"/>
      <w:r w:rsidRPr="00E21A43">
        <w:rPr>
          <w:rFonts w:ascii="Times New Roman" w:hAnsi="Times New Roman" w:cs="Times New Roman"/>
          <w:color w:val="212121"/>
          <w:sz w:val="24"/>
          <w:szCs w:val="24"/>
          <w:shd w:val="clear" w:color="auto" w:fill="FFFFFF"/>
        </w:rPr>
        <w:t>Hietapakka</w:t>
      </w:r>
      <w:proofErr w:type="spellEnd"/>
      <w:r w:rsidRPr="00E21A43">
        <w:rPr>
          <w:rFonts w:ascii="Times New Roman" w:hAnsi="Times New Roman" w:cs="Times New Roman"/>
          <w:color w:val="212121"/>
          <w:sz w:val="24"/>
          <w:szCs w:val="24"/>
          <w:shd w:val="clear" w:color="auto" w:fill="FFFFFF"/>
        </w:rPr>
        <w:t xml:space="preserve">, L., &amp; </w:t>
      </w:r>
      <w:proofErr w:type="spellStart"/>
      <w:r w:rsidRPr="00E21A43">
        <w:rPr>
          <w:rFonts w:ascii="Times New Roman" w:hAnsi="Times New Roman" w:cs="Times New Roman"/>
          <w:color w:val="212121"/>
          <w:sz w:val="24"/>
          <w:szCs w:val="24"/>
          <w:shd w:val="clear" w:color="auto" w:fill="FFFFFF"/>
        </w:rPr>
        <w:t>Heponiemi</w:t>
      </w:r>
      <w:proofErr w:type="spellEnd"/>
      <w:r w:rsidRPr="00E21A43">
        <w:rPr>
          <w:rFonts w:ascii="Times New Roman" w:hAnsi="Times New Roman" w:cs="Times New Roman"/>
          <w:color w:val="212121"/>
          <w:sz w:val="24"/>
          <w:szCs w:val="24"/>
          <w:shd w:val="clear" w:color="auto" w:fill="FFFFFF"/>
        </w:rPr>
        <w:t>, T. (2019). Increasing cultural awareness: qualitative study of nurses' perceptions about cultural competence training. </w:t>
      </w:r>
      <w:r w:rsidRPr="00E21A43">
        <w:rPr>
          <w:rFonts w:ascii="Times New Roman" w:hAnsi="Times New Roman" w:cs="Times New Roman"/>
          <w:i/>
          <w:iCs/>
          <w:color w:val="212121"/>
          <w:sz w:val="24"/>
          <w:szCs w:val="24"/>
          <w:shd w:val="clear" w:color="auto" w:fill="FFFFFF"/>
        </w:rPr>
        <w:t>BMC Nursing</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18</w:t>
      </w:r>
      <w:r w:rsidRPr="00E21A43">
        <w:rPr>
          <w:rFonts w:ascii="Times New Roman" w:hAnsi="Times New Roman" w:cs="Times New Roman"/>
          <w:color w:val="212121"/>
          <w:sz w:val="24"/>
          <w:szCs w:val="24"/>
          <w:shd w:val="clear" w:color="auto" w:fill="FFFFFF"/>
        </w:rPr>
        <w:t xml:space="preserve">, 38. https://doi.org/10.1186/s12912-019-0363-x </w:t>
      </w:r>
    </w:p>
    <w:p w14:paraId="39880038" w14:textId="77777777" w:rsidR="00E21A43" w:rsidRPr="00E21A43" w:rsidRDefault="00E21A43" w:rsidP="002A1C73">
      <w:pPr>
        <w:spacing w:after="0" w:line="480" w:lineRule="auto"/>
        <w:ind w:left="720" w:hanging="720"/>
        <w:rPr>
          <w:rFonts w:ascii="Times New Roman" w:hAnsi="Times New Roman" w:cs="Times New Roman"/>
          <w:color w:val="212121"/>
          <w:sz w:val="24"/>
          <w:szCs w:val="24"/>
          <w:shd w:val="clear" w:color="auto" w:fill="FFFFFF"/>
        </w:rPr>
      </w:pPr>
      <w:r w:rsidRPr="00E21A43">
        <w:rPr>
          <w:rFonts w:ascii="Times New Roman" w:hAnsi="Times New Roman" w:cs="Times New Roman"/>
          <w:color w:val="212121"/>
          <w:sz w:val="24"/>
          <w:szCs w:val="24"/>
          <w:shd w:val="clear" w:color="auto" w:fill="FFFFFF"/>
        </w:rPr>
        <w:lastRenderedPageBreak/>
        <w:t xml:space="preserve">Kent, B. V., Davidson, J. C., Zhang, Y., Pargament, K. I., </w:t>
      </w:r>
      <w:proofErr w:type="spellStart"/>
      <w:r w:rsidRPr="00E21A43">
        <w:rPr>
          <w:rFonts w:ascii="Times New Roman" w:hAnsi="Times New Roman" w:cs="Times New Roman"/>
          <w:color w:val="212121"/>
          <w:sz w:val="24"/>
          <w:szCs w:val="24"/>
          <w:shd w:val="clear" w:color="auto" w:fill="FFFFFF"/>
        </w:rPr>
        <w:t>VanderWeele</w:t>
      </w:r>
      <w:proofErr w:type="spellEnd"/>
      <w:r w:rsidRPr="00E21A43">
        <w:rPr>
          <w:rFonts w:ascii="Times New Roman" w:hAnsi="Times New Roman" w:cs="Times New Roman"/>
          <w:color w:val="212121"/>
          <w:sz w:val="24"/>
          <w:szCs w:val="24"/>
          <w:shd w:val="clear" w:color="auto" w:fill="FFFFFF"/>
        </w:rPr>
        <w:t xml:space="preserve">, T. J., Koenig, H., Underwood, L. G., Krause, N., </w:t>
      </w:r>
      <w:proofErr w:type="spellStart"/>
      <w:r w:rsidRPr="00E21A43">
        <w:rPr>
          <w:rFonts w:ascii="Times New Roman" w:hAnsi="Times New Roman" w:cs="Times New Roman"/>
          <w:color w:val="212121"/>
          <w:sz w:val="24"/>
          <w:szCs w:val="24"/>
          <w:shd w:val="clear" w:color="auto" w:fill="FFFFFF"/>
        </w:rPr>
        <w:t>Kanaya</w:t>
      </w:r>
      <w:proofErr w:type="spellEnd"/>
      <w:r w:rsidRPr="00E21A43">
        <w:rPr>
          <w:rFonts w:ascii="Times New Roman" w:hAnsi="Times New Roman" w:cs="Times New Roman"/>
          <w:color w:val="212121"/>
          <w:sz w:val="24"/>
          <w:szCs w:val="24"/>
          <w:shd w:val="clear" w:color="auto" w:fill="FFFFFF"/>
        </w:rPr>
        <w:t xml:space="preserve">, A. M., </w:t>
      </w:r>
      <w:proofErr w:type="spellStart"/>
      <w:r w:rsidRPr="00E21A43">
        <w:rPr>
          <w:rFonts w:ascii="Times New Roman" w:hAnsi="Times New Roman" w:cs="Times New Roman"/>
          <w:color w:val="212121"/>
          <w:sz w:val="24"/>
          <w:szCs w:val="24"/>
          <w:shd w:val="clear" w:color="auto" w:fill="FFFFFF"/>
        </w:rPr>
        <w:t>Tworoger</w:t>
      </w:r>
      <w:proofErr w:type="spellEnd"/>
      <w:r w:rsidRPr="00E21A43">
        <w:rPr>
          <w:rFonts w:ascii="Times New Roman" w:hAnsi="Times New Roman" w:cs="Times New Roman"/>
          <w:color w:val="212121"/>
          <w:sz w:val="24"/>
          <w:szCs w:val="24"/>
          <w:shd w:val="clear" w:color="auto" w:fill="FFFFFF"/>
        </w:rPr>
        <w:t xml:space="preserve">, S. S., Schachter, A. B., Cole, S., O'Leary, M., Cozier, Y., </w:t>
      </w:r>
      <w:proofErr w:type="spellStart"/>
      <w:r w:rsidRPr="00E21A43">
        <w:rPr>
          <w:rFonts w:ascii="Times New Roman" w:hAnsi="Times New Roman" w:cs="Times New Roman"/>
          <w:color w:val="212121"/>
          <w:sz w:val="24"/>
          <w:szCs w:val="24"/>
          <w:shd w:val="clear" w:color="auto" w:fill="FFFFFF"/>
        </w:rPr>
        <w:t>Daviglus</w:t>
      </w:r>
      <w:proofErr w:type="spellEnd"/>
      <w:r w:rsidRPr="00E21A43">
        <w:rPr>
          <w:rFonts w:ascii="Times New Roman" w:hAnsi="Times New Roman" w:cs="Times New Roman"/>
          <w:color w:val="212121"/>
          <w:sz w:val="24"/>
          <w:szCs w:val="24"/>
          <w:shd w:val="clear" w:color="auto" w:fill="FFFFFF"/>
        </w:rPr>
        <w:t xml:space="preserve">, M., </w:t>
      </w:r>
      <w:proofErr w:type="spellStart"/>
      <w:r w:rsidRPr="00E21A43">
        <w:rPr>
          <w:rFonts w:ascii="Times New Roman" w:hAnsi="Times New Roman" w:cs="Times New Roman"/>
          <w:color w:val="212121"/>
          <w:sz w:val="24"/>
          <w:szCs w:val="24"/>
          <w:shd w:val="clear" w:color="auto" w:fill="FFFFFF"/>
        </w:rPr>
        <w:t>Giachello</w:t>
      </w:r>
      <w:proofErr w:type="spellEnd"/>
      <w:r w:rsidRPr="00E21A43">
        <w:rPr>
          <w:rFonts w:ascii="Times New Roman" w:hAnsi="Times New Roman" w:cs="Times New Roman"/>
          <w:color w:val="212121"/>
          <w:sz w:val="24"/>
          <w:szCs w:val="24"/>
          <w:shd w:val="clear" w:color="auto" w:fill="FFFFFF"/>
        </w:rPr>
        <w:t xml:space="preserve">, A. L., </w:t>
      </w:r>
      <w:proofErr w:type="spellStart"/>
      <w:r w:rsidRPr="00E21A43">
        <w:rPr>
          <w:rFonts w:ascii="Times New Roman" w:hAnsi="Times New Roman" w:cs="Times New Roman"/>
          <w:color w:val="212121"/>
          <w:sz w:val="24"/>
          <w:szCs w:val="24"/>
          <w:shd w:val="clear" w:color="auto" w:fill="FFFFFF"/>
        </w:rPr>
        <w:t>Zacher</w:t>
      </w:r>
      <w:proofErr w:type="spellEnd"/>
      <w:r w:rsidRPr="00E21A43">
        <w:rPr>
          <w:rFonts w:ascii="Times New Roman" w:hAnsi="Times New Roman" w:cs="Times New Roman"/>
          <w:color w:val="212121"/>
          <w:sz w:val="24"/>
          <w:szCs w:val="24"/>
          <w:shd w:val="clear" w:color="auto" w:fill="FFFFFF"/>
        </w:rPr>
        <w:t xml:space="preserve">, T., Palmer, J. R., &amp; Shields, A. E. (2021). Religion and Spirituality among American Indian, South Asian, Black, Hispanic/Latina, and White </w:t>
      </w:r>
      <w:r w:rsidRPr="00E21A43">
        <w:rPr>
          <w:rFonts w:ascii="Times New Roman" w:hAnsi="Times New Roman" w:cs="Times New Roman"/>
          <w:color w:val="212121"/>
          <w:sz w:val="24"/>
          <w:szCs w:val="24"/>
          <w:shd w:val="clear" w:color="auto" w:fill="FFFFFF"/>
        </w:rPr>
        <w:t>women in the study on stress, spirituality, and health</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 xml:space="preserve">Journal for the </w:t>
      </w:r>
      <w:r w:rsidRPr="00E21A43">
        <w:rPr>
          <w:rFonts w:ascii="Times New Roman" w:hAnsi="Times New Roman" w:cs="Times New Roman"/>
          <w:i/>
          <w:iCs/>
          <w:color w:val="212121"/>
          <w:sz w:val="24"/>
          <w:szCs w:val="24"/>
          <w:shd w:val="clear" w:color="auto" w:fill="FFFFFF"/>
        </w:rPr>
        <w:t xml:space="preserve">Scientific Study </w:t>
      </w:r>
      <w:r w:rsidRPr="00E21A43">
        <w:rPr>
          <w:rFonts w:ascii="Times New Roman" w:hAnsi="Times New Roman" w:cs="Times New Roman"/>
          <w:i/>
          <w:iCs/>
          <w:color w:val="212121"/>
          <w:sz w:val="24"/>
          <w:szCs w:val="24"/>
          <w:shd w:val="clear" w:color="auto" w:fill="FFFFFF"/>
        </w:rPr>
        <w:t xml:space="preserve">of </w:t>
      </w:r>
      <w:r w:rsidRPr="00E21A43">
        <w:rPr>
          <w:rFonts w:ascii="Times New Roman" w:hAnsi="Times New Roman" w:cs="Times New Roman"/>
          <w:i/>
          <w:iCs/>
          <w:color w:val="212121"/>
          <w:sz w:val="24"/>
          <w:szCs w:val="24"/>
          <w:shd w:val="clear" w:color="auto" w:fill="FFFFFF"/>
        </w:rPr>
        <w:t>Religion</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60</w:t>
      </w:r>
      <w:r w:rsidRPr="00E21A43">
        <w:rPr>
          <w:rFonts w:ascii="Times New Roman" w:hAnsi="Times New Roman" w:cs="Times New Roman"/>
          <w:color w:val="212121"/>
          <w:sz w:val="24"/>
          <w:szCs w:val="24"/>
          <w:shd w:val="clear" w:color="auto" w:fill="FFFFFF"/>
        </w:rPr>
        <w:t>(1), 198–215. https://doi.org/10.1111/jssr.12695</w:t>
      </w:r>
    </w:p>
    <w:p w14:paraId="317D34E5" w14:textId="77777777" w:rsidR="00E21A43" w:rsidRPr="00E21A43" w:rsidRDefault="00E21A43" w:rsidP="002A1C73">
      <w:pPr>
        <w:spacing w:after="0" w:line="480" w:lineRule="auto"/>
        <w:ind w:left="720" w:hanging="720"/>
        <w:rPr>
          <w:rFonts w:ascii="Times New Roman" w:hAnsi="Times New Roman" w:cs="Times New Roman"/>
          <w:color w:val="212121"/>
          <w:sz w:val="24"/>
          <w:szCs w:val="24"/>
          <w:shd w:val="clear" w:color="auto" w:fill="FFFFFF"/>
        </w:rPr>
      </w:pPr>
      <w:r w:rsidRPr="00E21A43">
        <w:rPr>
          <w:rFonts w:ascii="Times New Roman" w:hAnsi="Times New Roman" w:cs="Times New Roman"/>
          <w:color w:val="212121"/>
          <w:sz w:val="24"/>
          <w:szCs w:val="24"/>
          <w:shd w:val="clear" w:color="auto" w:fill="FFFFFF"/>
        </w:rPr>
        <w:t xml:space="preserve">Kirkbride, J. B., Anglin, D. M., Colman, I., </w:t>
      </w:r>
      <w:proofErr w:type="spellStart"/>
      <w:r w:rsidRPr="00E21A43">
        <w:rPr>
          <w:rFonts w:ascii="Times New Roman" w:hAnsi="Times New Roman" w:cs="Times New Roman"/>
          <w:color w:val="212121"/>
          <w:sz w:val="24"/>
          <w:szCs w:val="24"/>
          <w:shd w:val="clear" w:color="auto" w:fill="FFFFFF"/>
        </w:rPr>
        <w:t>Dykxhoorn</w:t>
      </w:r>
      <w:proofErr w:type="spellEnd"/>
      <w:r w:rsidRPr="00E21A43">
        <w:rPr>
          <w:rFonts w:ascii="Times New Roman" w:hAnsi="Times New Roman" w:cs="Times New Roman"/>
          <w:color w:val="212121"/>
          <w:sz w:val="24"/>
          <w:szCs w:val="24"/>
          <w:shd w:val="clear" w:color="auto" w:fill="FFFFFF"/>
        </w:rPr>
        <w:t xml:space="preserve">, J., Jones, P. B., </w:t>
      </w:r>
      <w:proofErr w:type="spellStart"/>
      <w:r w:rsidRPr="00E21A43">
        <w:rPr>
          <w:rFonts w:ascii="Times New Roman" w:hAnsi="Times New Roman" w:cs="Times New Roman"/>
          <w:color w:val="212121"/>
          <w:sz w:val="24"/>
          <w:szCs w:val="24"/>
          <w:shd w:val="clear" w:color="auto" w:fill="FFFFFF"/>
        </w:rPr>
        <w:t>Patalay</w:t>
      </w:r>
      <w:proofErr w:type="spellEnd"/>
      <w:r w:rsidRPr="00E21A43">
        <w:rPr>
          <w:rFonts w:ascii="Times New Roman" w:hAnsi="Times New Roman" w:cs="Times New Roman"/>
          <w:color w:val="212121"/>
          <w:sz w:val="24"/>
          <w:szCs w:val="24"/>
          <w:shd w:val="clear" w:color="auto" w:fill="FFFFFF"/>
        </w:rPr>
        <w:t xml:space="preserve">, P., Pitman, A., </w:t>
      </w:r>
      <w:proofErr w:type="spellStart"/>
      <w:r w:rsidRPr="00E21A43">
        <w:rPr>
          <w:rFonts w:ascii="Times New Roman" w:hAnsi="Times New Roman" w:cs="Times New Roman"/>
          <w:color w:val="212121"/>
          <w:sz w:val="24"/>
          <w:szCs w:val="24"/>
          <w:shd w:val="clear" w:color="auto" w:fill="FFFFFF"/>
        </w:rPr>
        <w:t>Soneson</w:t>
      </w:r>
      <w:proofErr w:type="spellEnd"/>
      <w:r w:rsidRPr="00E21A43">
        <w:rPr>
          <w:rFonts w:ascii="Times New Roman" w:hAnsi="Times New Roman" w:cs="Times New Roman"/>
          <w:color w:val="212121"/>
          <w:sz w:val="24"/>
          <w:szCs w:val="24"/>
          <w:shd w:val="clear" w:color="auto" w:fill="FFFFFF"/>
        </w:rPr>
        <w:t xml:space="preserve">, E., </w:t>
      </w:r>
      <w:proofErr w:type="spellStart"/>
      <w:r w:rsidRPr="00E21A43">
        <w:rPr>
          <w:rFonts w:ascii="Times New Roman" w:hAnsi="Times New Roman" w:cs="Times New Roman"/>
          <w:color w:val="212121"/>
          <w:sz w:val="24"/>
          <w:szCs w:val="24"/>
          <w:shd w:val="clear" w:color="auto" w:fill="FFFFFF"/>
        </w:rPr>
        <w:t>Steare</w:t>
      </w:r>
      <w:proofErr w:type="spellEnd"/>
      <w:r w:rsidRPr="00E21A43">
        <w:rPr>
          <w:rFonts w:ascii="Times New Roman" w:hAnsi="Times New Roman" w:cs="Times New Roman"/>
          <w:color w:val="212121"/>
          <w:sz w:val="24"/>
          <w:szCs w:val="24"/>
          <w:shd w:val="clear" w:color="auto" w:fill="FFFFFF"/>
        </w:rPr>
        <w:t>, T., Wright, T., &amp; Griffiths, S. L. (2024). The social determinants of mental health and disorder: evidence, prevention and recommendations. </w:t>
      </w:r>
      <w:r w:rsidRPr="00E21A43">
        <w:rPr>
          <w:rFonts w:ascii="Times New Roman" w:hAnsi="Times New Roman" w:cs="Times New Roman"/>
          <w:i/>
          <w:iCs/>
          <w:color w:val="212121"/>
          <w:sz w:val="24"/>
          <w:szCs w:val="24"/>
          <w:shd w:val="clear" w:color="auto" w:fill="FFFFFF"/>
        </w:rPr>
        <w:t xml:space="preserve">World </w:t>
      </w:r>
      <w:r w:rsidRPr="00E21A43">
        <w:rPr>
          <w:rFonts w:ascii="Times New Roman" w:hAnsi="Times New Roman" w:cs="Times New Roman"/>
          <w:i/>
          <w:iCs/>
          <w:color w:val="212121"/>
          <w:sz w:val="24"/>
          <w:szCs w:val="24"/>
          <w:shd w:val="clear" w:color="auto" w:fill="FFFFFF"/>
        </w:rPr>
        <w:t>Psychiatry</w:t>
      </w:r>
      <w:r w:rsidRPr="00E21A43">
        <w:rPr>
          <w:rFonts w:ascii="Times New Roman" w:hAnsi="Times New Roman" w:cs="Times New Roman"/>
          <w:i/>
          <w:iCs/>
          <w:color w:val="212121"/>
          <w:sz w:val="24"/>
          <w:szCs w:val="24"/>
          <w:shd w:val="clear" w:color="auto" w:fill="FFFFFF"/>
        </w:rPr>
        <w:t xml:space="preserve">: </w:t>
      </w:r>
      <w:r w:rsidRPr="00E21A43">
        <w:rPr>
          <w:rFonts w:ascii="Times New Roman" w:hAnsi="Times New Roman" w:cs="Times New Roman"/>
          <w:i/>
          <w:iCs/>
          <w:color w:val="212121"/>
          <w:sz w:val="24"/>
          <w:szCs w:val="24"/>
          <w:shd w:val="clear" w:color="auto" w:fill="FFFFFF"/>
        </w:rPr>
        <w:t xml:space="preserve">Official Journal </w:t>
      </w:r>
      <w:r w:rsidRPr="00E21A43">
        <w:rPr>
          <w:rFonts w:ascii="Times New Roman" w:hAnsi="Times New Roman" w:cs="Times New Roman"/>
          <w:i/>
          <w:iCs/>
          <w:color w:val="212121"/>
          <w:sz w:val="24"/>
          <w:szCs w:val="24"/>
          <w:shd w:val="clear" w:color="auto" w:fill="FFFFFF"/>
        </w:rPr>
        <w:t>of the World Psychiatric Association (WPA)</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23</w:t>
      </w:r>
      <w:r w:rsidRPr="00E21A43">
        <w:rPr>
          <w:rFonts w:ascii="Times New Roman" w:hAnsi="Times New Roman" w:cs="Times New Roman"/>
          <w:color w:val="212121"/>
          <w:sz w:val="24"/>
          <w:szCs w:val="24"/>
          <w:shd w:val="clear" w:color="auto" w:fill="FFFFFF"/>
        </w:rPr>
        <w:t>(1), 58–90. https://doi.org/10.1002/wps.21160</w:t>
      </w:r>
    </w:p>
    <w:p w14:paraId="2B62F2C9" w14:textId="77777777" w:rsidR="00E21A43" w:rsidRPr="00E21A43" w:rsidRDefault="00E21A43" w:rsidP="00F32015">
      <w:pPr>
        <w:spacing w:after="0" w:line="480" w:lineRule="auto"/>
        <w:ind w:left="720" w:hanging="720"/>
        <w:rPr>
          <w:rFonts w:ascii="Times New Roman" w:hAnsi="Times New Roman" w:cs="Times New Roman"/>
          <w:color w:val="212121"/>
          <w:sz w:val="24"/>
          <w:szCs w:val="24"/>
          <w:shd w:val="clear" w:color="auto" w:fill="FFFFFF"/>
        </w:rPr>
      </w:pPr>
      <w:proofErr w:type="spellStart"/>
      <w:r w:rsidRPr="00E21A43">
        <w:rPr>
          <w:rFonts w:ascii="Times New Roman" w:hAnsi="Times New Roman" w:cs="Times New Roman"/>
          <w:color w:val="212121"/>
          <w:sz w:val="24"/>
          <w:szCs w:val="24"/>
          <w:shd w:val="clear" w:color="auto" w:fill="FFFFFF"/>
        </w:rPr>
        <w:t>Knifton</w:t>
      </w:r>
      <w:proofErr w:type="spellEnd"/>
      <w:r w:rsidRPr="00E21A43">
        <w:rPr>
          <w:rFonts w:ascii="Times New Roman" w:hAnsi="Times New Roman" w:cs="Times New Roman"/>
          <w:color w:val="212121"/>
          <w:sz w:val="24"/>
          <w:szCs w:val="24"/>
          <w:shd w:val="clear" w:color="auto" w:fill="FFFFFF"/>
        </w:rPr>
        <w:t>, L., &amp; Inglis, G. (2020). Poverty and mental health: policy, practice and research implications. </w:t>
      </w:r>
      <w:proofErr w:type="spellStart"/>
      <w:r w:rsidRPr="00E21A43">
        <w:rPr>
          <w:rFonts w:ascii="Times New Roman" w:hAnsi="Times New Roman" w:cs="Times New Roman"/>
          <w:i/>
          <w:iCs/>
          <w:color w:val="212121"/>
          <w:sz w:val="24"/>
          <w:szCs w:val="24"/>
          <w:shd w:val="clear" w:color="auto" w:fill="FFFFFF"/>
        </w:rPr>
        <w:t>BJPsych</w:t>
      </w:r>
      <w:proofErr w:type="spellEnd"/>
      <w:r w:rsidRPr="00E21A43">
        <w:rPr>
          <w:rFonts w:ascii="Times New Roman" w:hAnsi="Times New Roman" w:cs="Times New Roman"/>
          <w:i/>
          <w:iCs/>
          <w:color w:val="212121"/>
          <w:sz w:val="24"/>
          <w:szCs w:val="24"/>
          <w:shd w:val="clear" w:color="auto" w:fill="FFFFFF"/>
        </w:rPr>
        <w:t xml:space="preserve"> Bulletin</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44</w:t>
      </w:r>
      <w:r w:rsidRPr="00E21A43">
        <w:rPr>
          <w:rFonts w:ascii="Times New Roman" w:hAnsi="Times New Roman" w:cs="Times New Roman"/>
          <w:color w:val="212121"/>
          <w:sz w:val="24"/>
          <w:szCs w:val="24"/>
          <w:shd w:val="clear" w:color="auto" w:fill="FFFFFF"/>
        </w:rPr>
        <w:t xml:space="preserve">(5), 193–196. https://doi.org/10.1192/bjb.2020.78 </w:t>
      </w:r>
    </w:p>
    <w:p w14:paraId="0E08C856" w14:textId="77777777" w:rsidR="00E21A43" w:rsidRPr="00E21A43" w:rsidRDefault="00E21A43" w:rsidP="002A1C73">
      <w:pPr>
        <w:spacing w:after="0" w:line="480" w:lineRule="auto"/>
        <w:ind w:left="720" w:hanging="720"/>
        <w:rPr>
          <w:rFonts w:ascii="Times New Roman" w:hAnsi="Times New Roman" w:cs="Times New Roman"/>
          <w:color w:val="222222"/>
          <w:sz w:val="24"/>
          <w:szCs w:val="24"/>
          <w:shd w:val="clear" w:color="auto" w:fill="FFFFFF"/>
        </w:rPr>
      </w:pPr>
      <w:r w:rsidRPr="00E21A43">
        <w:rPr>
          <w:rFonts w:ascii="Times New Roman" w:hAnsi="Times New Roman" w:cs="Times New Roman"/>
          <w:color w:val="222222"/>
          <w:sz w:val="24"/>
          <w:szCs w:val="24"/>
          <w:shd w:val="clear" w:color="auto" w:fill="FFFFFF"/>
        </w:rPr>
        <w:t>Leininger, M. M. (2006). </w:t>
      </w:r>
      <w:r w:rsidRPr="00E21A43">
        <w:rPr>
          <w:rFonts w:ascii="Times New Roman" w:hAnsi="Times New Roman" w:cs="Times New Roman"/>
          <w:i/>
          <w:iCs/>
          <w:color w:val="222222"/>
          <w:sz w:val="24"/>
          <w:szCs w:val="24"/>
          <w:shd w:val="clear" w:color="auto" w:fill="FFFFFF"/>
        </w:rPr>
        <w:t>Culture care diversity and universality: A worldwide nursing theory</w:t>
      </w:r>
      <w:r w:rsidRPr="00E21A43">
        <w:rPr>
          <w:rFonts w:ascii="Times New Roman" w:hAnsi="Times New Roman" w:cs="Times New Roman"/>
          <w:color w:val="222222"/>
          <w:sz w:val="24"/>
          <w:szCs w:val="24"/>
          <w:shd w:val="clear" w:color="auto" w:fill="FFFFFF"/>
        </w:rPr>
        <w:t>. Jones &amp; Bartlett Learning.</w:t>
      </w:r>
    </w:p>
    <w:p w14:paraId="01FA5161" w14:textId="77777777" w:rsidR="00E21A43" w:rsidRPr="00E21A43" w:rsidRDefault="00E21A43" w:rsidP="002A1C73">
      <w:pPr>
        <w:spacing w:after="0" w:line="480" w:lineRule="auto"/>
        <w:ind w:left="720" w:hanging="720"/>
        <w:rPr>
          <w:rFonts w:ascii="Times New Roman" w:hAnsi="Times New Roman" w:cs="Times New Roman"/>
          <w:color w:val="222222"/>
          <w:sz w:val="24"/>
          <w:szCs w:val="24"/>
          <w:shd w:val="clear" w:color="auto" w:fill="FFFFFF"/>
        </w:rPr>
      </w:pPr>
      <w:r w:rsidRPr="00E21A43">
        <w:rPr>
          <w:rFonts w:ascii="Times New Roman" w:hAnsi="Times New Roman" w:cs="Times New Roman"/>
          <w:color w:val="222222"/>
          <w:sz w:val="24"/>
          <w:szCs w:val="24"/>
          <w:shd w:val="clear" w:color="auto" w:fill="FFFFFF"/>
        </w:rPr>
        <w:t xml:space="preserve">Lopez, C., Vazquez, M., &amp; McCormick, A. S. (2022). </w:t>
      </w:r>
      <w:proofErr w:type="spellStart"/>
      <w:r w:rsidRPr="00E21A43">
        <w:rPr>
          <w:rFonts w:ascii="Times New Roman" w:hAnsi="Times New Roman" w:cs="Times New Roman"/>
          <w:color w:val="222222"/>
          <w:sz w:val="24"/>
          <w:szCs w:val="24"/>
          <w:shd w:val="clear" w:color="auto" w:fill="FFFFFF"/>
        </w:rPr>
        <w:t>Familismo</w:t>
      </w:r>
      <w:proofErr w:type="spellEnd"/>
      <w:r w:rsidRPr="00E21A43">
        <w:rPr>
          <w:rFonts w:ascii="Times New Roman" w:hAnsi="Times New Roman" w:cs="Times New Roman"/>
          <w:color w:val="222222"/>
          <w:sz w:val="24"/>
          <w:szCs w:val="24"/>
          <w:shd w:val="clear" w:color="auto" w:fill="FFFFFF"/>
        </w:rPr>
        <w:t xml:space="preserve">, </w:t>
      </w:r>
      <w:proofErr w:type="spellStart"/>
      <w:r w:rsidRPr="00E21A43">
        <w:rPr>
          <w:rFonts w:ascii="Times New Roman" w:hAnsi="Times New Roman" w:cs="Times New Roman"/>
          <w:color w:val="222222"/>
          <w:sz w:val="24"/>
          <w:szCs w:val="24"/>
          <w:shd w:val="clear" w:color="auto" w:fill="FFFFFF"/>
        </w:rPr>
        <w:t>respeto</w:t>
      </w:r>
      <w:proofErr w:type="spellEnd"/>
      <w:r w:rsidRPr="00E21A43">
        <w:rPr>
          <w:rFonts w:ascii="Times New Roman" w:hAnsi="Times New Roman" w:cs="Times New Roman"/>
          <w:color w:val="222222"/>
          <w:sz w:val="24"/>
          <w:szCs w:val="24"/>
          <w:shd w:val="clear" w:color="auto" w:fill="FFFFFF"/>
        </w:rPr>
        <w:t xml:space="preserve">, and bien </w:t>
      </w:r>
      <w:proofErr w:type="spellStart"/>
      <w:r w:rsidRPr="00E21A43">
        <w:rPr>
          <w:rFonts w:ascii="Times New Roman" w:hAnsi="Times New Roman" w:cs="Times New Roman"/>
          <w:color w:val="222222"/>
          <w:sz w:val="24"/>
          <w:szCs w:val="24"/>
          <w:shd w:val="clear" w:color="auto" w:fill="FFFFFF"/>
        </w:rPr>
        <w:t>educado</w:t>
      </w:r>
      <w:proofErr w:type="spellEnd"/>
      <w:r w:rsidRPr="00E21A43">
        <w:rPr>
          <w:rFonts w:ascii="Times New Roman" w:hAnsi="Times New Roman" w:cs="Times New Roman"/>
          <w:color w:val="222222"/>
          <w:sz w:val="24"/>
          <w:szCs w:val="24"/>
          <w:shd w:val="clear" w:color="auto" w:fill="FFFFFF"/>
        </w:rPr>
        <w:t xml:space="preserve">: traditional/cultural models and values in </w:t>
      </w:r>
      <w:r w:rsidRPr="00E21A43">
        <w:rPr>
          <w:rFonts w:ascii="Times New Roman" w:hAnsi="Times New Roman" w:cs="Times New Roman"/>
          <w:color w:val="222222"/>
          <w:sz w:val="24"/>
          <w:szCs w:val="24"/>
          <w:shd w:val="clear" w:color="auto" w:fill="FFFFFF"/>
        </w:rPr>
        <w:t>Latinos</w:t>
      </w:r>
      <w:r w:rsidRPr="00E21A43">
        <w:rPr>
          <w:rFonts w:ascii="Times New Roman" w:hAnsi="Times New Roman" w:cs="Times New Roman"/>
          <w:color w:val="222222"/>
          <w:sz w:val="24"/>
          <w:szCs w:val="24"/>
          <w:shd w:val="clear" w:color="auto" w:fill="FFFFFF"/>
        </w:rPr>
        <w:t>. In </w:t>
      </w:r>
      <w:r w:rsidRPr="00E21A43">
        <w:rPr>
          <w:rFonts w:ascii="Times New Roman" w:hAnsi="Times New Roman" w:cs="Times New Roman"/>
          <w:i/>
          <w:iCs/>
          <w:color w:val="222222"/>
          <w:sz w:val="24"/>
          <w:szCs w:val="24"/>
          <w:shd w:val="clear" w:color="auto" w:fill="FFFFFF"/>
        </w:rPr>
        <w:t xml:space="preserve">Family literacy practices in Asian and </w:t>
      </w:r>
      <w:proofErr w:type="spellStart"/>
      <w:r w:rsidRPr="00E21A43">
        <w:rPr>
          <w:rFonts w:ascii="Times New Roman" w:hAnsi="Times New Roman" w:cs="Times New Roman"/>
          <w:i/>
          <w:iCs/>
          <w:color w:val="222222"/>
          <w:sz w:val="24"/>
          <w:szCs w:val="24"/>
          <w:shd w:val="clear" w:color="auto" w:fill="FFFFFF"/>
        </w:rPr>
        <w:t>latinx</w:t>
      </w:r>
      <w:proofErr w:type="spellEnd"/>
      <w:r w:rsidRPr="00E21A43">
        <w:rPr>
          <w:rFonts w:ascii="Times New Roman" w:hAnsi="Times New Roman" w:cs="Times New Roman"/>
          <w:i/>
          <w:iCs/>
          <w:color w:val="222222"/>
          <w:sz w:val="24"/>
          <w:szCs w:val="24"/>
          <w:shd w:val="clear" w:color="auto" w:fill="FFFFFF"/>
        </w:rPr>
        <w:t xml:space="preserve"> families: Educational and cultural considerations</w:t>
      </w:r>
      <w:r w:rsidRPr="00E21A43">
        <w:rPr>
          <w:rFonts w:ascii="Times New Roman" w:hAnsi="Times New Roman" w:cs="Times New Roman"/>
          <w:color w:val="222222"/>
          <w:sz w:val="24"/>
          <w:szCs w:val="24"/>
          <w:shd w:val="clear" w:color="auto" w:fill="FFFFFF"/>
        </w:rPr>
        <w:t> (pp. 87-102). Cham: Springer International Publishing.</w:t>
      </w:r>
    </w:p>
    <w:p w14:paraId="7B10AA4F" w14:textId="77777777" w:rsidR="00E21A43" w:rsidRPr="00E21A43" w:rsidRDefault="00E21A43" w:rsidP="002A1C73">
      <w:pPr>
        <w:spacing w:after="0" w:line="480" w:lineRule="auto"/>
        <w:ind w:left="720" w:hanging="720"/>
        <w:rPr>
          <w:rFonts w:ascii="Times New Roman" w:hAnsi="Times New Roman" w:cs="Times New Roman"/>
          <w:color w:val="222222"/>
          <w:sz w:val="24"/>
          <w:szCs w:val="24"/>
          <w:shd w:val="clear" w:color="auto" w:fill="FFFFFF"/>
        </w:rPr>
      </w:pPr>
      <w:r w:rsidRPr="00E21A43">
        <w:rPr>
          <w:rFonts w:ascii="Times New Roman" w:hAnsi="Times New Roman" w:cs="Times New Roman"/>
          <w:color w:val="222222"/>
          <w:sz w:val="24"/>
          <w:szCs w:val="24"/>
          <w:shd w:val="clear" w:color="auto" w:fill="FFFFFF"/>
        </w:rPr>
        <w:t xml:space="preserve">Pandey, M., </w:t>
      </w:r>
      <w:proofErr w:type="spellStart"/>
      <w:r w:rsidRPr="00E21A43">
        <w:rPr>
          <w:rFonts w:ascii="Times New Roman" w:hAnsi="Times New Roman" w:cs="Times New Roman"/>
          <w:color w:val="222222"/>
          <w:sz w:val="24"/>
          <w:szCs w:val="24"/>
          <w:shd w:val="clear" w:color="auto" w:fill="FFFFFF"/>
        </w:rPr>
        <w:t>Maina</w:t>
      </w:r>
      <w:proofErr w:type="spellEnd"/>
      <w:r w:rsidRPr="00E21A43">
        <w:rPr>
          <w:rFonts w:ascii="Times New Roman" w:hAnsi="Times New Roman" w:cs="Times New Roman"/>
          <w:color w:val="222222"/>
          <w:sz w:val="24"/>
          <w:szCs w:val="24"/>
          <w:shd w:val="clear" w:color="auto" w:fill="FFFFFF"/>
        </w:rPr>
        <w:t xml:space="preserve">, R. G., </w:t>
      </w:r>
      <w:proofErr w:type="spellStart"/>
      <w:r w:rsidRPr="00E21A43">
        <w:rPr>
          <w:rFonts w:ascii="Times New Roman" w:hAnsi="Times New Roman" w:cs="Times New Roman"/>
          <w:color w:val="222222"/>
          <w:sz w:val="24"/>
          <w:szCs w:val="24"/>
          <w:shd w:val="clear" w:color="auto" w:fill="FFFFFF"/>
        </w:rPr>
        <w:t>Amoyaw</w:t>
      </w:r>
      <w:proofErr w:type="spellEnd"/>
      <w:r w:rsidRPr="00E21A43">
        <w:rPr>
          <w:rFonts w:ascii="Times New Roman" w:hAnsi="Times New Roman" w:cs="Times New Roman"/>
          <w:color w:val="222222"/>
          <w:sz w:val="24"/>
          <w:szCs w:val="24"/>
          <w:shd w:val="clear" w:color="auto" w:fill="FFFFFF"/>
        </w:rPr>
        <w:t xml:space="preserve">, J., Li, Y., Kamrul, R., Michaels, C. R., &amp; </w:t>
      </w:r>
      <w:proofErr w:type="spellStart"/>
      <w:r w:rsidRPr="00E21A43">
        <w:rPr>
          <w:rFonts w:ascii="Times New Roman" w:hAnsi="Times New Roman" w:cs="Times New Roman"/>
          <w:color w:val="222222"/>
          <w:sz w:val="24"/>
          <w:szCs w:val="24"/>
          <w:shd w:val="clear" w:color="auto" w:fill="FFFFFF"/>
        </w:rPr>
        <w:t>Maroof</w:t>
      </w:r>
      <w:proofErr w:type="spellEnd"/>
      <w:r w:rsidRPr="00E21A43">
        <w:rPr>
          <w:rFonts w:ascii="Times New Roman" w:hAnsi="Times New Roman" w:cs="Times New Roman"/>
          <w:color w:val="222222"/>
          <w:sz w:val="24"/>
          <w:szCs w:val="24"/>
          <w:shd w:val="clear" w:color="auto" w:fill="FFFFFF"/>
        </w:rPr>
        <w:t xml:space="preserve">, R. (2021). Impacts of English language proficiency on healthcare access, use, and outcomes </w:t>
      </w:r>
      <w:r w:rsidRPr="00E21A43">
        <w:rPr>
          <w:rFonts w:ascii="Times New Roman" w:hAnsi="Times New Roman" w:cs="Times New Roman"/>
          <w:color w:val="222222"/>
          <w:sz w:val="24"/>
          <w:szCs w:val="24"/>
          <w:shd w:val="clear" w:color="auto" w:fill="FFFFFF"/>
        </w:rPr>
        <w:lastRenderedPageBreak/>
        <w:t>among immigrants: a qualitative study. </w:t>
      </w:r>
      <w:r w:rsidRPr="00E21A43">
        <w:rPr>
          <w:rFonts w:ascii="Times New Roman" w:hAnsi="Times New Roman" w:cs="Times New Roman"/>
          <w:i/>
          <w:iCs/>
          <w:color w:val="222222"/>
          <w:sz w:val="24"/>
          <w:szCs w:val="24"/>
          <w:shd w:val="clear" w:color="auto" w:fill="FFFFFF"/>
        </w:rPr>
        <w:t>BMC Health Services Research</w:t>
      </w:r>
      <w:r w:rsidRPr="00E21A43">
        <w:rPr>
          <w:rFonts w:ascii="Times New Roman" w:hAnsi="Times New Roman" w:cs="Times New Roman"/>
          <w:color w:val="222222"/>
          <w:sz w:val="24"/>
          <w:szCs w:val="24"/>
          <w:shd w:val="clear" w:color="auto" w:fill="FFFFFF"/>
        </w:rPr>
        <w:t>, </w:t>
      </w:r>
      <w:r w:rsidRPr="00E21A43">
        <w:rPr>
          <w:rFonts w:ascii="Times New Roman" w:hAnsi="Times New Roman" w:cs="Times New Roman"/>
          <w:i/>
          <w:iCs/>
          <w:color w:val="222222"/>
          <w:sz w:val="24"/>
          <w:szCs w:val="24"/>
          <w:shd w:val="clear" w:color="auto" w:fill="FFFFFF"/>
        </w:rPr>
        <w:t>21</w:t>
      </w:r>
      <w:r w:rsidRPr="00E21A43">
        <w:rPr>
          <w:rFonts w:ascii="Times New Roman" w:hAnsi="Times New Roman" w:cs="Times New Roman"/>
          <w:color w:val="222222"/>
          <w:sz w:val="24"/>
          <w:szCs w:val="24"/>
          <w:shd w:val="clear" w:color="auto" w:fill="FFFFFF"/>
        </w:rPr>
        <w:t>, 1-13.</w:t>
      </w:r>
      <w:r w:rsidRPr="00E21A43">
        <w:rPr>
          <w:rFonts w:ascii="Times New Roman" w:hAnsi="Times New Roman" w:cs="Times New Roman"/>
          <w:color w:val="222222"/>
          <w:sz w:val="24"/>
          <w:szCs w:val="24"/>
          <w:shd w:val="clear" w:color="auto" w:fill="FFFFFF"/>
        </w:rPr>
        <w:t xml:space="preserve"> </w:t>
      </w:r>
      <w:r w:rsidRPr="00E21A43">
        <w:rPr>
          <w:rFonts w:ascii="Times New Roman" w:hAnsi="Times New Roman" w:cs="Times New Roman"/>
          <w:color w:val="222222"/>
          <w:sz w:val="24"/>
          <w:szCs w:val="24"/>
          <w:shd w:val="clear" w:color="auto" w:fill="FFFFFF"/>
        </w:rPr>
        <w:t>https://doi.org/10.1186/s12913-021-06750-4</w:t>
      </w:r>
    </w:p>
    <w:p w14:paraId="4962A21F" w14:textId="77777777" w:rsidR="00E21A43" w:rsidRPr="00E21A43" w:rsidRDefault="00E21A43" w:rsidP="002A1C73">
      <w:pPr>
        <w:spacing w:after="0" w:line="480" w:lineRule="auto"/>
        <w:ind w:left="720" w:hanging="720"/>
        <w:rPr>
          <w:rFonts w:ascii="Times New Roman" w:hAnsi="Times New Roman" w:cs="Times New Roman"/>
          <w:color w:val="212121"/>
          <w:sz w:val="24"/>
          <w:szCs w:val="24"/>
          <w:shd w:val="clear" w:color="auto" w:fill="FFFFFF"/>
        </w:rPr>
      </w:pPr>
      <w:r w:rsidRPr="00E21A43">
        <w:rPr>
          <w:rFonts w:ascii="Times New Roman" w:hAnsi="Times New Roman" w:cs="Times New Roman"/>
          <w:color w:val="212121"/>
          <w:sz w:val="24"/>
          <w:szCs w:val="24"/>
          <w:shd w:val="clear" w:color="auto" w:fill="FFFFFF"/>
        </w:rPr>
        <w:t xml:space="preserve">Smith, E. P., Witherspoon, D. P., Bhargava, S., &amp; Bermudez, J. M. (2019). Cultural </w:t>
      </w:r>
      <w:r w:rsidRPr="00E21A43">
        <w:rPr>
          <w:rFonts w:ascii="Times New Roman" w:hAnsi="Times New Roman" w:cs="Times New Roman"/>
          <w:color w:val="212121"/>
          <w:sz w:val="24"/>
          <w:szCs w:val="24"/>
          <w:shd w:val="clear" w:color="auto" w:fill="FFFFFF"/>
        </w:rPr>
        <w:t xml:space="preserve">values and behavior among </w:t>
      </w:r>
      <w:r w:rsidRPr="00E21A43">
        <w:rPr>
          <w:rFonts w:ascii="Times New Roman" w:hAnsi="Times New Roman" w:cs="Times New Roman"/>
          <w:color w:val="212121"/>
          <w:sz w:val="24"/>
          <w:szCs w:val="24"/>
          <w:shd w:val="clear" w:color="auto" w:fill="FFFFFF"/>
        </w:rPr>
        <w:t xml:space="preserve">African American and European American </w:t>
      </w:r>
      <w:r w:rsidRPr="00E21A43">
        <w:rPr>
          <w:rFonts w:ascii="Times New Roman" w:hAnsi="Times New Roman" w:cs="Times New Roman"/>
          <w:color w:val="212121"/>
          <w:sz w:val="24"/>
          <w:szCs w:val="24"/>
          <w:shd w:val="clear" w:color="auto" w:fill="FFFFFF"/>
        </w:rPr>
        <w:t>children</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 xml:space="preserve">Journal of </w:t>
      </w:r>
      <w:r w:rsidRPr="00E21A43">
        <w:rPr>
          <w:rFonts w:ascii="Times New Roman" w:hAnsi="Times New Roman" w:cs="Times New Roman"/>
          <w:i/>
          <w:iCs/>
          <w:color w:val="212121"/>
          <w:sz w:val="24"/>
          <w:szCs w:val="24"/>
          <w:shd w:val="clear" w:color="auto" w:fill="FFFFFF"/>
        </w:rPr>
        <w:t xml:space="preserve">Child </w:t>
      </w:r>
      <w:r w:rsidRPr="00E21A43">
        <w:rPr>
          <w:rFonts w:ascii="Times New Roman" w:hAnsi="Times New Roman" w:cs="Times New Roman"/>
          <w:i/>
          <w:iCs/>
          <w:color w:val="212121"/>
          <w:sz w:val="24"/>
          <w:szCs w:val="24"/>
          <w:shd w:val="clear" w:color="auto" w:fill="FFFFFF"/>
        </w:rPr>
        <w:t xml:space="preserve">and </w:t>
      </w:r>
      <w:r w:rsidRPr="00E21A43">
        <w:rPr>
          <w:rFonts w:ascii="Times New Roman" w:hAnsi="Times New Roman" w:cs="Times New Roman"/>
          <w:i/>
          <w:iCs/>
          <w:color w:val="212121"/>
          <w:sz w:val="24"/>
          <w:szCs w:val="24"/>
          <w:shd w:val="clear" w:color="auto" w:fill="FFFFFF"/>
        </w:rPr>
        <w:t>Family Studies</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28</w:t>
      </w:r>
      <w:r w:rsidRPr="00E21A43">
        <w:rPr>
          <w:rFonts w:ascii="Times New Roman" w:hAnsi="Times New Roman" w:cs="Times New Roman"/>
          <w:color w:val="212121"/>
          <w:sz w:val="24"/>
          <w:szCs w:val="24"/>
          <w:shd w:val="clear" w:color="auto" w:fill="FFFFFF"/>
        </w:rPr>
        <w:t>, 1236–1249. https://doi.org/10.1007/s10826-019-01367-y</w:t>
      </w:r>
    </w:p>
    <w:p w14:paraId="67F24EC2" w14:textId="77777777" w:rsidR="00E21A43" w:rsidRPr="00E21A43" w:rsidRDefault="00E21A43" w:rsidP="00BA6671">
      <w:pPr>
        <w:spacing w:after="0" w:line="480" w:lineRule="auto"/>
        <w:ind w:left="720" w:hanging="720"/>
        <w:rPr>
          <w:rFonts w:ascii="Times New Roman" w:hAnsi="Times New Roman" w:cs="Times New Roman"/>
          <w:color w:val="212121"/>
          <w:sz w:val="24"/>
          <w:szCs w:val="24"/>
          <w:shd w:val="clear" w:color="auto" w:fill="FFFFFF"/>
        </w:rPr>
      </w:pPr>
      <w:r w:rsidRPr="00E21A43">
        <w:rPr>
          <w:rFonts w:ascii="Times New Roman" w:hAnsi="Times New Roman" w:cs="Times New Roman"/>
          <w:color w:val="212121"/>
          <w:sz w:val="24"/>
          <w:szCs w:val="24"/>
          <w:shd w:val="clear" w:color="auto" w:fill="FFFFFF"/>
        </w:rPr>
        <w:t xml:space="preserve">Teixeira, G., </w:t>
      </w:r>
      <w:proofErr w:type="spellStart"/>
      <w:r w:rsidRPr="00E21A43">
        <w:rPr>
          <w:rFonts w:ascii="Times New Roman" w:hAnsi="Times New Roman" w:cs="Times New Roman"/>
          <w:color w:val="212121"/>
          <w:sz w:val="24"/>
          <w:szCs w:val="24"/>
          <w:shd w:val="clear" w:color="auto" w:fill="FFFFFF"/>
        </w:rPr>
        <w:t>Cruchinho</w:t>
      </w:r>
      <w:proofErr w:type="spellEnd"/>
      <w:r w:rsidRPr="00E21A43">
        <w:rPr>
          <w:rFonts w:ascii="Times New Roman" w:hAnsi="Times New Roman" w:cs="Times New Roman"/>
          <w:color w:val="212121"/>
          <w:sz w:val="24"/>
          <w:szCs w:val="24"/>
          <w:shd w:val="clear" w:color="auto" w:fill="FFFFFF"/>
        </w:rPr>
        <w:t>, P., Lucas, P., &amp; Gaspar, F. (2023). Transcultural nursing leadership: A concept analysis. </w:t>
      </w:r>
      <w:r w:rsidRPr="00E21A43">
        <w:rPr>
          <w:rFonts w:ascii="Times New Roman" w:hAnsi="Times New Roman" w:cs="Times New Roman"/>
          <w:i/>
          <w:iCs/>
          <w:color w:val="212121"/>
          <w:sz w:val="24"/>
          <w:szCs w:val="24"/>
          <w:shd w:val="clear" w:color="auto" w:fill="FFFFFF"/>
        </w:rPr>
        <w:t>International Journal of Nursing Studies Advances</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5</w:t>
      </w:r>
      <w:r w:rsidRPr="00E21A43">
        <w:rPr>
          <w:rFonts w:ascii="Times New Roman" w:hAnsi="Times New Roman" w:cs="Times New Roman"/>
          <w:color w:val="212121"/>
          <w:sz w:val="24"/>
          <w:szCs w:val="24"/>
          <w:shd w:val="clear" w:color="auto" w:fill="FFFFFF"/>
        </w:rPr>
        <w:t xml:space="preserve">, 100161. https://doi.org/10.1016/j.ijnsa.2023.100161 </w:t>
      </w:r>
    </w:p>
    <w:p w14:paraId="55C45DF7" w14:textId="77777777" w:rsidR="00E21A43" w:rsidRPr="00E21A43" w:rsidRDefault="00E21A43" w:rsidP="002A1C73">
      <w:pPr>
        <w:spacing w:after="0" w:line="480" w:lineRule="auto"/>
        <w:ind w:left="720" w:hanging="720"/>
        <w:rPr>
          <w:rFonts w:ascii="Times New Roman" w:hAnsi="Times New Roman" w:cs="Times New Roman"/>
          <w:color w:val="212121"/>
          <w:sz w:val="24"/>
          <w:szCs w:val="24"/>
          <w:shd w:val="clear" w:color="auto" w:fill="FFFFFF"/>
        </w:rPr>
      </w:pPr>
      <w:proofErr w:type="spellStart"/>
      <w:r w:rsidRPr="00E21A43">
        <w:rPr>
          <w:rFonts w:ascii="Times New Roman" w:hAnsi="Times New Roman" w:cs="Times New Roman"/>
          <w:color w:val="212121"/>
          <w:sz w:val="24"/>
          <w:szCs w:val="24"/>
          <w:shd w:val="clear" w:color="auto" w:fill="FFFFFF"/>
        </w:rPr>
        <w:t>Todic</w:t>
      </w:r>
      <w:proofErr w:type="spellEnd"/>
      <w:r w:rsidRPr="00E21A43">
        <w:rPr>
          <w:rFonts w:ascii="Times New Roman" w:hAnsi="Times New Roman" w:cs="Times New Roman"/>
          <w:color w:val="212121"/>
          <w:sz w:val="24"/>
          <w:szCs w:val="24"/>
          <w:shd w:val="clear" w:color="auto" w:fill="FFFFFF"/>
        </w:rPr>
        <w:t>, J., Cook, S. C., Spitzer-</w:t>
      </w:r>
      <w:proofErr w:type="spellStart"/>
      <w:r w:rsidRPr="00E21A43">
        <w:rPr>
          <w:rFonts w:ascii="Times New Roman" w:hAnsi="Times New Roman" w:cs="Times New Roman"/>
          <w:color w:val="212121"/>
          <w:sz w:val="24"/>
          <w:szCs w:val="24"/>
          <w:shd w:val="clear" w:color="auto" w:fill="FFFFFF"/>
        </w:rPr>
        <w:t>Shohat</w:t>
      </w:r>
      <w:proofErr w:type="spellEnd"/>
      <w:r w:rsidRPr="00E21A43">
        <w:rPr>
          <w:rFonts w:ascii="Times New Roman" w:hAnsi="Times New Roman" w:cs="Times New Roman"/>
          <w:color w:val="212121"/>
          <w:sz w:val="24"/>
          <w:szCs w:val="24"/>
          <w:shd w:val="clear" w:color="auto" w:fill="FFFFFF"/>
        </w:rPr>
        <w:t xml:space="preserve">, S., Williams, J. S., Jr, Battle, B. A., Jackson, J., &amp; Chin, M. H. (2022). Critical </w:t>
      </w:r>
      <w:r w:rsidRPr="00E21A43">
        <w:rPr>
          <w:rFonts w:ascii="Times New Roman" w:hAnsi="Times New Roman" w:cs="Times New Roman"/>
          <w:color w:val="212121"/>
          <w:sz w:val="24"/>
          <w:szCs w:val="24"/>
          <w:shd w:val="clear" w:color="auto" w:fill="FFFFFF"/>
        </w:rPr>
        <w:t>theory, culture change, and achieving health equity in health care settings</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 xml:space="preserve">Academic </w:t>
      </w:r>
      <w:r w:rsidRPr="00E21A43">
        <w:rPr>
          <w:rFonts w:ascii="Times New Roman" w:hAnsi="Times New Roman" w:cs="Times New Roman"/>
          <w:i/>
          <w:iCs/>
          <w:color w:val="212121"/>
          <w:sz w:val="24"/>
          <w:szCs w:val="24"/>
          <w:shd w:val="clear" w:color="auto" w:fill="FFFFFF"/>
        </w:rPr>
        <w:t>Medicine</w:t>
      </w:r>
      <w:r w:rsidRPr="00E21A43">
        <w:rPr>
          <w:rFonts w:ascii="Times New Roman" w:hAnsi="Times New Roman" w:cs="Times New Roman"/>
          <w:i/>
          <w:iCs/>
          <w:color w:val="212121"/>
          <w:sz w:val="24"/>
          <w:szCs w:val="24"/>
          <w:shd w:val="clear" w:color="auto" w:fill="FFFFFF"/>
        </w:rPr>
        <w:t xml:space="preserve">: </w:t>
      </w:r>
      <w:r w:rsidRPr="00E21A43">
        <w:rPr>
          <w:rFonts w:ascii="Times New Roman" w:hAnsi="Times New Roman" w:cs="Times New Roman"/>
          <w:i/>
          <w:iCs/>
          <w:color w:val="212121"/>
          <w:sz w:val="24"/>
          <w:szCs w:val="24"/>
          <w:shd w:val="clear" w:color="auto" w:fill="FFFFFF"/>
        </w:rPr>
        <w:t xml:space="preserve">Journal </w:t>
      </w:r>
      <w:r w:rsidRPr="00E21A43">
        <w:rPr>
          <w:rFonts w:ascii="Times New Roman" w:hAnsi="Times New Roman" w:cs="Times New Roman"/>
          <w:i/>
          <w:iCs/>
          <w:color w:val="212121"/>
          <w:sz w:val="24"/>
          <w:szCs w:val="24"/>
          <w:shd w:val="clear" w:color="auto" w:fill="FFFFFF"/>
        </w:rPr>
        <w:t>of the Association of American Medical Colleges</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97</w:t>
      </w:r>
      <w:r w:rsidRPr="00E21A43">
        <w:rPr>
          <w:rFonts w:ascii="Times New Roman" w:hAnsi="Times New Roman" w:cs="Times New Roman"/>
          <w:color w:val="212121"/>
          <w:sz w:val="24"/>
          <w:szCs w:val="24"/>
          <w:shd w:val="clear" w:color="auto" w:fill="FFFFFF"/>
        </w:rPr>
        <w:t>(7), 977–988. https://doi.org/10.1097/ACM.0000000000004680</w:t>
      </w:r>
    </w:p>
    <w:p w14:paraId="69559F60" w14:textId="77777777" w:rsidR="00E21A43" w:rsidRPr="00E21A43" w:rsidRDefault="00E21A43" w:rsidP="002A1C73">
      <w:pPr>
        <w:spacing w:after="0" w:line="480" w:lineRule="auto"/>
        <w:ind w:left="720" w:hanging="720"/>
        <w:rPr>
          <w:rFonts w:ascii="Times New Roman" w:hAnsi="Times New Roman" w:cs="Times New Roman"/>
          <w:color w:val="212121"/>
          <w:sz w:val="24"/>
          <w:szCs w:val="24"/>
          <w:shd w:val="clear" w:color="auto" w:fill="FFFFFF"/>
        </w:rPr>
      </w:pPr>
      <w:r w:rsidRPr="00E21A43">
        <w:rPr>
          <w:rFonts w:ascii="Times New Roman" w:hAnsi="Times New Roman" w:cs="Times New Roman"/>
          <w:color w:val="212121"/>
          <w:sz w:val="24"/>
          <w:szCs w:val="24"/>
          <w:shd w:val="clear" w:color="auto" w:fill="FFFFFF"/>
        </w:rPr>
        <w:t xml:space="preserve">van Genk, C., </w:t>
      </w:r>
      <w:proofErr w:type="spellStart"/>
      <w:r w:rsidRPr="00E21A43">
        <w:rPr>
          <w:rFonts w:ascii="Times New Roman" w:hAnsi="Times New Roman" w:cs="Times New Roman"/>
          <w:color w:val="212121"/>
          <w:sz w:val="24"/>
          <w:szCs w:val="24"/>
          <w:shd w:val="clear" w:color="auto" w:fill="FFFFFF"/>
        </w:rPr>
        <w:t>Roeg</w:t>
      </w:r>
      <w:proofErr w:type="spellEnd"/>
      <w:r w:rsidRPr="00E21A43">
        <w:rPr>
          <w:rFonts w:ascii="Times New Roman" w:hAnsi="Times New Roman" w:cs="Times New Roman"/>
          <w:color w:val="212121"/>
          <w:sz w:val="24"/>
          <w:szCs w:val="24"/>
          <w:shd w:val="clear" w:color="auto" w:fill="FFFFFF"/>
        </w:rPr>
        <w:t xml:space="preserve">, D., van </w:t>
      </w:r>
      <w:proofErr w:type="spellStart"/>
      <w:r w:rsidRPr="00E21A43">
        <w:rPr>
          <w:rFonts w:ascii="Times New Roman" w:hAnsi="Times New Roman" w:cs="Times New Roman"/>
          <w:color w:val="212121"/>
          <w:sz w:val="24"/>
          <w:szCs w:val="24"/>
          <w:shd w:val="clear" w:color="auto" w:fill="FFFFFF"/>
        </w:rPr>
        <w:t>Vugt</w:t>
      </w:r>
      <w:proofErr w:type="spellEnd"/>
      <w:r w:rsidRPr="00E21A43">
        <w:rPr>
          <w:rFonts w:ascii="Times New Roman" w:hAnsi="Times New Roman" w:cs="Times New Roman"/>
          <w:color w:val="212121"/>
          <w:sz w:val="24"/>
          <w:szCs w:val="24"/>
          <w:shd w:val="clear" w:color="auto" w:fill="FFFFFF"/>
        </w:rPr>
        <w:t xml:space="preserve">, M., van </w:t>
      </w:r>
      <w:proofErr w:type="spellStart"/>
      <w:r w:rsidRPr="00E21A43">
        <w:rPr>
          <w:rFonts w:ascii="Times New Roman" w:hAnsi="Times New Roman" w:cs="Times New Roman"/>
          <w:color w:val="212121"/>
          <w:sz w:val="24"/>
          <w:szCs w:val="24"/>
          <w:shd w:val="clear" w:color="auto" w:fill="FFFFFF"/>
        </w:rPr>
        <w:t>Weeghel</w:t>
      </w:r>
      <w:proofErr w:type="spellEnd"/>
      <w:r w:rsidRPr="00E21A43">
        <w:rPr>
          <w:rFonts w:ascii="Times New Roman" w:hAnsi="Times New Roman" w:cs="Times New Roman"/>
          <w:color w:val="212121"/>
          <w:sz w:val="24"/>
          <w:szCs w:val="24"/>
          <w:shd w:val="clear" w:color="auto" w:fill="FFFFFF"/>
        </w:rPr>
        <w:t xml:space="preserve">, J., &amp; Van </w:t>
      </w:r>
      <w:proofErr w:type="spellStart"/>
      <w:r w:rsidRPr="00E21A43">
        <w:rPr>
          <w:rFonts w:ascii="Times New Roman" w:hAnsi="Times New Roman" w:cs="Times New Roman"/>
          <w:color w:val="212121"/>
          <w:sz w:val="24"/>
          <w:szCs w:val="24"/>
          <w:shd w:val="clear" w:color="auto" w:fill="FFFFFF"/>
        </w:rPr>
        <w:t>Regenmortel</w:t>
      </w:r>
      <w:proofErr w:type="spellEnd"/>
      <w:r w:rsidRPr="00E21A43">
        <w:rPr>
          <w:rFonts w:ascii="Times New Roman" w:hAnsi="Times New Roman" w:cs="Times New Roman"/>
          <w:color w:val="212121"/>
          <w:sz w:val="24"/>
          <w:szCs w:val="24"/>
          <w:shd w:val="clear" w:color="auto" w:fill="FFFFFF"/>
        </w:rPr>
        <w:t>, T. (2023). Current insights of community mental healthcare for people with severe mental illness: A scoping review. </w:t>
      </w:r>
      <w:r w:rsidRPr="00E21A43">
        <w:rPr>
          <w:rFonts w:ascii="Times New Roman" w:hAnsi="Times New Roman" w:cs="Times New Roman"/>
          <w:i/>
          <w:iCs/>
          <w:color w:val="212121"/>
          <w:sz w:val="24"/>
          <w:szCs w:val="24"/>
          <w:shd w:val="clear" w:color="auto" w:fill="FFFFFF"/>
        </w:rPr>
        <w:t>Frontiers in psychiatry</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14</w:t>
      </w:r>
      <w:r w:rsidRPr="00E21A43">
        <w:rPr>
          <w:rFonts w:ascii="Times New Roman" w:hAnsi="Times New Roman" w:cs="Times New Roman"/>
          <w:color w:val="212121"/>
          <w:sz w:val="24"/>
          <w:szCs w:val="24"/>
          <w:shd w:val="clear" w:color="auto" w:fill="FFFFFF"/>
        </w:rPr>
        <w:t>, 1156235. https://doi.org/10.3389/fpsyt.2023.1156235</w:t>
      </w:r>
    </w:p>
    <w:p w14:paraId="14D00D21" w14:textId="77777777" w:rsidR="00E21A43" w:rsidRPr="00E21A43" w:rsidRDefault="00E21A43" w:rsidP="002A1C73">
      <w:pPr>
        <w:spacing w:after="0" w:line="480" w:lineRule="auto"/>
        <w:ind w:left="720" w:hanging="720"/>
        <w:rPr>
          <w:rFonts w:ascii="Times New Roman" w:hAnsi="Times New Roman" w:cs="Times New Roman"/>
          <w:color w:val="212121"/>
          <w:sz w:val="24"/>
          <w:szCs w:val="24"/>
          <w:shd w:val="clear" w:color="auto" w:fill="FFFFFF"/>
        </w:rPr>
      </w:pPr>
      <w:proofErr w:type="spellStart"/>
      <w:r w:rsidRPr="00E21A43">
        <w:rPr>
          <w:rFonts w:ascii="Times New Roman" w:hAnsi="Times New Roman" w:cs="Times New Roman"/>
          <w:color w:val="212121"/>
          <w:sz w:val="24"/>
          <w:szCs w:val="24"/>
          <w:shd w:val="clear" w:color="auto" w:fill="FFFFFF"/>
        </w:rPr>
        <w:t>Venkataramani</w:t>
      </w:r>
      <w:proofErr w:type="spellEnd"/>
      <w:r w:rsidRPr="00E21A43">
        <w:rPr>
          <w:rFonts w:ascii="Times New Roman" w:hAnsi="Times New Roman" w:cs="Times New Roman"/>
          <w:color w:val="212121"/>
          <w:sz w:val="24"/>
          <w:szCs w:val="24"/>
          <w:shd w:val="clear" w:color="auto" w:fill="FFFFFF"/>
        </w:rPr>
        <w:t>, A. S., O'Brien, R., Whitehorn, G. L., &amp; Tsai, A. C. (2020). Economic influences on population health in the United States: Toward policymaking driven by data and evidence. </w:t>
      </w:r>
      <w:proofErr w:type="spellStart"/>
      <w:r w:rsidRPr="00E21A43">
        <w:rPr>
          <w:rFonts w:ascii="Times New Roman" w:hAnsi="Times New Roman" w:cs="Times New Roman"/>
          <w:i/>
          <w:iCs/>
          <w:color w:val="212121"/>
          <w:sz w:val="24"/>
          <w:szCs w:val="24"/>
          <w:shd w:val="clear" w:color="auto" w:fill="FFFFFF"/>
        </w:rPr>
        <w:t>PLoS</w:t>
      </w:r>
      <w:proofErr w:type="spellEnd"/>
      <w:r w:rsidRPr="00E21A43">
        <w:rPr>
          <w:rFonts w:ascii="Times New Roman" w:hAnsi="Times New Roman" w:cs="Times New Roman"/>
          <w:i/>
          <w:iCs/>
          <w:color w:val="212121"/>
          <w:sz w:val="24"/>
          <w:szCs w:val="24"/>
          <w:shd w:val="clear" w:color="auto" w:fill="FFFFFF"/>
        </w:rPr>
        <w:t xml:space="preserve"> medicine</w:t>
      </w:r>
      <w:r w:rsidRPr="00E21A43">
        <w:rPr>
          <w:rFonts w:ascii="Times New Roman" w:hAnsi="Times New Roman" w:cs="Times New Roman"/>
          <w:color w:val="212121"/>
          <w:sz w:val="24"/>
          <w:szCs w:val="24"/>
          <w:shd w:val="clear" w:color="auto" w:fill="FFFFFF"/>
        </w:rPr>
        <w:t>, </w:t>
      </w:r>
      <w:r w:rsidRPr="00E21A43">
        <w:rPr>
          <w:rFonts w:ascii="Times New Roman" w:hAnsi="Times New Roman" w:cs="Times New Roman"/>
          <w:i/>
          <w:iCs/>
          <w:color w:val="212121"/>
          <w:sz w:val="24"/>
          <w:szCs w:val="24"/>
          <w:shd w:val="clear" w:color="auto" w:fill="FFFFFF"/>
        </w:rPr>
        <w:t>17</w:t>
      </w:r>
      <w:r w:rsidRPr="00E21A43">
        <w:rPr>
          <w:rFonts w:ascii="Times New Roman" w:hAnsi="Times New Roman" w:cs="Times New Roman"/>
          <w:color w:val="212121"/>
          <w:sz w:val="24"/>
          <w:szCs w:val="24"/>
          <w:shd w:val="clear" w:color="auto" w:fill="FFFFFF"/>
        </w:rPr>
        <w:t>(9), e1003319. https://doi.org/10.1371/journal.pmed.1003319</w:t>
      </w:r>
    </w:p>
    <w:p w14:paraId="385C5081" w14:textId="77777777" w:rsidR="00BA6671" w:rsidRDefault="00BA6671" w:rsidP="002A1C73">
      <w:pPr>
        <w:spacing w:after="0" w:line="480" w:lineRule="auto"/>
        <w:ind w:left="720" w:hanging="720"/>
        <w:rPr>
          <w:rFonts w:ascii="Arial" w:hAnsi="Arial" w:cs="Arial"/>
          <w:color w:val="212121"/>
          <w:sz w:val="26"/>
          <w:szCs w:val="26"/>
          <w:shd w:val="clear" w:color="auto" w:fill="FFFFFF"/>
        </w:rPr>
      </w:pPr>
    </w:p>
    <w:sectPr w:rsidR="00BA66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16365" w14:textId="77777777" w:rsidR="00921FD2" w:rsidRDefault="00921FD2" w:rsidP="00E21A43">
      <w:pPr>
        <w:spacing w:after="0" w:line="240" w:lineRule="auto"/>
      </w:pPr>
      <w:r>
        <w:separator/>
      </w:r>
    </w:p>
  </w:endnote>
  <w:endnote w:type="continuationSeparator" w:id="0">
    <w:p w14:paraId="790A2E7E" w14:textId="77777777" w:rsidR="00921FD2" w:rsidRDefault="00921FD2" w:rsidP="00E2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1B8E9" w14:textId="77777777" w:rsidR="00921FD2" w:rsidRDefault="00921FD2" w:rsidP="00E21A43">
      <w:pPr>
        <w:spacing w:after="0" w:line="240" w:lineRule="auto"/>
      </w:pPr>
      <w:r>
        <w:separator/>
      </w:r>
    </w:p>
  </w:footnote>
  <w:footnote w:type="continuationSeparator" w:id="0">
    <w:p w14:paraId="2829E01A" w14:textId="77777777" w:rsidR="00921FD2" w:rsidRDefault="00921FD2" w:rsidP="00E21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250F4" w14:textId="55423DCB" w:rsidR="00E21A43" w:rsidRPr="00E21A43" w:rsidRDefault="00E21A43">
    <w:pPr>
      <w:pStyle w:val="Header"/>
      <w:rPr>
        <w:rFonts w:ascii="Times New Roman" w:hAnsi="Times New Roman" w:cs="Times New Roman"/>
        <w:sz w:val="24"/>
        <w:szCs w:val="24"/>
      </w:rPr>
    </w:pPr>
    <w:r w:rsidRPr="00E21A43">
      <w:rPr>
        <w:rFonts w:ascii="Times New Roman" w:hAnsi="Times New Roman" w:cs="Times New Roman"/>
        <w:sz w:val="24"/>
        <w:szCs w:val="24"/>
      </w:rPr>
      <w:tab/>
    </w:r>
    <w:r w:rsidRPr="00E21A43">
      <w:rPr>
        <w:rFonts w:ascii="Times New Roman" w:hAnsi="Times New Roman" w:cs="Times New Roman"/>
        <w:sz w:val="24"/>
        <w:szCs w:val="24"/>
      </w:rPr>
      <w:tab/>
    </w:r>
    <w:r w:rsidRPr="00E21A43">
      <w:rPr>
        <w:rFonts w:ascii="Times New Roman" w:hAnsi="Times New Roman" w:cs="Times New Roman"/>
        <w:sz w:val="24"/>
        <w:szCs w:val="24"/>
      </w:rPr>
      <w:fldChar w:fldCharType="begin"/>
    </w:r>
    <w:r w:rsidRPr="00E21A43">
      <w:rPr>
        <w:rFonts w:ascii="Times New Roman" w:hAnsi="Times New Roman" w:cs="Times New Roman"/>
        <w:sz w:val="24"/>
        <w:szCs w:val="24"/>
      </w:rPr>
      <w:instrText xml:space="preserve"> PAGE   \* MERGEFORMAT </w:instrText>
    </w:r>
    <w:r w:rsidRPr="00E21A43">
      <w:rPr>
        <w:rFonts w:ascii="Times New Roman" w:hAnsi="Times New Roman" w:cs="Times New Roman"/>
        <w:sz w:val="24"/>
        <w:szCs w:val="24"/>
      </w:rPr>
      <w:fldChar w:fldCharType="separate"/>
    </w:r>
    <w:r w:rsidRPr="00E21A43">
      <w:rPr>
        <w:rFonts w:ascii="Times New Roman" w:hAnsi="Times New Roman" w:cs="Times New Roman"/>
        <w:noProof/>
        <w:sz w:val="24"/>
        <w:szCs w:val="24"/>
      </w:rPr>
      <w:t>1</w:t>
    </w:r>
    <w:r w:rsidRPr="00E21A4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14"/>
    <w:rsid w:val="00013989"/>
    <w:rsid w:val="000729E0"/>
    <w:rsid w:val="00271A3A"/>
    <w:rsid w:val="002A1C73"/>
    <w:rsid w:val="002B73F2"/>
    <w:rsid w:val="002F175F"/>
    <w:rsid w:val="00404C36"/>
    <w:rsid w:val="00491F25"/>
    <w:rsid w:val="00586735"/>
    <w:rsid w:val="00750A6A"/>
    <w:rsid w:val="008F6126"/>
    <w:rsid w:val="00921FD2"/>
    <w:rsid w:val="00A525A3"/>
    <w:rsid w:val="00AB3697"/>
    <w:rsid w:val="00AC30FA"/>
    <w:rsid w:val="00B336EB"/>
    <w:rsid w:val="00BA6671"/>
    <w:rsid w:val="00BD5945"/>
    <w:rsid w:val="00C432EF"/>
    <w:rsid w:val="00CB1BBE"/>
    <w:rsid w:val="00E02814"/>
    <w:rsid w:val="00E21A43"/>
    <w:rsid w:val="00F32015"/>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DCA5"/>
  <w15:chartTrackingRefBased/>
  <w15:docId w15:val="{0F446EDD-35AC-4BD2-8785-07CED567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81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2EF"/>
    <w:rPr>
      <w:color w:val="0563C1" w:themeColor="hyperlink"/>
      <w:u w:val="single"/>
    </w:rPr>
  </w:style>
  <w:style w:type="character" w:styleId="UnresolvedMention">
    <w:name w:val="Unresolved Mention"/>
    <w:basedOn w:val="DefaultParagraphFont"/>
    <w:uiPriority w:val="99"/>
    <w:semiHidden/>
    <w:unhideWhenUsed/>
    <w:rsid w:val="00C432EF"/>
    <w:rPr>
      <w:color w:val="605E5C"/>
      <w:shd w:val="clear" w:color="auto" w:fill="E1DFDD"/>
    </w:rPr>
  </w:style>
  <w:style w:type="paragraph" w:styleId="Caption">
    <w:name w:val="caption"/>
    <w:basedOn w:val="Normal"/>
    <w:next w:val="Normal"/>
    <w:uiPriority w:val="35"/>
    <w:unhideWhenUsed/>
    <w:qFormat/>
    <w:rsid w:val="00AC30FA"/>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AC3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0FA"/>
    <w:rPr>
      <w:rFonts w:ascii="Segoe UI" w:hAnsi="Segoe UI" w:cs="Segoe UI"/>
      <w:sz w:val="18"/>
      <w:szCs w:val="18"/>
      <w:lang w:val="en-US"/>
    </w:rPr>
  </w:style>
  <w:style w:type="character" w:styleId="Emphasis">
    <w:name w:val="Emphasis"/>
    <w:basedOn w:val="DefaultParagraphFont"/>
    <w:uiPriority w:val="20"/>
    <w:qFormat/>
    <w:rsid w:val="00BA6671"/>
    <w:rPr>
      <w:i/>
      <w:iCs/>
    </w:rPr>
  </w:style>
  <w:style w:type="paragraph" w:styleId="Header">
    <w:name w:val="header"/>
    <w:basedOn w:val="Normal"/>
    <w:link w:val="HeaderChar"/>
    <w:uiPriority w:val="99"/>
    <w:unhideWhenUsed/>
    <w:rsid w:val="00E21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A43"/>
    <w:rPr>
      <w:lang w:val="en-US"/>
    </w:rPr>
  </w:style>
  <w:style w:type="paragraph" w:styleId="Footer">
    <w:name w:val="footer"/>
    <w:basedOn w:val="Normal"/>
    <w:link w:val="FooterChar"/>
    <w:uiPriority w:val="99"/>
    <w:unhideWhenUsed/>
    <w:rsid w:val="00E21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A4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17</Pages>
  <Words>4090</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2024-09-22T16:18:00Z</dcterms:created>
  <dcterms:modified xsi:type="dcterms:W3CDTF">2024-09-22T20:11:00Z</dcterms:modified>
</cp:coreProperties>
</file>