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EF6B" w14:textId="2613553E" w:rsidR="00036B41" w:rsidRPr="007D2C69" w:rsidRDefault="00332745" w:rsidP="007D2C6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D2C69">
        <w:rPr>
          <w:rFonts w:ascii="Times New Roman" w:hAnsi="Times New Roman" w:cs="Times New Roman"/>
          <w:b/>
          <w:bCs/>
        </w:rPr>
        <w:t>Patient Safety Improvement</w:t>
      </w:r>
    </w:p>
    <w:p w14:paraId="2826DEEC" w14:textId="7DD912CC" w:rsidR="00431DD2" w:rsidRDefault="006313F1" w:rsidP="007D2C69">
      <w:pPr>
        <w:spacing w:line="480" w:lineRule="auto"/>
        <w:ind w:firstLine="720"/>
        <w:rPr>
          <w:rFonts w:ascii="Times New Roman" w:hAnsi="Times New Roman" w:cs="Times New Roman"/>
        </w:rPr>
      </w:pPr>
      <w:r w:rsidRPr="007D2C69">
        <w:rPr>
          <w:rFonts w:ascii="Times New Roman" w:hAnsi="Times New Roman" w:cs="Times New Roman"/>
        </w:rPr>
        <w:t xml:space="preserve">Patient safety is a crucial aspect of </w:t>
      </w:r>
      <w:r w:rsidR="004555C5" w:rsidRPr="007D2C69">
        <w:rPr>
          <w:rFonts w:ascii="Times New Roman" w:hAnsi="Times New Roman" w:cs="Times New Roman"/>
        </w:rPr>
        <w:t>high-quality</w:t>
      </w:r>
      <w:r w:rsidRPr="007D2C69">
        <w:rPr>
          <w:rFonts w:ascii="Times New Roman" w:hAnsi="Times New Roman" w:cs="Times New Roman"/>
        </w:rPr>
        <w:t xml:space="preserve"> healthcare delivery where health informatics plays a pivotal role</w:t>
      </w:r>
      <w:r w:rsidR="00A82772" w:rsidRPr="007D2C69">
        <w:rPr>
          <w:rFonts w:ascii="Times New Roman" w:hAnsi="Times New Roman" w:cs="Times New Roman"/>
        </w:rPr>
        <w:t xml:space="preserve">. </w:t>
      </w:r>
      <w:r w:rsidR="004555C5" w:rsidRPr="007D2C69">
        <w:rPr>
          <w:rFonts w:ascii="Times New Roman" w:hAnsi="Times New Roman" w:cs="Times New Roman"/>
        </w:rPr>
        <w:t xml:space="preserve">As technology evolves, </w:t>
      </w:r>
      <w:r w:rsidR="00C40CEE" w:rsidRPr="007D2C69">
        <w:rPr>
          <w:rFonts w:ascii="Times New Roman" w:hAnsi="Times New Roman" w:cs="Times New Roman"/>
        </w:rPr>
        <w:t>healthcare systems have continued to leverage informatics to reduce errors while enhancing clinical decision-making</w:t>
      </w:r>
      <w:r w:rsidR="0032030F" w:rsidRPr="007D2C69">
        <w:rPr>
          <w:rFonts w:ascii="Times New Roman" w:hAnsi="Times New Roman" w:cs="Times New Roman"/>
        </w:rPr>
        <w:t xml:space="preserve">. Integrating electronic tools such as Clinical Decision Support Systems and Electronic Health Records </w:t>
      </w:r>
      <w:r w:rsidR="00823C7E" w:rsidRPr="007D2C69">
        <w:rPr>
          <w:rFonts w:ascii="Times New Roman" w:hAnsi="Times New Roman" w:cs="Times New Roman"/>
        </w:rPr>
        <w:t>has improved coordination of patient information,</w:t>
      </w:r>
      <w:r w:rsidR="002B6819" w:rsidRPr="007D2C69">
        <w:rPr>
          <w:rFonts w:ascii="Times New Roman" w:hAnsi="Times New Roman" w:cs="Times New Roman"/>
        </w:rPr>
        <w:t xml:space="preserve"> </w:t>
      </w:r>
      <w:r w:rsidR="00823C7E" w:rsidRPr="007D2C69">
        <w:rPr>
          <w:rFonts w:ascii="Times New Roman" w:hAnsi="Times New Roman" w:cs="Times New Roman"/>
        </w:rPr>
        <w:t>accessibility</w:t>
      </w:r>
      <w:r w:rsidR="002B6819" w:rsidRPr="007D2C69">
        <w:rPr>
          <w:rFonts w:ascii="Times New Roman" w:hAnsi="Times New Roman" w:cs="Times New Roman"/>
        </w:rPr>
        <w:t xml:space="preserve"> and accuracy</w:t>
      </w:r>
      <w:r w:rsidR="00104C71" w:rsidRPr="007D2C69">
        <w:rPr>
          <w:rFonts w:ascii="Times New Roman" w:hAnsi="Times New Roman" w:cs="Times New Roman"/>
        </w:rPr>
        <w:t xml:space="preserve">. Such innovations help to ensure </w:t>
      </w:r>
      <w:r w:rsidR="00691824" w:rsidRPr="007D2C69">
        <w:rPr>
          <w:rFonts w:ascii="Times New Roman" w:hAnsi="Times New Roman" w:cs="Times New Roman"/>
        </w:rPr>
        <w:t xml:space="preserve">timely interventions, communication among care teams and </w:t>
      </w:r>
      <w:r w:rsidR="00D01FC5" w:rsidRPr="007D2C69">
        <w:rPr>
          <w:rFonts w:ascii="Times New Roman" w:hAnsi="Times New Roman" w:cs="Times New Roman"/>
        </w:rPr>
        <w:t xml:space="preserve">safer medical practices. </w:t>
      </w:r>
      <w:r w:rsidR="00A71438" w:rsidRPr="007D2C69">
        <w:rPr>
          <w:rFonts w:ascii="Times New Roman" w:hAnsi="Times New Roman" w:cs="Times New Roman"/>
        </w:rPr>
        <w:t xml:space="preserve">Consequently, there are two specific </w:t>
      </w:r>
      <w:r w:rsidR="00DE53F6" w:rsidRPr="007D2C69">
        <w:rPr>
          <w:rFonts w:ascii="Times New Roman" w:hAnsi="Times New Roman" w:cs="Times New Roman"/>
        </w:rPr>
        <w:t>examples</w:t>
      </w:r>
      <w:r w:rsidR="00A12584" w:rsidRPr="007D2C69">
        <w:rPr>
          <w:rFonts w:ascii="Times New Roman" w:hAnsi="Times New Roman" w:cs="Times New Roman"/>
        </w:rPr>
        <w:t xml:space="preserve"> that demonstrate how healthcare informatics contributes to positive health outcomes which include </w:t>
      </w:r>
      <w:r w:rsidR="005A3353" w:rsidRPr="007D2C69">
        <w:rPr>
          <w:rFonts w:ascii="Times New Roman" w:hAnsi="Times New Roman" w:cs="Times New Roman"/>
        </w:rPr>
        <w:t xml:space="preserve">Electronic Health Records </w:t>
      </w:r>
      <w:r w:rsidR="00E21F96">
        <w:rPr>
          <w:rFonts w:ascii="Times New Roman" w:hAnsi="Times New Roman" w:cs="Times New Roman"/>
        </w:rPr>
        <w:t xml:space="preserve">and Medication Reconciliation </w:t>
      </w:r>
      <w:r w:rsidR="005A3353" w:rsidRPr="007D2C69">
        <w:rPr>
          <w:rFonts w:ascii="Times New Roman" w:hAnsi="Times New Roman" w:cs="Times New Roman"/>
        </w:rPr>
        <w:t xml:space="preserve">and Clinical Decision Support Systems. </w:t>
      </w:r>
    </w:p>
    <w:p w14:paraId="756DA495" w14:textId="3A73F4BD" w:rsidR="00E21F96" w:rsidRPr="00C243BD" w:rsidRDefault="00932EC7" w:rsidP="00C243B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C243BD">
        <w:rPr>
          <w:rFonts w:ascii="Times New Roman" w:hAnsi="Times New Roman" w:cs="Times New Roman"/>
          <w:b/>
          <w:bCs/>
        </w:rPr>
        <w:t>Electronic Health Records and Medication Reconciliation</w:t>
      </w:r>
    </w:p>
    <w:p w14:paraId="1F8CAA0A" w14:textId="41957365" w:rsidR="00932EC7" w:rsidRDefault="00D65118" w:rsidP="007D2C6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Electronic Health Records help to</w:t>
      </w:r>
      <w:r w:rsidR="000B5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reduce</w:t>
      </w:r>
      <w:r w:rsidR="000B5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medication errors</w:t>
      </w:r>
      <w:r w:rsidR="000B5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</w:t>
      </w:r>
      <w:r w:rsidR="000B5B8A">
        <w:rPr>
          <w:rFonts w:ascii="Times New Roman" w:hAnsi="Times New Roman" w:cs="Times New Roman"/>
        </w:rPr>
        <w:t xml:space="preserve">providing updated and accurate information regarding a patient’s medication history. </w:t>
      </w:r>
      <w:r w:rsidR="00700D0B">
        <w:rPr>
          <w:rFonts w:ascii="Times New Roman" w:hAnsi="Times New Roman" w:cs="Times New Roman"/>
        </w:rPr>
        <w:t xml:space="preserve">For example, when patients are discharged or admitted to the hospital, </w:t>
      </w:r>
      <w:r w:rsidR="00EC74C9">
        <w:rPr>
          <w:rFonts w:ascii="Times New Roman" w:hAnsi="Times New Roman" w:cs="Times New Roman"/>
        </w:rPr>
        <w:t xml:space="preserve">healthcare professionals can utilize </w:t>
      </w:r>
      <w:r w:rsidR="00570461">
        <w:rPr>
          <w:rFonts w:ascii="Times New Roman" w:hAnsi="Times New Roman" w:cs="Times New Roman"/>
        </w:rPr>
        <w:t>EHR</w:t>
      </w:r>
      <w:r w:rsidR="00EC74C9">
        <w:rPr>
          <w:rFonts w:ascii="Times New Roman" w:hAnsi="Times New Roman" w:cs="Times New Roman"/>
        </w:rPr>
        <w:t xml:space="preserve"> to perform medication reconciliation by comparing </w:t>
      </w:r>
      <w:r w:rsidR="00EF7104">
        <w:rPr>
          <w:rFonts w:ascii="Times New Roman" w:hAnsi="Times New Roman" w:cs="Times New Roman"/>
        </w:rPr>
        <w:t xml:space="preserve">the current medication of patient’s medication with new prescriptions </w:t>
      </w:r>
      <w:r w:rsidR="00702A78">
        <w:rPr>
          <w:rFonts w:ascii="Times New Roman" w:hAnsi="Times New Roman" w:cs="Times New Roman"/>
        </w:rPr>
        <w:t>to</w:t>
      </w:r>
      <w:r w:rsidR="003C1E22">
        <w:rPr>
          <w:rFonts w:ascii="Times New Roman" w:hAnsi="Times New Roman" w:cs="Times New Roman"/>
        </w:rPr>
        <w:t xml:space="preserve"> </w:t>
      </w:r>
      <w:r w:rsidR="00702A78">
        <w:rPr>
          <w:rFonts w:ascii="Times New Roman" w:hAnsi="Times New Roman" w:cs="Times New Roman"/>
        </w:rPr>
        <w:t>prevent harm</w:t>
      </w:r>
      <w:r w:rsidR="003C1E22">
        <w:rPr>
          <w:rFonts w:ascii="Times New Roman" w:hAnsi="Times New Roman" w:cs="Times New Roman"/>
        </w:rPr>
        <w:t xml:space="preserve"> </w:t>
      </w:r>
      <w:r w:rsidR="00702A78">
        <w:rPr>
          <w:rFonts w:ascii="Times New Roman" w:hAnsi="Times New Roman" w:cs="Times New Roman"/>
        </w:rPr>
        <w:t xml:space="preserve">drug interactions, </w:t>
      </w:r>
      <w:r w:rsidR="00EB2FDA">
        <w:rPr>
          <w:rFonts w:ascii="Times New Roman" w:hAnsi="Times New Roman" w:cs="Times New Roman"/>
        </w:rPr>
        <w:t>duplications and omissions</w:t>
      </w:r>
      <w:r w:rsidR="009F1C05">
        <w:rPr>
          <w:rFonts w:ascii="Times New Roman" w:hAnsi="Times New Roman" w:cs="Times New Roman"/>
        </w:rPr>
        <w:t xml:space="preserve"> (</w:t>
      </w:r>
      <w:r w:rsidR="000E4F79" w:rsidRPr="00C77AF6">
        <w:rPr>
          <w:rFonts w:ascii="Times New Roman" w:hAnsi="Times New Roman" w:cs="Times New Roman"/>
        </w:rPr>
        <w:t>Upadhyay</w:t>
      </w:r>
      <w:r w:rsidR="000E4F79">
        <w:rPr>
          <w:rFonts w:ascii="Times New Roman" w:hAnsi="Times New Roman" w:cs="Times New Roman"/>
        </w:rPr>
        <w:t xml:space="preserve"> &amp; Hu, 2022</w:t>
      </w:r>
      <w:r w:rsidR="009F1C05">
        <w:rPr>
          <w:rFonts w:ascii="Times New Roman" w:hAnsi="Times New Roman" w:cs="Times New Roman"/>
        </w:rPr>
        <w:t>)</w:t>
      </w:r>
      <w:r w:rsidR="00EB2FDA">
        <w:rPr>
          <w:rFonts w:ascii="Times New Roman" w:hAnsi="Times New Roman" w:cs="Times New Roman"/>
        </w:rPr>
        <w:t xml:space="preserve">. </w:t>
      </w:r>
      <w:r w:rsidR="00272227">
        <w:rPr>
          <w:rFonts w:ascii="Times New Roman" w:hAnsi="Times New Roman" w:cs="Times New Roman"/>
        </w:rPr>
        <w:t xml:space="preserve">Therefore, such a process significantly improves patient safety by </w:t>
      </w:r>
      <w:r w:rsidR="00000B42">
        <w:rPr>
          <w:rFonts w:ascii="Times New Roman" w:hAnsi="Times New Roman" w:cs="Times New Roman"/>
        </w:rPr>
        <w:t>reducing adverse drug events, particularly for patients with multiple prescriptions or complex conditions</w:t>
      </w:r>
      <w:r w:rsidR="005D0591">
        <w:rPr>
          <w:rFonts w:ascii="Times New Roman" w:hAnsi="Times New Roman" w:cs="Times New Roman"/>
        </w:rPr>
        <w:t xml:space="preserve">. </w:t>
      </w:r>
      <w:r w:rsidR="00000B42">
        <w:rPr>
          <w:rFonts w:ascii="Times New Roman" w:hAnsi="Times New Roman" w:cs="Times New Roman"/>
        </w:rPr>
        <w:t xml:space="preserve"> </w:t>
      </w:r>
    </w:p>
    <w:p w14:paraId="00F9A99C" w14:textId="0BE078BE" w:rsidR="00C243BD" w:rsidRPr="00AA2B27" w:rsidRDefault="00C243BD" w:rsidP="00AA2B2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AA2B27">
        <w:rPr>
          <w:rFonts w:ascii="Times New Roman" w:hAnsi="Times New Roman" w:cs="Times New Roman"/>
          <w:b/>
          <w:bCs/>
        </w:rPr>
        <w:t>Clinical Decision Support Systems</w:t>
      </w:r>
    </w:p>
    <w:p w14:paraId="2C55F2F0" w14:textId="551C8E6A" w:rsidR="00C243BD" w:rsidRDefault="003F220D" w:rsidP="007D2C6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Clinical Decision Support Systems </w:t>
      </w:r>
      <w:r w:rsidR="00570461">
        <w:rPr>
          <w:rFonts w:ascii="Times New Roman" w:hAnsi="Times New Roman" w:cs="Times New Roman"/>
        </w:rPr>
        <w:t xml:space="preserve">are integrated into </w:t>
      </w:r>
      <w:r w:rsidR="00AA2B27">
        <w:rPr>
          <w:rFonts w:ascii="Times New Roman" w:hAnsi="Times New Roman" w:cs="Times New Roman"/>
        </w:rPr>
        <w:t>EHR</w:t>
      </w:r>
      <w:r w:rsidR="00570461">
        <w:rPr>
          <w:rFonts w:ascii="Times New Roman" w:hAnsi="Times New Roman" w:cs="Times New Roman"/>
        </w:rPr>
        <w:t xml:space="preserve"> to </w:t>
      </w:r>
      <w:r w:rsidR="00131612">
        <w:rPr>
          <w:rFonts w:ascii="Times New Roman" w:hAnsi="Times New Roman" w:cs="Times New Roman"/>
        </w:rPr>
        <w:t>provide</w:t>
      </w:r>
      <w:r w:rsidR="00E009E7">
        <w:rPr>
          <w:rFonts w:ascii="Times New Roman" w:hAnsi="Times New Roman" w:cs="Times New Roman"/>
        </w:rPr>
        <w:t xml:space="preserve"> </w:t>
      </w:r>
      <w:r w:rsidR="00131612">
        <w:rPr>
          <w:rFonts w:ascii="Times New Roman" w:hAnsi="Times New Roman" w:cs="Times New Roman"/>
        </w:rPr>
        <w:t xml:space="preserve">reminders and </w:t>
      </w:r>
      <w:r w:rsidR="00E009E7">
        <w:rPr>
          <w:rFonts w:ascii="Times New Roman" w:hAnsi="Times New Roman" w:cs="Times New Roman"/>
        </w:rPr>
        <w:t>real</w:t>
      </w:r>
      <w:r w:rsidR="00131612">
        <w:rPr>
          <w:rFonts w:ascii="Times New Roman" w:hAnsi="Times New Roman" w:cs="Times New Roman"/>
        </w:rPr>
        <w:t xml:space="preserve">-time alerts </w:t>
      </w:r>
      <w:r w:rsidR="00E009E7">
        <w:rPr>
          <w:rFonts w:ascii="Times New Roman" w:hAnsi="Times New Roman" w:cs="Times New Roman"/>
        </w:rPr>
        <w:t xml:space="preserve">to clinicians </w:t>
      </w:r>
      <w:r w:rsidR="009D34A8">
        <w:rPr>
          <w:rFonts w:ascii="Times New Roman" w:hAnsi="Times New Roman" w:cs="Times New Roman"/>
        </w:rPr>
        <w:t xml:space="preserve">during the decision-making process. </w:t>
      </w:r>
      <w:r w:rsidR="00FB68B6">
        <w:rPr>
          <w:rFonts w:ascii="Times New Roman" w:hAnsi="Times New Roman" w:cs="Times New Roman"/>
        </w:rPr>
        <w:t xml:space="preserve">For instance, </w:t>
      </w:r>
      <w:r w:rsidR="004845E6">
        <w:rPr>
          <w:rFonts w:ascii="Times New Roman" w:hAnsi="Times New Roman" w:cs="Times New Roman"/>
        </w:rPr>
        <w:t>if a</w:t>
      </w:r>
      <w:r w:rsidR="0059272D">
        <w:rPr>
          <w:rFonts w:ascii="Times New Roman" w:hAnsi="Times New Roman" w:cs="Times New Roman"/>
        </w:rPr>
        <w:t xml:space="preserve"> </w:t>
      </w:r>
      <w:r w:rsidR="004845E6">
        <w:rPr>
          <w:rFonts w:ascii="Times New Roman" w:hAnsi="Times New Roman" w:cs="Times New Roman"/>
        </w:rPr>
        <w:t xml:space="preserve">provider orders a medication that is likely to cause an allergic reaction </w:t>
      </w:r>
      <w:r w:rsidR="00283D7A">
        <w:rPr>
          <w:rFonts w:ascii="Times New Roman" w:hAnsi="Times New Roman" w:cs="Times New Roman"/>
        </w:rPr>
        <w:t xml:space="preserve">based on the documented allergies </w:t>
      </w:r>
      <w:r w:rsidR="00283D7A">
        <w:rPr>
          <w:rFonts w:ascii="Times New Roman" w:hAnsi="Times New Roman" w:cs="Times New Roman"/>
        </w:rPr>
        <w:lastRenderedPageBreak/>
        <w:t xml:space="preserve">of the patient, </w:t>
      </w:r>
      <w:r w:rsidR="0070029B">
        <w:rPr>
          <w:rFonts w:ascii="Times New Roman" w:hAnsi="Times New Roman" w:cs="Times New Roman"/>
        </w:rPr>
        <w:t xml:space="preserve">the system automatically generates an alert. </w:t>
      </w:r>
      <w:r w:rsidR="0059272D">
        <w:rPr>
          <w:rFonts w:ascii="Times New Roman" w:hAnsi="Times New Roman" w:cs="Times New Roman"/>
        </w:rPr>
        <w:t xml:space="preserve">Additionally, Clinical Decision Support Systems can </w:t>
      </w:r>
      <w:r w:rsidR="00BE60CC">
        <w:rPr>
          <w:rFonts w:ascii="Times New Roman" w:hAnsi="Times New Roman" w:cs="Times New Roman"/>
        </w:rPr>
        <w:t>suggest preventive care actions</w:t>
      </w:r>
      <w:r w:rsidR="00B05CA2">
        <w:rPr>
          <w:rFonts w:ascii="Times New Roman" w:hAnsi="Times New Roman" w:cs="Times New Roman"/>
        </w:rPr>
        <w:t>, evidence-based treatment guidelines including flagging abnormal lab results</w:t>
      </w:r>
      <w:r w:rsidR="00215A3D">
        <w:rPr>
          <w:rFonts w:ascii="Times New Roman" w:hAnsi="Times New Roman" w:cs="Times New Roman"/>
        </w:rPr>
        <w:t xml:space="preserve"> (</w:t>
      </w:r>
      <w:r w:rsidR="00722A61" w:rsidRPr="0075528E">
        <w:rPr>
          <w:rFonts w:ascii="Times New Roman" w:hAnsi="Times New Roman" w:cs="Times New Roman"/>
        </w:rPr>
        <w:t>Shahmoradi</w:t>
      </w:r>
      <w:r w:rsidR="00722A61">
        <w:rPr>
          <w:rFonts w:ascii="Times New Roman" w:hAnsi="Times New Roman" w:cs="Times New Roman"/>
        </w:rPr>
        <w:t xml:space="preserve"> et al., 2021</w:t>
      </w:r>
      <w:r w:rsidR="00215A3D">
        <w:rPr>
          <w:rFonts w:ascii="Times New Roman" w:hAnsi="Times New Roman" w:cs="Times New Roman"/>
        </w:rPr>
        <w:t>)</w:t>
      </w:r>
      <w:r w:rsidR="00B05CA2">
        <w:rPr>
          <w:rFonts w:ascii="Times New Roman" w:hAnsi="Times New Roman" w:cs="Times New Roman"/>
        </w:rPr>
        <w:t xml:space="preserve">. </w:t>
      </w:r>
      <w:r w:rsidR="00BC4336">
        <w:rPr>
          <w:rFonts w:ascii="Times New Roman" w:hAnsi="Times New Roman" w:cs="Times New Roman"/>
        </w:rPr>
        <w:t>Such timely</w:t>
      </w:r>
      <w:r w:rsidR="00EB42D4">
        <w:rPr>
          <w:rFonts w:ascii="Times New Roman" w:hAnsi="Times New Roman" w:cs="Times New Roman"/>
        </w:rPr>
        <w:t xml:space="preserve"> </w:t>
      </w:r>
      <w:r w:rsidR="00BC4336">
        <w:rPr>
          <w:rFonts w:ascii="Times New Roman" w:hAnsi="Times New Roman" w:cs="Times New Roman"/>
        </w:rPr>
        <w:t xml:space="preserve">information </w:t>
      </w:r>
      <w:r w:rsidR="00EB42D4">
        <w:rPr>
          <w:rFonts w:ascii="Times New Roman" w:hAnsi="Times New Roman" w:cs="Times New Roman"/>
        </w:rPr>
        <w:t xml:space="preserve">helps prevent medication and diagnostic errors while supporting clinical judgement thereby enhancing patient safety. </w:t>
      </w:r>
    </w:p>
    <w:p w14:paraId="4E0FBBF0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689461B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419575E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AEECE11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92F32E0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898C9FF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A65B603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CAAAD26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BD6B64E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03EC599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BE9C731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809417D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941EF2D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6822C9A" w14:textId="77777777" w:rsidR="009A0F89" w:rsidRDefault="009A0F89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9CCF988" w14:textId="11814008" w:rsidR="00215A3D" w:rsidRDefault="009F1C05" w:rsidP="00215A3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B245EE">
        <w:rPr>
          <w:rFonts w:ascii="Times New Roman" w:hAnsi="Times New Roman" w:cs="Times New Roman"/>
          <w:b/>
          <w:bCs/>
        </w:rPr>
        <w:lastRenderedPageBreak/>
        <w:t>References</w:t>
      </w:r>
    </w:p>
    <w:p w14:paraId="32E7F283" w14:textId="77777777" w:rsidR="00D95BF8" w:rsidRDefault="00215A3D" w:rsidP="00215A3D">
      <w:pPr>
        <w:spacing w:line="480" w:lineRule="auto"/>
        <w:rPr>
          <w:rFonts w:ascii="Times New Roman" w:hAnsi="Times New Roman" w:cs="Times New Roman"/>
        </w:rPr>
      </w:pPr>
      <w:r w:rsidRPr="0075528E">
        <w:rPr>
          <w:rFonts w:ascii="Times New Roman" w:hAnsi="Times New Roman" w:cs="Times New Roman"/>
        </w:rPr>
        <w:t xml:space="preserve">Shahmoradi, L., Safdari, R., Ahmadi, H., &amp; </w:t>
      </w:r>
      <w:proofErr w:type="spellStart"/>
      <w:r w:rsidRPr="0075528E">
        <w:rPr>
          <w:rFonts w:ascii="Times New Roman" w:hAnsi="Times New Roman" w:cs="Times New Roman"/>
        </w:rPr>
        <w:t>Zahmatkeshan</w:t>
      </w:r>
      <w:proofErr w:type="spellEnd"/>
      <w:r w:rsidRPr="0075528E">
        <w:rPr>
          <w:rFonts w:ascii="Times New Roman" w:hAnsi="Times New Roman" w:cs="Times New Roman"/>
        </w:rPr>
        <w:t xml:space="preserve">, M. (2021). Clinical decision support </w:t>
      </w:r>
    </w:p>
    <w:p w14:paraId="0BA7B618" w14:textId="0404456C" w:rsidR="00215A3D" w:rsidRPr="0075528E" w:rsidRDefault="00215A3D" w:rsidP="00D95BF8">
      <w:pPr>
        <w:spacing w:line="480" w:lineRule="auto"/>
        <w:ind w:left="720"/>
        <w:rPr>
          <w:rFonts w:ascii="Times New Roman" w:hAnsi="Times New Roman" w:cs="Times New Roman"/>
        </w:rPr>
      </w:pPr>
      <w:r w:rsidRPr="0075528E">
        <w:rPr>
          <w:rFonts w:ascii="Times New Roman" w:hAnsi="Times New Roman" w:cs="Times New Roman"/>
        </w:rPr>
        <w:t>systems-based interventions to improve medication outcomes: a systematic literature review on features and effects. </w:t>
      </w:r>
      <w:r w:rsidRPr="0075528E">
        <w:rPr>
          <w:rFonts w:ascii="Times New Roman" w:hAnsi="Times New Roman" w:cs="Times New Roman"/>
          <w:i/>
          <w:iCs/>
        </w:rPr>
        <w:t>Medical Journal of the Islamic Republic of Iran</w:t>
      </w:r>
      <w:r w:rsidRPr="0075528E">
        <w:rPr>
          <w:rFonts w:ascii="Times New Roman" w:hAnsi="Times New Roman" w:cs="Times New Roman"/>
        </w:rPr>
        <w:t>, </w:t>
      </w:r>
      <w:r w:rsidRPr="0075528E">
        <w:rPr>
          <w:rFonts w:ascii="Times New Roman" w:hAnsi="Times New Roman" w:cs="Times New Roman"/>
          <w:i/>
          <w:iCs/>
        </w:rPr>
        <w:t>35</w:t>
      </w:r>
      <w:r w:rsidRPr="0075528E">
        <w:rPr>
          <w:rFonts w:ascii="Times New Roman" w:hAnsi="Times New Roman" w:cs="Times New Roman"/>
        </w:rPr>
        <w:t>, 27.</w:t>
      </w:r>
      <w:r w:rsidR="00007EE6" w:rsidRPr="00007EE6">
        <w:t xml:space="preserve"> </w:t>
      </w:r>
      <w:hyperlink r:id="rId4" w:history="1">
        <w:r w:rsidR="00007EE6" w:rsidRPr="00EA4B1C">
          <w:rPr>
            <w:rStyle w:val="Hyperlink"/>
            <w:rFonts w:ascii="Times New Roman" w:hAnsi="Times New Roman" w:cs="Times New Roman"/>
          </w:rPr>
          <w:t>https://doi.org/10.47176/mjiri.35.27</w:t>
        </w:r>
      </w:hyperlink>
      <w:r w:rsidR="00007EE6">
        <w:rPr>
          <w:rFonts w:ascii="Times New Roman" w:hAnsi="Times New Roman" w:cs="Times New Roman"/>
        </w:rPr>
        <w:t xml:space="preserve"> </w:t>
      </w:r>
    </w:p>
    <w:p w14:paraId="0E416D0A" w14:textId="77777777" w:rsidR="00B245EE" w:rsidRDefault="009F1C05" w:rsidP="009F1C05">
      <w:pPr>
        <w:spacing w:line="480" w:lineRule="auto"/>
        <w:rPr>
          <w:rFonts w:ascii="Times New Roman" w:hAnsi="Times New Roman" w:cs="Times New Roman"/>
        </w:rPr>
      </w:pPr>
      <w:r w:rsidRPr="00C77AF6">
        <w:rPr>
          <w:rFonts w:ascii="Times New Roman" w:hAnsi="Times New Roman" w:cs="Times New Roman"/>
        </w:rPr>
        <w:t xml:space="preserve">Upadhyay, S., &amp; Hu, H. F. (2022). A qualitative analysis of the impact of electronic health </w:t>
      </w:r>
    </w:p>
    <w:p w14:paraId="63B200C9" w14:textId="6A6A6213" w:rsidR="009F1C05" w:rsidRPr="00C77AF6" w:rsidRDefault="009F1C05" w:rsidP="00B245EE">
      <w:pPr>
        <w:spacing w:line="480" w:lineRule="auto"/>
        <w:ind w:left="720"/>
        <w:rPr>
          <w:rFonts w:ascii="Times New Roman" w:hAnsi="Times New Roman" w:cs="Times New Roman"/>
        </w:rPr>
      </w:pPr>
      <w:r w:rsidRPr="00C77AF6">
        <w:rPr>
          <w:rFonts w:ascii="Times New Roman" w:hAnsi="Times New Roman" w:cs="Times New Roman"/>
        </w:rPr>
        <w:t>records (EHR) on healthcare quality and safety: clinicians’ lived experiences. </w:t>
      </w:r>
      <w:r w:rsidRPr="00C77AF6">
        <w:rPr>
          <w:rFonts w:ascii="Times New Roman" w:hAnsi="Times New Roman" w:cs="Times New Roman"/>
          <w:i/>
          <w:iCs/>
        </w:rPr>
        <w:t>Health Services Insights</w:t>
      </w:r>
      <w:r w:rsidRPr="00C77AF6">
        <w:rPr>
          <w:rFonts w:ascii="Times New Roman" w:hAnsi="Times New Roman" w:cs="Times New Roman"/>
        </w:rPr>
        <w:t>, </w:t>
      </w:r>
      <w:r w:rsidRPr="00C77AF6">
        <w:rPr>
          <w:rFonts w:ascii="Times New Roman" w:hAnsi="Times New Roman" w:cs="Times New Roman"/>
          <w:i/>
          <w:iCs/>
        </w:rPr>
        <w:t>15</w:t>
      </w:r>
      <w:r w:rsidRPr="00C77AF6">
        <w:rPr>
          <w:rFonts w:ascii="Times New Roman" w:hAnsi="Times New Roman" w:cs="Times New Roman"/>
        </w:rPr>
        <w:t>, 11786329211070722.</w:t>
      </w:r>
      <w:r w:rsidR="00C77AF6">
        <w:rPr>
          <w:rFonts w:ascii="Times New Roman" w:hAnsi="Times New Roman" w:cs="Times New Roman"/>
        </w:rPr>
        <w:t xml:space="preserve"> </w:t>
      </w:r>
      <w:hyperlink r:id="rId5" w:history="1">
        <w:r w:rsidR="00173B46" w:rsidRPr="00EA4B1C">
          <w:rPr>
            <w:rStyle w:val="Hyperlink"/>
            <w:rFonts w:ascii="Times New Roman" w:hAnsi="Times New Roman" w:cs="Times New Roman"/>
          </w:rPr>
          <w:t>https://doi.org/10.1177/11786329211070722</w:t>
        </w:r>
      </w:hyperlink>
      <w:r w:rsidR="00173B46">
        <w:rPr>
          <w:rFonts w:ascii="Times New Roman" w:hAnsi="Times New Roman" w:cs="Times New Roman"/>
        </w:rPr>
        <w:t xml:space="preserve"> </w:t>
      </w:r>
    </w:p>
    <w:p w14:paraId="3ACEB4E9" w14:textId="444F1008" w:rsidR="006313F1" w:rsidRPr="007D2C69" w:rsidRDefault="00A71438" w:rsidP="007D2C69">
      <w:pPr>
        <w:spacing w:line="480" w:lineRule="auto"/>
        <w:rPr>
          <w:rFonts w:ascii="Times New Roman" w:hAnsi="Times New Roman" w:cs="Times New Roman"/>
        </w:rPr>
      </w:pPr>
      <w:r w:rsidRPr="007D2C69">
        <w:rPr>
          <w:rFonts w:ascii="Times New Roman" w:hAnsi="Times New Roman" w:cs="Times New Roman"/>
        </w:rPr>
        <w:t xml:space="preserve"> </w:t>
      </w:r>
    </w:p>
    <w:sectPr w:rsidR="006313F1" w:rsidRPr="007D2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45"/>
    <w:rsid w:val="00000B42"/>
    <w:rsid w:val="00007EE6"/>
    <w:rsid w:val="00036B41"/>
    <w:rsid w:val="000B5B8A"/>
    <w:rsid w:val="000D1795"/>
    <w:rsid w:val="000E4F79"/>
    <w:rsid w:val="00104C71"/>
    <w:rsid w:val="00131612"/>
    <w:rsid w:val="00173B46"/>
    <w:rsid w:val="00215A3D"/>
    <w:rsid w:val="00272227"/>
    <w:rsid w:val="00283D7A"/>
    <w:rsid w:val="002963FD"/>
    <w:rsid w:val="002B6819"/>
    <w:rsid w:val="0032030F"/>
    <w:rsid w:val="00332745"/>
    <w:rsid w:val="003C1E22"/>
    <w:rsid w:val="003F220D"/>
    <w:rsid w:val="00431DD2"/>
    <w:rsid w:val="004555C5"/>
    <w:rsid w:val="004845E6"/>
    <w:rsid w:val="00570461"/>
    <w:rsid w:val="0059272D"/>
    <w:rsid w:val="005A3353"/>
    <w:rsid w:val="005D0591"/>
    <w:rsid w:val="006313F1"/>
    <w:rsid w:val="00691824"/>
    <w:rsid w:val="0070029B"/>
    <w:rsid w:val="00700D0B"/>
    <w:rsid w:val="00702A78"/>
    <w:rsid w:val="00722A61"/>
    <w:rsid w:val="0075528E"/>
    <w:rsid w:val="007D2C69"/>
    <w:rsid w:val="00823C7E"/>
    <w:rsid w:val="00932EC7"/>
    <w:rsid w:val="00957F02"/>
    <w:rsid w:val="009A0F89"/>
    <w:rsid w:val="009D34A8"/>
    <w:rsid w:val="009F1C05"/>
    <w:rsid w:val="00A12584"/>
    <w:rsid w:val="00A71438"/>
    <w:rsid w:val="00A82772"/>
    <w:rsid w:val="00AA2B27"/>
    <w:rsid w:val="00B05CA2"/>
    <w:rsid w:val="00B245EE"/>
    <w:rsid w:val="00BC4336"/>
    <w:rsid w:val="00BE60CC"/>
    <w:rsid w:val="00C243BD"/>
    <w:rsid w:val="00C40CEE"/>
    <w:rsid w:val="00C77AF6"/>
    <w:rsid w:val="00D01FC5"/>
    <w:rsid w:val="00D65118"/>
    <w:rsid w:val="00D95BF8"/>
    <w:rsid w:val="00DE53F6"/>
    <w:rsid w:val="00E009E7"/>
    <w:rsid w:val="00E21F96"/>
    <w:rsid w:val="00EB2FDA"/>
    <w:rsid w:val="00EB42D4"/>
    <w:rsid w:val="00EC74C9"/>
    <w:rsid w:val="00EF7104"/>
    <w:rsid w:val="00F40390"/>
    <w:rsid w:val="00F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A2B3"/>
  <w15:chartTrackingRefBased/>
  <w15:docId w15:val="{E1C204A4-B93E-41E9-9AB3-6CD75DE7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7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7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7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7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7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3B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1786329211070722" TargetMode="External"/><Relationship Id="rId4" Type="http://schemas.openxmlformats.org/officeDocument/2006/relationships/hyperlink" Target="https://doi.org/10.47176/mjiri.35.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2025-04-08T17:40:00Z</dcterms:created>
  <dcterms:modified xsi:type="dcterms:W3CDTF">2025-04-08T18:29:00Z</dcterms:modified>
</cp:coreProperties>
</file>