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8E7E" w14:textId="77777777" w:rsidR="00005A0A" w:rsidRPr="0003682E" w:rsidRDefault="00005A0A" w:rsidP="00005A0A">
      <w:pPr>
        <w:spacing w:after="0" w:line="480" w:lineRule="auto"/>
        <w:rPr>
          <w:rFonts w:ascii="Times New Roman" w:eastAsia="Calibri" w:hAnsi="Times New Roman" w:cs="Times New Roman"/>
          <w:b/>
          <w:bCs/>
          <w:kern w:val="0"/>
          <w:sz w:val="24"/>
          <w:szCs w:val="24"/>
          <w:lang w:val="en-US"/>
        </w:rPr>
      </w:pPr>
    </w:p>
    <w:p w14:paraId="1F064E9E" w14:textId="77777777" w:rsidR="00005A0A" w:rsidRPr="0003682E" w:rsidRDefault="00005A0A" w:rsidP="00005A0A">
      <w:pPr>
        <w:spacing w:after="0" w:line="480" w:lineRule="auto"/>
        <w:rPr>
          <w:rFonts w:ascii="Times New Roman" w:eastAsia="Calibri" w:hAnsi="Times New Roman" w:cs="Times New Roman"/>
          <w:b/>
          <w:bCs/>
          <w:kern w:val="0"/>
          <w:sz w:val="24"/>
          <w:szCs w:val="24"/>
          <w:lang w:val="en-US"/>
        </w:rPr>
      </w:pPr>
    </w:p>
    <w:p w14:paraId="5002CAE1" w14:textId="77777777" w:rsidR="00005A0A" w:rsidRPr="0003682E" w:rsidRDefault="00005A0A" w:rsidP="00005A0A">
      <w:pPr>
        <w:spacing w:after="0" w:line="480" w:lineRule="auto"/>
        <w:rPr>
          <w:rFonts w:ascii="Times New Roman" w:eastAsia="Calibri" w:hAnsi="Times New Roman" w:cs="Times New Roman"/>
          <w:b/>
          <w:bCs/>
          <w:kern w:val="0"/>
          <w:sz w:val="24"/>
          <w:szCs w:val="24"/>
          <w:lang w:val="en-US"/>
        </w:rPr>
      </w:pPr>
    </w:p>
    <w:p w14:paraId="162DFE85" w14:textId="77777777" w:rsidR="00005A0A" w:rsidRPr="0003682E" w:rsidRDefault="00005A0A" w:rsidP="00005A0A">
      <w:pPr>
        <w:spacing w:after="0" w:line="480" w:lineRule="auto"/>
        <w:rPr>
          <w:rFonts w:ascii="Times New Roman" w:eastAsia="Calibri" w:hAnsi="Times New Roman" w:cs="Times New Roman"/>
          <w:b/>
          <w:bCs/>
          <w:kern w:val="0"/>
          <w:sz w:val="24"/>
          <w:szCs w:val="24"/>
          <w:lang w:val="en-US"/>
        </w:rPr>
      </w:pPr>
    </w:p>
    <w:p w14:paraId="25B6E32D" w14:textId="77777777" w:rsidR="00005A0A" w:rsidRDefault="00005A0A" w:rsidP="00005A0A">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Project Planning and Preparation</w:t>
      </w:r>
    </w:p>
    <w:p w14:paraId="3051741D" w14:textId="77777777" w:rsidR="00005A0A" w:rsidRPr="0003682E" w:rsidRDefault="00005A0A" w:rsidP="00005A0A">
      <w:pPr>
        <w:spacing w:after="0" w:line="480" w:lineRule="auto"/>
        <w:jc w:val="center"/>
        <w:rPr>
          <w:rFonts w:ascii="Times New Roman" w:eastAsia="Calibri" w:hAnsi="Times New Roman" w:cs="Times New Roman"/>
          <w:kern w:val="0"/>
          <w:sz w:val="24"/>
          <w:szCs w:val="24"/>
          <w:lang w:val="en-US"/>
        </w:rPr>
      </w:pPr>
    </w:p>
    <w:p w14:paraId="3FE05B2B" w14:textId="77777777" w:rsidR="00005A0A" w:rsidRPr="00283190" w:rsidRDefault="00005A0A" w:rsidP="00005A0A">
      <w:pPr>
        <w:spacing w:after="0" w:line="480" w:lineRule="auto"/>
        <w:jc w:val="center"/>
        <w:rPr>
          <w:rFonts w:ascii="Times New Roman" w:eastAsia="Calibri" w:hAnsi="Times New Roman" w:cs="Times New Roman"/>
          <w:kern w:val="0"/>
          <w:sz w:val="24"/>
          <w:szCs w:val="24"/>
          <w:lang w:val="en-US"/>
        </w:rPr>
      </w:pPr>
      <w:r w:rsidRPr="00283190">
        <w:rPr>
          <w:rFonts w:ascii="Times New Roman" w:eastAsia="Calibri" w:hAnsi="Times New Roman" w:cs="Times New Roman"/>
          <w:kern w:val="0"/>
          <w:sz w:val="24"/>
          <w:szCs w:val="24"/>
          <w:lang w:val="en-US"/>
        </w:rPr>
        <w:t xml:space="preserve">Esther </w:t>
      </w:r>
      <w:proofErr w:type="spellStart"/>
      <w:r w:rsidRPr="00283190">
        <w:rPr>
          <w:rFonts w:ascii="Times New Roman" w:eastAsia="Calibri" w:hAnsi="Times New Roman" w:cs="Times New Roman"/>
          <w:kern w:val="0"/>
          <w:sz w:val="24"/>
          <w:szCs w:val="24"/>
          <w:lang w:val="en-US"/>
        </w:rPr>
        <w:t>Ejinaka</w:t>
      </w:r>
      <w:proofErr w:type="spellEnd"/>
    </w:p>
    <w:p w14:paraId="1D166A46" w14:textId="77777777" w:rsidR="00005A0A" w:rsidRPr="00283190" w:rsidRDefault="00005A0A" w:rsidP="00005A0A">
      <w:pPr>
        <w:spacing w:after="0" w:line="480" w:lineRule="auto"/>
        <w:jc w:val="center"/>
        <w:rPr>
          <w:rFonts w:ascii="Times New Roman" w:eastAsia="Calibri" w:hAnsi="Times New Roman" w:cs="Times New Roman"/>
          <w:kern w:val="0"/>
          <w:sz w:val="24"/>
          <w:szCs w:val="24"/>
          <w:lang w:val="en-US"/>
        </w:rPr>
      </w:pPr>
      <w:r w:rsidRPr="00283190">
        <w:rPr>
          <w:rFonts w:ascii="Times New Roman" w:eastAsia="Calibri" w:hAnsi="Times New Roman" w:cs="Times New Roman"/>
          <w:kern w:val="0"/>
          <w:sz w:val="24"/>
          <w:szCs w:val="24"/>
          <w:lang w:val="en-US"/>
        </w:rPr>
        <w:t>Chamberlain College of Nursing</w:t>
      </w:r>
    </w:p>
    <w:p w14:paraId="7FF7B73F" w14:textId="77777777" w:rsidR="00005A0A" w:rsidRPr="00283190" w:rsidRDefault="00005A0A" w:rsidP="00005A0A">
      <w:pPr>
        <w:spacing w:after="0" w:line="480" w:lineRule="auto"/>
        <w:jc w:val="center"/>
        <w:rPr>
          <w:rFonts w:ascii="Times New Roman" w:eastAsia="Calibri" w:hAnsi="Times New Roman" w:cs="Times New Roman"/>
          <w:kern w:val="0"/>
          <w:sz w:val="24"/>
          <w:szCs w:val="24"/>
          <w:lang w:val="en-US"/>
        </w:rPr>
      </w:pPr>
      <w:r w:rsidRPr="00283190">
        <w:rPr>
          <w:rFonts w:ascii="Times New Roman" w:eastAsia="Calibri" w:hAnsi="Times New Roman" w:cs="Times New Roman"/>
          <w:kern w:val="0"/>
          <w:sz w:val="24"/>
          <w:szCs w:val="24"/>
          <w:lang w:val="en-US"/>
        </w:rPr>
        <w:t>NR711-Fiscal Analysis and Project Management</w:t>
      </w:r>
    </w:p>
    <w:p w14:paraId="5D3DF873" w14:textId="77777777" w:rsidR="00005A0A" w:rsidRPr="00283190" w:rsidRDefault="00005A0A" w:rsidP="00005A0A">
      <w:pPr>
        <w:spacing w:after="0" w:line="480" w:lineRule="auto"/>
        <w:jc w:val="center"/>
        <w:rPr>
          <w:rFonts w:ascii="Times New Roman" w:eastAsia="Calibri" w:hAnsi="Times New Roman" w:cs="Times New Roman"/>
          <w:kern w:val="0"/>
          <w:sz w:val="24"/>
          <w:szCs w:val="24"/>
          <w:lang w:val="en-US"/>
        </w:rPr>
      </w:pPr>
      <w:r w:rsidRPr="00283190">
        <w:rPr>
          <w:rFonts w:ascii="Times New Roman" w:eastAsia="Calibri" w:hAnsi="Times New Roman" w:cs="Times New Roman"/>
          <w:kern w:val="0"/>
          <w:sz w:val="24"/>
          <w:szCs w:val="24"/>
          <w:lang w:val="en-US"/>
        </w:rPr>
        <w:t>Dr. Lakesha Wyse</w:t>
      </w:r>
    </w:p>
    <w:p w14:paraId="2D714AB1" w14:textId="77777777" w:rsidR="00005A0A" w:rsidRPr="0003682E" w:rsidRDefault="00005A0A" w:rsidP="00005A0A">
      <w:pPr>
        <w:spacing w:after="0" w:line="480" w:lineRule="auto"/>
        <w:jc w:val="center"/>
        <w:rPr>
          <w:rFonts w:ascii="Times New Roman" w:eastAsia="Calibri" w:hAnsi="Times New Roman" w:cs="Times New Roman"/>
          <w:kern w:val="0"/>
          <w:sz w:val="24"/>
          <w:szCs w:val="24"/>
          <w:lang w:val="en-US"/>
        </w:rPr>
      </w:pPr>
      <w:r w:rsidRPr="00283190">
        <w:rPr>
          <w:rFonts w:ascii="Times New Roman" w:eastAsia="Calibri" w:hAnsi="Times New Roman" w:cs="Times New Roman"/>
          <w:kern w:val="0"/>
          <w:sz w:val="24"/>
          <w:szCs w:val="24"/>
          <w:lang w:val="en-US"/>
        </w:rPr>
        <w:t>03/</w:t>
      </w:r>
      <w:r>
        <w:rPr>
          <w:rFonts w:ascii="Times New Roman" w:eastAsia="Calibri" w:hAnsi="Times New Roman" w:cs="Times New Roman"/>
          <w:kern w:val="0"/>
          <w:sz w:val="24"/>
          <w:szCs w:val="24"/>
          <w:lang w:val="en-US"/>
        </w:rPr>
        <w:t>30</w:t>
      </w:r>
      <w:r w:rsidRPr="00283190">
        <w:rPr>
          <w:rFonts w:ascii="Times New Roman" w:eastAsia="Calibri" w:hAnsi="Times New Roman" w:cs="Times New Roman"/>
          <w:kern w:val="0"/>
          <w:sz w:val="24"/>
          <w:szCs w:val="24"/>
          <w:lang w:val="en-US"/>
        </w:rPr>
        <w:t>/2025</w:t>
      </w:r>
      <w:r w:rsidRPr="0003682E">
        <w:rPr>
          <w:rFonts w:ascii="Times New Roman" w:eastAsia="Calibri" w:hAnsi="Times New Roman" w:cs="Times New Roman"/>
          <w:kern w:val="0"/>
          <w:sz w:val="24"/>
          <w:szCs w:val="24"/>
          <w:lang w:val="en-US"/>
        </w:rPr>
        <w:br w:type="page"/>
      </w:r>
    </w:p>
    <w:p w14:paraId="6E4B25E4" w14:textId="59BC8408" w:rsidR="00005A0A" w:rsidRDefault="00005A0A" w:rsidP="00005A0A">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Project Planning and Preparation</w:t>
      </w:r>
    </w:p>
    <w:p w14:paraId="19DD0F7B" w14:textId="77777777" w:rsidR="009349D2" w:rsidRPr="00D84DEA" w:rsidRDefault="009349D2" w:rsidP="009349D2">
      <w:pPr>
        <w:spacing w:after="0" w:line="480" w:lineRule="auto"/>
        <w:rPr>
          <w:rFonts w:ascii="Times New Roman" w:eastAsia="Times New Roman" w:hAnsi="Times New Roman" w:cs="Times New Roman"/>
          <w:b/>
          <w:bCs/>
          <w:kern w:val="0"/>
          <w:sz w:val="24"/>
          <w:szCs w:val="24"/>
          <w:lang w:val="en-US"/>
        </w:rPr>
      </w:pPr>
      <w:r w:rsidRPr="00D84DEA">
        <w:rPr>
          <w:rFonts w:ascii="Times New Roman" w:eastAsia="Times New Roman" w:hAnsi="Times New Roman" w:cs="Times New Roman"/>
          <w:b/>
          <w:bCs/>
          <w:kern w:val="0"/>
          <w:sz w:val="24"/>
          <w:szCs w:val="24"/>
          <w:lang w:val="en-US"/>
        </w:rPr>
        <w:t>Introduction of the Practice Problem</w:t>
      </w:r>
    </w:p>
    <w:p w14:paraId="50A79DB3" w14:textId="5A2DB292" w:rsidR="009349D2" w:rsidRDefault="009349D2" w:rsidP="009349D2">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Bipolar disorder is a mental health condition attributed to extreme mood swings and depressive episodes which can impact the quality of life in patients thereby requiring continuous management to promote positive health outcomes. Healthcare providers mostly struggle with effective communication strategies and ensuring that patients adhere to their treatment plans, leading to gaps in medication compliance and patient education (</w:t>
      </w:r>
      <w:r w:rsidRPr="00124FBD">
        <w:rPr>
          <w:rFonts w:ascii="Times New Roman" w:hAnsi="Times New Roman" w:cs="Times New Roman"/>
          <w:sz w:val="24"/>
          <w:szCs w:val="24"/>
        </w:rPr>
        <w:t>Youn</w:t>
      </w:r>
      <w:r>
        <w:rPr>
          <w:rFonts w:ascii="Times New Roman" w:hAnsi="Times New Roman" w:cs="Times New Roman"/>
          <w:sz w:val="24"/>
          <w:szCs w:val="24"/>
        </w:rPr>
        <w:t xml:space="preserve"> et al., 2022</w:t>
      </w:r>
      <w:r w:rsidR="003365ED">
        <w:rPr>
          <w:rFonts w:ascii="Times New Roman" w:hAnsi="Times New Roman" w:cs="Times New Roman"/>
          <w:sz w:val="24"/>
          <w:szCs w:val="24"/>
        </w:rPr>
        <w:t xml:space="preserve">; </w:t>
      </w:r>
      <w:r w:rsidR="00ED1B20" w:rsidRPr="00EE7BD2">
        <w:rPr>
          <w:rFonts w:ascii="Times New Roman" w:hAnsi="Times New Roman" w:cs="Times New Roman"/>
          <w:sz w:val="24"/>
          <w:szCs w:val="24"/>
        </w:rPr>
        <w:t>Semahegn</w:t>
      </w:r>
      <w:r w:rsidR="00ED1B20">
        <w:rPr>
          <w:rFonts w:ascii="Times New Roman" w:hAnsi="Times New Roman" w:cs="Times New Roman"/>
          <w:sz w:val="24"/>
          <w:szCs w:val="24"/>
        </w:rPr>
        <w:t xml:space="preserve"> et al., 2020</w:t>
      </w:r>
      <w:r>
        <w:rPr>
          <w:rFonts w:ascii="Times New Roman" w:eastAsia="Times New Roman" w:hAnsi="Times New Roman" w:cs="Times New Roman"/>
          <w:kern w:val="0"/>
          <w:sz w:val="24"/>
          <w:szCs w:val="24"/>
          <w:lang w:val="en-US"/>
        </w:rPr>
        <w:t>). Further, staff members' lack of conviction and confidence when handling patients can also contribute to poor relationships between the patient and healthcare providers, high hospital readmissions, and inconsistency in care (</w:t>
      </w:r>
      <w:r w:rsidRPr="00A0359B">
        <w:rPr>
          <w:rFonts w:ascii="Times New Roman" w:hAnsi="Times New Roman" w:cs="Times New Roman"/>
          <w:sz w:val="24"/>
          <w:szCs w:val="24"/>
        </w:rPr>
        <w:t>Tamene</w:t>
      </w:r>
      <w:r>
        <w:rPr>
          <w:rFonts w:ascii="Times New Roman" w:hAnsi="Times New Roman" w:cs="Times New Roman"/>
          <w:sz w:val="24"/>
          <w:szCs w:val="24"/>
        </w:rPr>
        <w:t xml:space="preserve"> et al., 2025</w:t>
      </w:r>
      <w:r>
        <w:rPr>
          <w:rFonts w:ascii="Times New Roman" w:eastAsia="Times New Roman" w:hAnsi="Times New Roman" w:cs="Times New Roman"/>
          <w:kern w:val="0"/>
          <w:sz w:val="24"/>
          <w:szCs w:val="24"/>
          <w:lang w:val="en-US"/>
        </w:rPr>
        <w:t xml:space="preserve">). Addressing nonadherence to medication is necessary through structured communication approaches like the teach-back method which will help to empower healthcare providers and ultimately improve health outcomes. </w:t>
      </w:r>
    </w:p>
    <w:p w14:paraId="3A5CEC2B" w14:textId="77777777" w:rsidR="009349D2" w:rsidRDefault="009349D2" w:rsidP="00005A0A">
      <w:pPr>
        <w:spacing w:after="0" w:line="480" w:lineRule="auto"/>
        <w:jc w:val="center"/>
        <w:rPr>
          <w:rFonts w:ascii="Times New Roman" w:eastAsia="Times New Roman" w:hAnsi="Times New Roman" w:cs="Times New Roman"/>
          <w:b/>
          <w:bCs/>
          <w:kern w:val="0"/>
          <w:sz w:val="24"/>
          <w:szCs w:val="24"/>
          <w:lang w:val="en-US"/>
        </w:rPr>
      </w:pPr>
    </w:p>
    <w:p w14:paraId="53F98181" w14:textId="77777777" w:rsidR="00005A0A" w:rsidRDefault="00005A0A" w:rsidP="00005A0A">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Purpose Statement</w:t>
      </w:r>
    </w:p>
    <w:p w14:paraId="25EA1E70" w14:textId="77777777" w:rsidR="00005A0A" w:rsidRDefault="00005A0A" w:rsidP="00005A0A">
      <w:pPr>
        <w:spacing w:after="0" w:line="480" w:lineRule="auto"/>
        <w:ind w:firstLine="720"/>
        <w:rPr>
          <w:rFonts w:ascii="Times New Roman" w:eastAsia="Times New Roman" w:hAnsi="Times New Roman" w:cs="Times New Roman"/>
          <w:kern w:val="0"/>
          <w:sz w:val="24"/>
          <w:szCs w:val="24"/>
          <w:lang w:val="en-US"/>
        </w:rPr>
      </w:pPr>
      <w:r w:rsidRPr="000A21A2">
        <w:rPr>
          <w:rFonts w:ascii="Times New Roman" w:eastAsia="Times New Roman" w:hAnsi="Times New Roman" w:cs="Times New Roman"/>
          <w:kern w:val="0"/>
          <w:sz w:val="24"/>
          <w:szCs w:val="24"/>
          <w:lang w:val="en-US"/>
        </w:rPr>
        <w:t xml:space="preserve">The purpose of the DNP project is to enhance confidence and conviction among healthcare staff in managing patients with bipolar disorder through the implementation of the teach-back method, which is an evidence-based strategy focused on improving patient understanding, communication and adherence to treatment and care plans. </w:t>
      </w:r>
    </w:p>
    <w:p w14:paraId="3AC668CF" w14:textId="1A9AAB08" w:rsidR="00005A0A" w:rsidRDefault="009349D2" w:rsidP="00005A0A">
      <w:pPr>
        <w:spacing w:after="0" w:line="480" w:lineRule="auto"/>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Preview of What the Paper Will Include and a Thesis Statement</w:t>
      </w:r>
    </w:p>
    <w:p w14:paraId="29E11C6B" w14:textId="4D405E9B" w:rsidR="009349D2" w:rsidRPr="009349D2" w:rsidRDefault="009349D2" w:rsidP="000A79DE">
      <w:pPr>
        <w:spacing w:after="0" w:line="480" w:lineRule="auto"/>
        <w:ind w:firstLine="720"/>
        <w:rPr>
          <w:rFonts w:ascii="Times New Roman" w:eastAsia="Times New Roman" w:hAnsi="Times New Roman" w:cs="Times New Roman"/>
          <w:kern w:val="0"/>
          <w:sz w:val="24"/>
          <w:szCs w:val="24"/>
          <w:lang w:val="en-US"/>
        </w:rPr>
      </w:pPr>
      <w:r w:rsidRPr="009349D2">
        <w:rPr>
          <w:rFonts w:ascii="Times New Roman" w:eastAsia="Times New Roman" w:hAnsi="Times New Roman" w:cs="Times New Roman"/>
          <w:kern w:val="0"/>
          <w:sz w:val="24"/>
          <w:szCs w:val="24"/>
          <w:lang w:val="en-US"/>
        </w:rPr>
        <w:lastRenderedPageBreak/>
        <w:t xml:space="preserve">The paper will explore the significance of medication nonadherence among bipolar patients </w:t>
      </w:r>
      <w:r w:rsidR="00B7414E">
        <w:rPr>
          <w:rFonts w:ascii="Times New Roman" w:eastAsia="Times New Roman" w:hAnsi="Times New Roman" w:cs="Times New Roman"/>
          <w:kern w:val="0"/>
          <w:sz w:val="24"/>
          <w:szCs w:val="24"/>
          <w:lang w:val="en-US"/>
        </w:rPr>
        <w:t>both at the practicum site and national</w:t>
      </w:r>
      <w:r w:rsidR="00590583">
        <w:rPr>
          <w:rFonts w:ascii="Times New Roman" w:eastAsia="Times New Roman" w:hAnsi="Times New Roman" w:cs="Times New Roman"/>
          <w:kern w:val="0"/>
          <w:sz w:val="24"/>
          <w:szCs w:val="24"/>
          <w:lang w:val="en-US"/>
        </w:rPr>
        <w:t xml:space="preserve"> </w:t>
      </w:r>
      <w:r w:rsidR="00B7414E">
        <w:rPr>
          <w:rFonts w:ascii="Times New Roman" w:eastAsia="Times New Roman" w:hAnsi="Times New Roman" w:cs="Times New Roman"/>
          <w:kern w:val="0"/>
          <w:sz w:val="24"/>
          <w:szCs w:val="24"/>
          <w:lang w:val="en-US"/>
        </w:rPr>
        <w:t>levels</w:t>
      </w:r>
      <w:r w:rsidR="00590583">
        <w:rPr>
          <w:rFonts w:ascii="Times New Roman" w:eastAsia="Times New Roman" w:hAnsi="Times New Roman" w:cs="Times New Roman"/>
          <w:kern w:val="0"/>
          <w:sz w:val="24"/>
          <w:szCs w:val="24"/>
          <w:lang w:val="en-US"/>
        </w:rPr>
        <w:t xml:space="preserve"> and present sources of data that highlight the extent of the practice problem. </w:t>
      </w:r>
      <w:r w:rsidR="000A79DE">
        <w:rPr>
          <w:rFonts w:ascii="Times New Roman" w:eastAsia="Times New Roman" w:hAnsi="Times New Roman" w:cs="Times New Roman"/>
          <w:kern w:val="0"/>
          <w:sz w:val="24"/>
          <w:szCs w:val="24"/>
          <w:lang w:val="en-US"/>
        </w:rPr>
        <w:t xml:space="preserve">An evidence-based intervention which is the teach-back method will also be examined to address the practice problem drawing from a synthesis of recent research. The paper will also detail </w:t>
      </w:r>
      <w:r w:rsidR="00BA00A6">
        <w:rPr>
          <w:rFonts w:ascii="Times New Roman" w:eastAsia="Times New Roman" w:hAnsi="Times New Roman" w:cs="Times New Roman"/>
          <w:kern w:val="0"/>
          <w:sz w:val="24"/>
          <w:szCs w:val="24"/>
          <w:lang w:val="en-US"/>
        </w:rPr>
        <w:t>the implementation plan for the project including the measurable outcomes and data collection strategies</w:t>
      </w:r>
      <w:r w:rsidR="001B31D3">
        <w:rPr>
          <w:rFonts w:ascii="Times New Roman" w:eastAsia="Times New Roman" w:hAnsi="Times New Roman" w:cs="Times New Roman"/>
          <w:kern w:val="0"/>
          <w:sz w:val="24"/>
          <w:szCs w:val="24"/>
          <w:lang w:val="en-US"/>
        </w:rPr>
        <w:t xml:space="preserve">. This will be </w:t>
      </w:r>
      <w:r w:rsidR="00BA00A6">
        <w:rPr>
          <w:rFonts w:ascii="Times New Roman" w:eastAsia="Times New Roman" w:hAnsi="Times New Roman" w:cs="Times New Roman"/>
          <w:kern w:val="0"/>
          <w:sz w:val="24"/>
          <w:szCs w:val="24"/>
          <w:lang w:val="en-US"/>
        </w:rPr>
        <w:t xml:space="preserve">followed by </w:t>
      </w:r>
      <w:r w:rsidR="007574D4">
        <w:rPr>
          <w:rFonts w:ascii="Times New Roman" w:eastAsia="Times New Roman" w:hAnsi="Times New Roman" w:cs="Times New Roman"/>
          <w:kern w:val="0"/>
          <w:sz w:val="24"/>
          <w:szCs w:val="24"/>
          <w:lang w:val="en-US"/>
        </w:rPr>
        <w:t xml:space="preserve">an evaluation approach that will determine the intervention’s effectiveness. </w:t>
      </w:r>
      <w:r w:rsidR="006E01F0">
        <w:rPr>
          <w:rFonts w:ascii="Times New Roman" w:eastAsia="Times New Roman" w:hAnsi="Times New Roman" w:cs="Times New Roman"/>
          <w:kern w:val="0"/>
          <w:sz w:val="24"/>
          <w:szCs w:val="24"/>
          <w:lang w:val="en-US"/>
        </w:rPr>
        <w:t xml:space="preserve">The thesis of the paper is that implementing the teach-back method will enhance confidence among healthcare providers </w:t>
      </w:r>
      <w:r w:rsidR="00F35FC1">
        <w:rPr>
          <w:rFonts w:ascii="Times New Roman" w:eastAsia="Times New Roman" w:hAnsi="Times New Roman" w:cs="Times New Roman"/>
          <w:kern w:val="0"/>
          <w:sz w:val="24"/>
          <w:szCs w:val="24"/>
          <w:lang w:val="en-US"/>
        </w:rPr>
        <w:t xml:space="preserve">particularly nurses, </w:t>
      </w:r>
      <w:r w:rsidR="006E01F0">
        <w:rPr>
          <w:rFonts w:ascii="Times New Roman" w:eastAsia="Times New Roman" w:hAnsi="Times New Roman" w:cs="Times New Roman"/>
          <w:kern w:val="0"/>
          <w:sz w:val="24"/>
          <w:szCs w:val="24"/>
          <w:lang w:val="en-US"/>
        </w:rPr>
        <w:t>and improve medication adherence in bipolar patients thereby leading to a reduction in readmission and better patient outcomes.</w:t>
      </w:r>
    </w:p>
    <w:p w14:paraId="33D65142" w14:textId="77777777" w:rsidR="00005A0A" w:rsidRPr="00251D69" w:rsidRDefault="00005A0A" w:rsidP="00005A0A">
      <w:pPr>
        <w:spacing w:after="0" w:line="480" w:lineRule="auto"/>
        <w:ind w:firstLine="720"/>
        <w:jc w:val="center"/>
        <w:rPr>
          <w:rFonts w:ascii="Times New Roman" w:eastAsia="Times New Roman" w:hAnsi="Times New Roman" w:cs="Times New Roman"/>
          <w:b/>
          <w:bCs/>
          <w:kern w:val="0"/>
          <w:sz w:val="24"/>
          <w:szCs w:val="24"/>
          <w:lang w:val="en-US"/>
        </w:rPr>
      </w:pPr>
      <w:r w:rsidRPr="00251D69">
        <w:rPr>
          <w:rFonts w:ascii="Times New Roman" w:eastAsia="Times New Roman" w:hAnsi="Times New Roman" w:cs="Times New Roman"/>
          <w:b/>
          <w:bCs/>
          <w:kern w:val="0"/>
          <w:sz w:val="24"/>
          <w:szCs w:val="24"/>
          <w:lang w:val="en-US"/>
        </w:rPr>
        <w:t>Assessment</w:t>
      </w:r>
    </w:p>
    <w:p w14:paraId="3FF81370" w14:textId="77777777" w:rsidR="00005A0A" w:rsidRPr="00124D78" w:rsidRDefault="00005A0A" w:rsidP="00005A0A">
      <w:pPr>
        <w:spacing w:after="0" w:line="480" w:lineRule="auto"/>
        <w:rPr>
          <w:rFonts w:ascii="Times New Roman" w:eastAsia="Times New Roman" w:hAnsi="Times New Roman" w:cs="Times New Roman"/>
          <w:b/>
          <w:bCs/>
          <w:kern w:val="0"/>
          <w:sz w:val="24"/>
          <w:szCs w:val="24"/>
          <w:lang w:val="en-US"/>
        </w:rPr>
      </w:pPr>
      <w:r w:rsidRPr="00124D78">
        <w:rPr>
          <w:rFonts w:ascii="Times New Roman" w:eastAsia="Times New Roman" w:hAnsi="Times New Roman" w:cs="Times New Roman"/>
          <w:b/>
          <w:bCs/>
          <w:kern w:val="0"/>
          <w:sz w:val="24"/>
          <w:szCs w:val="24"/>
          <w:lang w:val="en-US"/>
        </w:rPr>
        <w:t>Significance of the Practice Problem at the National Level</w:t>
      </w:r>
    </w:p>
    <w:p w14:paraId="2B0E8DF3" w14:textId="77777777" w:rsidR="00005A0A" w:rsidRDefault="00005A0A" w:rsidP="00005A0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Bipolar disorder is a significant public health concern, particularly in the United States where the annual prevalence is approximately 2.8% (</w:t>
      </w:r>
      <w:r w:rsidRPr="00942A70">
        <w:rPr>
          <w:rFonts w:ascii="Times New Roman" w:hAnsi="Times New Roman" w:cs="Times New Roman"/>
          <w:sz w:val="24"/>
          <w:szCs w:val="24"/>
        </w:rPr>
        <w:t>Dembek</w:t>
      </w:r>
      <w:r>
        <w:rPr>
          <w:rFonts w:ascii="Times New Roman" w:hAnsi="Times New Roman" w:cs="Times New Roman"/>
          <w:sz w:val="24"/>
          <w:szCs w:val="24"/>
        </w:rPr>
        <w:t xml:space="preserve"> et al., 2023</w:t>
      </w:r>
      <w:r>
        <w:rPr>
          <w:rFonts w:ascii="Times New Roman" w:eastAsia="Times New Roman" w:hAnsi="Times New Roman" w:cs="Times New Roman"/>
          <w:kern w:val="0"/>
          <w:sz w:val="24"/>
          <w:szCs w:val="24"/>
          <w:lang w:val="en-US"/>
        </w:rPr>
        <w:t>). The condition is associated with high mortality and morbidity since people with bipolar disorder have an estimated suicide risk of ten to thirty times higher compared to other individuals. Such an issue also contributes to an increased number of deaths related to mental health issues. On the other hand, the economic burden is also significant due to indirect and direct costs including lost productivity, emergency care, and hospitalizations which is approximately $ 4.6 billion annually in the United States (</w:t>
      </w:r>
      <w:r w:rsidRPr="00942A70">
        <w:rPr>
          <w:rFonts w:ascii="Times New Roman" w:hAnsi="Times New Roman" w:cs="Times New Roman"/>
          <w:sz w:val="24"/>
          <w:szCs w:val="24"/>
        </w:rPr>
        <w:t>Dembek</w:t>
      </w:r>
      <w:r>
        <w:rPr>
          <w:rFonts w:ascii="Times New Roman" w:hAnsi="Times New Roman" w:cs="Times New Roman"/>
          <w:sz w:val="24"/>
          <w:szCs w:val="24"/>
        </w:rPr>
        <w:t xml:space="preserve"> et al., 2023</w:t>
      </w:r>
      <w:r>
        <w:rPr>
          <w:rFonts w:ascii="Times New Roman" w:eastAsia="Times New Roman" w:hAnsi="Times New Roman" w:cs="Times New Roman"/>
          <w:kern w:val="0"/>
          <w:sz w:val="24"/>
          <w:szCs w:val="24"/>
          <w:lang w:val="en-US"/>
        </w:rPr>
        <w:t xml:space="preserve">). Inadequate gaps in communication and provider confidence increase the challenges thereby highlighting the need for implementing interventions such as the teach-back method to improve medication adherence and uphold positive health outcomes. </w:t>
      </w:r>
    </w:p>
    <w:p w14:paraId="68686A15" w14:textId="77777777" w:rsidR="00005A0A" w:rsidRPr="00251D69" w:rsidRDefault="00005A0A" w:rsidP="00005A0A">
      <w:pPr>
        <w:spacing w:after="0" w:line="480" w:lineRule="auto"/>
        <w:rPr>
          <w:rFonts w:ascii="Times New Roman" w:eastAsia="Times New Roman" w:hAnsi="Times New Roman" w:cs="Times New Roman"/>
          <w:b/>
          <w:bCs/>
          <w:kern w:val="0"/>
          <w:sz w:val="24"/>
          <w:szCs w:val="24"/>
          <w:lang w:val="en-US"/>
        </w:rPr>
      </w:pPr>
      <w:r w:rsidRPr="00251D69">
        <w:rPr>
          <w:rFonts w:ascii="Times New Roman" w:eastAsia="Times New Roman" w:hAnsi="Times New Roman" w:cs="Times New Roman"/>
          <w:b/>
          <w:bCs/>
          <w:kern w:val="0"/>
          <w:sz w:val="24"/>
          <w:szCs w:val="24"/>
          <w:lang w:val="en-US"/>
        </w:rPr>
        <w:lastRenderedPageBreak/>
        <w:t>Practice Problem at the Practicum Site</w:t>
      </w:r>
    </w:p>
    <w:p w14:paraId="08BA9A6C" w14:textId="77777777" w:rsidR="00005A0A" w:rsidRDefault="00005A0A" w:rsidP="00005A0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Managing patients with bipolar disorders at the practicum site presents a significant clinical challenge regarding medication adherence, patient engagement and effective communication. Direct observation and informal feedback indicate that most staff members especially the less experienced or newer nurses lack the conviction and confidence required to provide effective and consistent education to patients with bipolar disorder. Such a lack of confidence results in decreased therapeutic alliance and inconsistent messaging hence poor adherence to treatment plans. Staff education logs also indicate that despite providers receiving training on general communication, there are no structured communication approaches such as the teach-back method. Such a gap presents an opportunity to employ a targeted intervention that impacts patient outcomes and supports staff development. </w:t>
      </w:r>
    </w:p>
    <w:p w14:paraId="79C2DF32" w14:textId="77777777" w:rsidR="00005A0A" w:rsidRPr="00251D69" w:rsidRDefault="00005A0A" w:rsidP="00005A0A">
      <w:pPr>
        <w:spacing w:after="0" w:line="480" w:lineRule="auto"/>
        <w:rPr>
          <w:rFonts w:ascii="Times New Roman" w:eastAsia="Times New Roman" w:hAnsi="Times New Roman" w:cs="Times New Roman"/>
          <w:b/>
          <w:bCs/>
          <w:kern w:val="0"/>
          <w:sz w:val="24"/>
          <w:szCs w:val="24"/>
          <w:lang w:val="en-US"/>
        </w:rPr>
      </w:pPr>
      <w:r w:rsidRPr="00251D69">
        <w:rPr>
          <w:rFonts w:ascii="Times New Roman" w:eastAsia="Times New Roman" w:hAnsi="Times New Roman" w:cs="Times New Roman"/>
          <w:b/>
          <w:bCs/>
          <w:kern w:val="0"/>
          <w:sz w:val="24"/>
          <w:szCs w:val="24"/>
          <w:lang w:val="en-US"/>
        </w:rPr>
        <w:t>Sources of Data from the Practicum Site</w:t>
      </w:r>
    </w:p>
    <w:p w14:paraId="43F989AF" w14:textId="77777777" w:rsidR="00005A0A" w:rsidRDefault="00005A0A" w:rsidP="00005A0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practicum site utilized various data sources to provide insights into the practice problem. One of the major sources is the patient readmission records within 30days of discharge. This is because the records indicate readmission reasons and, in most cases, nonadherence to the prescribed medication particularly for patients with bipolar disorder is frequently documented. Another source is the incidence and progress report generated by clinical and nursing staff. Such reports document missed medication doses, confusion about treatment plans and behavioral episodes, an issue that further emphasizes communication gaps between nurses and patients. Further, patient satisfaction surveys also provide insights into the practice problem where responses have been used to evaluate how well information is retained and conveyed. Therefore, the sources of data have been used to detect the practice problem at the practicum site and will be useful in assessing improvement after implementing the teach-back method. </w:t>
      </w:r>
    </w:p>
    <w:p w14:paraId="5723D69D" w14:textId="77777777" w:rsidR="00005A0A" w:rsidRPr="00251D69" w:rsidRDefault="00005A0A" w:rsidP="00005A0A">
      <w:pPr>
        <w:spacing w:after="0" w:line="480" w:lineRule="auto"/>
        <w:jc w:val="center"/>
        <w:rPr>
          <w:rFonts w:ascii="Times New Roman" w:eastAsia="Times New Roman" w:hAnsi="Times New Roman" w:cs="Times New Roman"/>
          <w:b/>
          <w:bCs/>
          <w:kern w:val="0"/>
          <w:sz w:val="24"/>
          <w:szCs w:val="24"/>
          <w:lang w:val="en-US"/>
        </w:rPr>
      </w:pPr>
      <w:r w:rsidRPr="00251D69">
        <w:rPr>
          <w:rFonts w:ascii="Times New Roman" w:eastAsia="Times New Roman" w:hAnsi="Times New Roman" w:cs="Times New Roman"/>
          <w:b/>
          <w:bCs/>
          <w:kern w:val="0"/>
          <w:sz w:val="24"/>
          <w:szCs w:val="24"/>
          <w:lang w:val="en-US"/>
        </w:rPr>
        <w:lastRenderedPageBreak/>
        <w:t>Planning</w:t>
      </w:r>
    </w:p>
    <w:p w14:paraId="14ED2F49" w14:textId="77777777" w:rsidR="00005A0A" w:rsidRPr="00B45EBA" w:rsidRDefault="00005A0A" w:rsidP="00005A0A">
      <w:pPr>
        <w:spacing w:after="0" w:line="480" w:lineRule="auto"/>
        <w:rPr>
          <w:rFonts w:ascii="Times New Roman" w:eastAsia="Times New Roman" w:hAnsi="Times New Roman" w:cs="Times New Roman"/>
          <w:b/>
          <w:bCs/>
          <w:kern w:val="0"/>
          <w:sz w:val="24"/>
          <w:szCs w:val="24"/>
          <w:lang w:val="en-US"/>
        </w:rPr>
      </w:pPr>
      <w:r w:rsidRPr="00B45EBA">
        <w:rPr>
          <w:rFonts w:ascii="Times New Roman" w:eastAsia="Times New Roman" w:hAnsi="Times New Roman" w:cs="Times New Roman"/>
          <w:b/>
          <w:bCs/>
          <w:kern w:val="0"/>
          <w:sz w:val="24"/>
          <w:szCs w:val="24"/>
          <w:lang w:val="en-US"/>
        </w:rPr>
        <w:t>Evidence Synthesis</w:t>
      </w:r>
      <w:r>
        <w:rPr>
          <w:rFonts w:ascii="Times New Roman" w:eastAsia="Times New Roman" w:hAnsi="Times New Roman" w:cs="Times New Roman"/>
          <w:b/>
          <w:bCs/>
          <w:kern w:val="0"/>
          <w:sz w:val="24"/>
          <w:szCs w:val="24"/>
          <w:lang w:val="en-US"/>
        </w:rPr>
        <w:t xml:space="preserve"> </w:t>
      </w:r>
    </w:p>
    <w:p w14:paraId="6A3BCCB9" w14:textId="77777777" w:rsidR="00005A0A" w:rsidRDefault="00005A0A" w:rsidP="00005A0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Medication non-adherence is a complex tendency that affects patients, their families, and healthcare providers due to negative outcomes such as relapse which can lead to adverse effects. For this reason, the evidence-based intervention which is the teach-back method to improve conviction and confidence among nurses is crucial and has been discussed by various sources. One of the sources mentions that successful interventions to combat non-adherence involve a combination of educational and behavioral approaches that should be implemented into daily practice (</w:t>
      </w:r>
      <w:r w:rsidRPr="004A0EB7">
        <w:rPr>
          <w:rFonts w:ascii="Times New Roman" w:hAnsi="Times New Roman" w:cs="Times New Roman"/>
          <w:sz w:val="24"/>
          <w:szCs w:val="24"/>
        </w:rPr>
        <w:t>Loots</w:t>
      </w:r>
      <w:r>
        <w:rPr>
          <w:rFonts w:ascii="Times New Roman" w:hAnsi="Times New Roman" w:cs="Times New Roman"/>
          <w:sz w:val="24"/>
          <w:szCs w:val="24"/>
        </w:rPr>
        <w:t xml:space="preserve"> et al., 2021; </w:t>
      </w:r>
      <w:r w:rsidRPr="00B83AFF">
        <w:rPr>
          <w:rFonts w:ascii="Times New Roman" w:hAnsi="Times New Roman" w:cs="Times New Roman"/>
          <w:sz w:val="24"/>
          <w:szCs w:val="24"/>
        </w:rPr>
        <w:t>Holcomb</w:t>
      </w:r>
      <w:r>
        <w:rPr>
          <w:rFonts w:ascii="Times New Roman" w:eastAsia="Times New Roman" w:hAnsi="Times New Roman" w:cs="Times New Roman"/>
          <w:kern w:val="0"/>
          <w:sz w:val="24"/>
          <w:szCs w:val="24"/>
          <w:lang w:val="en-US"/>
        </w:rPr>
        <w:t xml:space="preserve"> et al., 2022). The main theme by </w:t>
      </w:r>
      <w:r w:rsidRPr="004A0EB7">
        <w:rPr>
          <w:rFonts w:ascii="Times New Roman" w:hAnsi="Times New Roman" w:cs="Times New Roman"/>
          <w:sz w:val="24"/>
          <w:szCs w:val="24"/>
        </w:rPr>
        <w:t>Loots</w:t>
      </w:r>
      <w:r>
        <w:rPr>
          <w:rFonts w:ascii="Times New Roman" w:hAnsi="Times New Roman" w:cs="Times New Roman"/>
          <w:sz w:val="24"/>
          <w:szCs w:val="24"/>
        </w:rPr>
        <w:t xml:space="preserve"> et al.</w:t>
      </w:r>
      <w:r>
        <w:rPr>
          <w:rFonts w:ascii="Times New Roman" w:eastAsia="Times New Roman" w:hAnsi="Times New Roman" w:cs="Times New Roman"/>
          <w:kern w:val="0"/>
          <w:sz w:val="24"/>
          <w:szCs w:val="24"/>
          <w:lang w:val="en-US"/>
        </w:rPr>
        <w:t xml:space="preserve"> (2021) focuses on the behavioral and educational approaches for nurses to improve their confidence and conviction when handling patients with bipolar disorder. </w:t>
      </w:r>
    </w:p>
    <w:p w14:paraId="1329C0CF" w14:textId="77777777" w:rsidR="00005A0A" w:rsidRPr="00520F55" w:rsidRDefault="00005A0A" w:rsidP="00005A0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Similarly, </w:t>
      </w:r>
      <w:r w:rsidRPr="00EE2815">
        <w:rPr>
          <w:rFonts w:ascii="Times New Roman" w:hAnsi="Times New Roman" w:cs="Times New Roman"/>
          <w:sz w:val="24"/>
          <w:szCs w:val="24"/>
        </w:rPr>
        <w:t>Adebayo</w:t>
      </w:r>
      <w:r>
        <w:rPr>
          <w:rFonts w:ascii="Times New Roman" w:eastAsia="Times New Roman" w:hAnsi="Times New Roman" w:cs="Times New Roman"/>
          <w:kern w:val="0"/>
          <w:sz w:val="24"/>
          <w:szCs w:val="24"/>
          <w:lang w:val="en-US"/>
        </w:rPr>
        <w:t xml:space="preserve"> (2024) also supports the intervention by outlining the main theme of the study which is to investigate the effectiveness of the teach-back method to improve medication adherence among patients with bipolar disorder. However, patients may find it challenging to recall their medication regimen and nurses should play the role of reminding them to follow up with their treatment plans (</w:t>
      </w:r>
      <w:r w:rsidRPr="00114086">
        <w:rPr>
          <w:rFonts w:ascii="Times New Roman" w:hAnsi="Times New Roman" w:cs="Times New Roman"/>
          <w:sz w:val="24"/>
          <w:szCs w:val="24"/>
        </w:rPr>
        <w:t>Talevski</w:t>
      </w:r>
      <w:r>
        <w:rPr>
          <w:rFonts w:ascii="Times New Roman" w:hAnsi="Times New Roman" w:cs="Times New Roman"/>
          <w:sz w:val="24"/>
          <w:szCs w:val="24"/>
        </w:rPr>
        <w:t xml:space="preserve"> et al., 2020; </w:t>
      </w:r>
      <w:r w:rsidRPr="00A66DF6">
        <w:rPr>
          <w:rFonts w:ascii="Times New Roman" w:hAnsi="Times New Roman" w:cs="Times New Roman"/>
          <w:sz w:val="24"/>
          <w:szCs w:val="24"/>
        </w:rPr>
        <w:t>Lin</w:t>
      </w:r>
      <w:r>
        <w:rPr>
          <w:rFonts w:ascii="Times New Roman" w:hAnsi="Times New Roman" w:cs="Times New Roman"/>
          <w:sz w:val="24"/>
          <w:szCs w:val="24"/>
        </w:rPr>
        <w:t xml:space="preserve"> et al., 2022</w:t>
      </w:r>
      <w:r>
        <w:rPr>
          <w:rFonts w:ascii="Times New Roman" w:eastAsia="Times New Roman" w:hAnsi="Times New Roman" w:cs="Times New Roman"/>
          <w:kern w:val="0"/>
          <w:sz w:val="24"/>
          <w:szCs w:val="24"/>
          <w:lang w:val="en-US"/>
        </w:rPr>
        <w:t xml:space="preserve">). The main theme that emerges from the article by </w:t>
      </w:r>
      <w:r w:rsidRPr="00114086">
        <w:rPr>
          <w:rFonts w:ascii="Times New Roman" w:hAnsi="Times New Roman" w:cs="Times New Roman"/>
          <w:sz w:val="24"/>
          <w:szCs w:val="24"/>
        </w:rPr>
        <w:t>Talevski</w:t>
      </w:r>
      <w:r>
        <w:rPr>
          <w:rFonts w:ascii="Times New Roman" w:eastAsia="Times New Roman" w:hAnsi="Times New Roman" w:cs="Times New Roman"/>
          <w:kern w:val="0"/>
          <w:sz w:val="24"/>
          <w:szCs w:val="24"/>
          <w:lang w:val="en-US"/>
        </w:rPr>
        <w:t xml:space="preserve"> et al. (2020) is that patients should participate in their care by being involved in the decision-making process through the teach-back method that improves nurses’ confidence hence promoting medication adherence. Contrary, </w:t>
      </w:r>
      <w:r w:rsidRPr="0015332E">
        <w:rPr>
          <w:rFonts w:ascii="Times New Roman" w:hAnsi="Times New Roman" w:cs="Times New Roman"/>
          <w:sz w:val="24"/>
          <w:szCs w:val="24"/>
        </w:rPr>
        <w:t>Berardinelli</w:t>
      </w:r>
      <w:r>
        <w:rPr>
          <w:rFonts w:ascii="Times New Roman" w:eastAsia="Times New Roman" w:hAnsi="Times New Roman" w:cs="Times New Roman"/>
          <w:kern w:val="0"/>
          <w:sz w:val="24"/>
          <w:szCs w:val="24"/>
          <w:lang w:val="en-US"/>
        </w:rPr>
        <w:t xml:space="preserve"> et al. (2024) propose that a solution to medication non-adherence involves expanding the role of nurses by allocating time for management and education among nurses to promote adherence in a feasible and sustainable manner within the clinical settings. Some themes in the sources are similar while </w:t>
      </w:r>
      <w:r>
        <w:rPr>
          <w:rFonts w:ascii="Times New Roman" w:eastAsia="Times New Roman" w:hAnsi="Times New Roman" w:cs="Times New Roman"/>
          <w:kern w:val="0"/>
          <w:sz w:val="24"/>
          <w:szCs w:val="24"/>
          <w:lang w:val="en-US"/>
        </w:rPr>
        <w:lastRenderedPageBreak/>
        <w:t xml:space="preserve">others contrast regarding the perspective and impact of the teach-back method on patients and healthcare providers. </w:t>
      </w:r>
      <w:r w:rsidRPr="00520F55">
        <w:rPr>
          <w:rFonts w:ascii="Times New Roman" w:eastAsia="Times New Roman" w:hAnsi="Times New Roman" w:cs="Times New Roman"/>
          <w:kern w:val="0"/>
          <w:sz w:val="24"/>
          <w:szCs w:val="24"/>
          <w:lang w:val="en-US"/>
        </w:rPr>
        <w:t xml:space="preserve">The objective overarching synthesis of the research statement demonstrates the effectiveness of the teach-back method as an evidence-based approach that enhances medication adherence by supporting nurse confidence and improving patient understanding. Consequently, multiple studies emphasize that combining educational and behavioral strategies through the teach-back method results in sustainable improvements in medication adherence among patients with bipolar disorder. </w:t>
      </w:r>
    </w:p>
    <w:p w14:paraId="43D67262" w14:textId="77777777" w:rsidR="00005A0A" w:rsidRPr="00251D69" w:rsidRDefault="00005A0A" w:rsidP="00005A0A">
      <w:pPr>
        <w:spacing w:after="0" w:line="480" w:lineRule="auto"/>
        <w:jc w:val="center"/>
        <w:rPr>
          <w:rFonts w:ascii="Times New Roman" w:eastAsia="Times New Roman" w:hAnsi="Times New Roman" w:cs="Times New Roman"/>
          <w:b/>
          <w:bCs/>
          <w:kern w:val="0"/>
          <w:sz w:val="24"/>
          <w:szCs w:val="24"/>
          <w:lang w:val="en-US"/>
        </w:rPr>
      </w:pPr>
      <w:r w:rsidRPr="00251D69">
        <w:rPr>
          <w:rFonts w:ascii="Times New Roman" w:eastAsia="Times New Roman" w:hAnsi="Times New Roman" w:cs="Times New Roman"/>
          <w:b/>
          <w:bCs/>
          <w:kern w:val="0"/>
          <w:sz w:val="24"/>
          <w:szCs w:val="24"/>
          <w:lang w:val="en-US"/>
        </w:rPr>
        <w:t>Implementation</w:t>
      </w:r>
    </w:p>
    <w:p w14:paraId="14EEE163" w14:textId="77777777" w:rsidR="00005A0A" w:rsidRDefault="00005A0A" w:rsidP="00005A0A">
      <w:pPr>
        <w:spacing w:after="0" w:line="480" w:lineRule="auto"/>
        <w:ind w:firstLine="720"/>
        <w:rPr>
          <w:rFonts w:ascii="Times New Roman" w:eastAsia="Times New Roman" w:hAnsi="Times New Roman" w:cs="Times New Roman"/>
          <w:kern w:val="0"/>
          <w:sz w:val="24"/>
          <w:szCs w:val="24"/>
          <w:lang w:val="en-US"/>
        </w:rPr>
      </w:pPr>
      <w:r w:rsidRPr="00251D69">
        <w:rPr>
          <w:rFonts w:ascii="Times New Roman" w:eastAsia="Times New Roman" w:hAnsi="Times New Roman" w:cs="Times New Roman"/>
          <w:kern w:val="0"/>
          <w:sz w:val="24"/>
          <w:szCs w:val="24"/>
          <w:lang w:val="en-US"/>
        </w:rPr>
        <w:t xml:space="preserve">The intervention involves incorporating the teach-back method to enhance confidence and conviction among nurses so they can employ </w:t>
      </w:r>
      <w:r>
        <w:rPr>
          <w:rFonts w:ascii="Times New Roman" w:eastAsia="Times New Roman" w:hAnsi="Times New Roman" w:cs="Times New Roman"/>
          <w:kern w:val="0"/>
          <w:sz w:val="24"/>
          <w:szCs w:val="24"/>
          <w:lang w:val="en-US"/>
        </w:rPr>
        <w:t xml:space="preserve">suitable communication strategies that help improve medication adherence among patients with bipolar disorder. The rationale for choosing the intervention is based on its proven efficacy in improving understanding among patients regarding medication adherence, enhancing confidence and communication among nurses and reducing the rates of readmission. On the other hand, the staff will complete a pre-and post-intervention assessment survey to measure conviction and confidence. Patient charts will also be audited to document and assess adherence rates. Finally, the implementation plan will involve five milestones divided into weeks where the first and second week will be used to train staff on the teach-back approach. The third and fourth week will be allocated to baseline data collection while week five to eight will be used to implement the intervention. Post intervention data collection will be allocated to week nine and ten to determine the effectiveness of the intervention, while data analysis and evaluation will be conducted in week eleven and twelve. Thus, the implementation of the project will involve planning the specific milestones to be covered in addition to providing information about the intervention and rationale behind its selection. </w:t>
      </w:r>
    </w:p>
    <w:p w14:paraId="2B4946E4" w14:textId="77777777" w:rsidR="00005A0A" w:rsidRPr="00251D69" w:rsidRDefault="00005A0A" w:rsidP="00005A0A">
      <w:pPr>
        <w:spacing w:after="0" w:line="480" w:lineRule="auto"/>
        <w:ind w:firstLine="720"/>
        <w:jc w:val="center"/>
        <w:rPr>
          <w:rFonts w:ascii="Times New Roman" w:eastAsia="Times New Roman" w:hAnsi="Times New Roman" w:cs="Times New Roman"/>
          <w:b/>
          <w:bCs/>
          <w:kern w:val="0"/>
          <w:sz w:val="24"/>
          <w:szCs w:val="24"/>
          <w:lang w:val="en-US"/>
        </w:rPr>
      </w:pPr>
      <w:r w:rsidRPr="00251D69">
        <w:rPr>
          <w:rFonts w:ascii="Times New Roman" w:eastAsia="Times New Roman" w:hAnsi="Times New Roman" w:cs="Times New Roman"/>
          <w:b/>
          <w:bCs/>
          <w:kern w:val="0"/>
          <w:sz w:val="24"/>
          <w:szCs w:val="24"/>
          <w:lang w:val="en-US"/>
        </w:rPr>
        <w:lastRenderedPageBreak/>
        <w:t>Evaluation</w:t>
      </w:r>
    </w:p>
    <w:p w14:paraId="35316DF3" w14:textId="77777777" w:rsidR="00005A0A" w:rsidRPr="00111940" w:rsidRDefault="00005A0A" w:rsidP="00005A0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measurable outcomes for the DNP project are focused on evaluating the effectiveness of the teach-back approach in enhancing staff confidence and conviction, including improving medication adherence among bipolar patients. For this reason, the measurable outcomes for the project will involve assessing an improvement in staff confidence and conviction given the target goal being specific to a 20% increase in confidence scores post-intervention. Another measurable outcome is an increase in patient understanding and engagement will be recorded which will be evaluated based on patient understanding during the sessions. Improved medication adherence rates will also be measured using patient self-reports and chart audits during follow-up appointments. The goal under improving medication adherence rates is to achieve a 15% increase in documented adherence to prescribed medication after utilizing the teach-back method. Consequently, the outcomes will be evaluated by combining the pre- and post-intervention chart audits, comparison of readmission data before and after implementing the intervention and survey results to ascertain the effectiveness of the teach-back method. </w:t>
      </w:r>
    </w:p>
    <w:p w14:paraId="4453C3F1" w14:textId="77777777" w:rsidR="00005A0A" w:rsidRPr="00B560B1" w:rsidRDefault="00005A0A" w:rsidP="00005A0A">
      <w:pPr>
        <w:spacing w:after="0" w:line="480" w:lineRule="auto"/>
        <w:ind w:firstLine="720"/>
        <w:jc w:val="center"/>
        <w:rPr>
          <w:rFonts w:ascii="Times New Roman" w:eastAsia="Times New Roman" w:hAnsi="Times New Roman" w:cs="Times New Roman"/>
          <w:b/>
          <w:bCs/>
          <w:kern w:val="0"/>
          <w:sz w:val="24"/>
          <w:szCs w:val="24"/>
          <w:lang w:val="en-US"/>
        </w:rPr>
      </w:pPr>
      <w:r w:rsidRPr="00B560B1">
        <w:rPr>
          <w:rFonts w:ascii="Times New Roman" w:eastAsia="Times New Roman" w:hAnsi="Times New Roman" w:cs="Times New Roman"/>
          <w:b/>
          <w:bCs/>
          <w:kern w:val="0"/>
          <w:sz w:val="24"/>
          <w:szCs w:val="24"/>
          <w:lang w:val="en-US"/>
        </w:rPr>
        <w:t>Conclusion</w:t>
      </w:r>
    </w:p>
    <w:p w14:paraId="5C90C506" w14:textId="77777777" w:rsidR="00005A0A" w:rsidRPr="00097518" w:rsidRDefault="00005A0A" w:rsidP="00005A0A">
      <w:pPr>
        <w:spacing w:after="0" w:line="480" w:lineRule="auto"/>
        <w:rPr>
          <w:rFonts w:ascii="Times New Roman" w:eastAsia="Times New Roman" w:hAnsi="Times New Roman" w:cs="Times New Roman"/>
          <w:b/>
          <w:bCs/>
          <w:kern w:val="0"/>
          <w:sz w:val="24"/>
          <w:szCs w:val="24"/>
          <w:lang w:val="en-US"/>
        </w:rPr>
      </w:pPr>
      <w:r w:rsidRPr="00097518">
        <w:rPr>
          <w:rFonts w:ascii="Times New Roman" w:eastAsia="Times New Roman" w:hAnsi="Times New Roman" w:cs="Times New Roman"/>
          <w:b/>
          <w:bCs/>
          <w:kern w:val="0"/>
          <w:sz w:val="24"/>
          <w:szCs w:val="24"/>
          <w:lang w:val="en-US"/>
        </w:rPr>
        <w:t>Summary of the Practice Problem</w:t>
      </w:r>
      <w:r>
        <w:rPr>
          <w:rFonts w:ascii="Times New Roman" w:eastAsia="Times New Roman" w:hAnsi="Times New Roman" w:cs="Times New Roman"/>
          <w:b/>
          <w:bCs/>
          <w:kern w:val="0"/>
          <w:sz w:val="24"/>
          <w:szCs w:val="24"/>
          <w:lang w:val="en-US"/>
        </w:rPr>
        <w:t xml:space="preserve"> and Project Implementation</w:t>
      </w:r>
    </w:p>
    <w:p w14:paraId="38E3542B" w14:textId="77777777" w:rsidR="00005A0A" w:rsidRDefault="00005A0A" w:rsidP="00005A0A">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Bipolar disorder is a significant healthcare challenge that is associated with economic burden and high mortality and morbidity rates. One of the major contributing factors to negative patient outcomes is non-adherence to medication which could result in decreased quality of life, hospitalizations, and relapse. Healthcare providers especially nurses face challenges associated with ensuring that patients understand and follow through with the treatment plans, an issue that emphasizes on the need for interventions that </w:t>
      </w:r>
      <w:r>
        <w:rPr>
          <w:rFonts w:ascii="Times New Roman" w:eastAsia="Times New Roman" w:hAnsi="Times New Roman" w:cs="Times New Roman"/>
          <w:kern w:val="0"/>
          <w:sz w:val="24"/>
          <w:szCs w:val="24"/>
          <w:lang w:val="en-US"/>
        </w:rPr>
        <w:lastRenderedPageBreak/>
        <w:t>facilitate provider confidence and enhance patient education. The proposed DNP project focuses on addressing the mentioned challenges by implementing the teach-back method to improve patient understanding and provider confidence.</w:t>
      </w:r>
    </w:p>
    <w:p w14:paraId="0420B90F" w14:textId="77777777" w:rsidR="00005A0A" w:rsidRPr="00F27FED" w:rsidRDefault="00005A0A" w:rsidP="00005A0A">
      <w:pPr>
        <w:spacing w:after="0" w:line="480" w:lineRule="auto"/>
        <w:rPr>
          <w:rFonts w:ascii="Times New Roman" w:eastAsia="Times New Roman" w:hAnsi="Times New Roman" w:cs="Times New Roman"/>
          <w:b/>
          <w:bCs/>
          <w:kern w:val="0"/>
          <w:sz w:val="24"/>
          <w:szCs w:val="24"/>
          <w:lang w:val="en-US"/>
        </w:rPr>
      </w:pPr>
      <w:r w:rsidRPr="00F27FED">
        <w:rPr>
          <w:rFonts w:ascii="Times New Roman" w:eastAsia="Times New Roman" w:hAnsi="Times New Roman" w:cs="Times New Roman"/>
          <w:b/>
          <w:bCs/>
          <w:kern w:val="0"/>
          <w:sz w:val="24"/>
          <w:szCs w:val="24"/>
          <w:lang w:val="en-US"/>
        </w:rPr>
        <w:t xml:space="preserve">Summary of </w:t>
      </w:r>
      <w:r>
        <w:rPr>
          <w:rFonts w:ascii="Times New Roman" w:eastAsia="Times New Roman" w:hAnsi="Times New Roman" w:cs="Times New Roman"/>
          <w:b/>
          <w:bCs/>
          <w:kern w:val="0"/>
          <w:sz w:val="24"/>
          <w:szCs w:val="24"/>
          <w:lang w:val="en-US"/>
        </w:rPr>
        <w:t>How the Project will be Evaluated</w:t>
      </w:r>
    </w:p>
    <w:p w14:paraId="76683A34" w14:textId="77777777" w:rsidR="00005A0A" w:rsidRDefault="00005A0A" w:rsidP="00005A0A">
      <w:pPr>
        <w:spacing w:after="0" w:line="480" w:lineRule="auto"/>
        <w:ind w:firstLine="720"/>
        <w:rPr>
          <w:rFonts w:ascii="Times New Roman" w:hAnsi="Times New Roman" w:cs="Times New Roman"/>
          <w:b/>
          <w:bCs/>
          <w:sz w:val="24"/>
          <w:szCs w:val="24"/>
        </w:rPr>
      </w:pPr>
      <w:r>
        <w:rPr>
          <w:rFonts w:ascii="Times New Roman" w:eastAsia="Times New Roman" w:hAnsi="Times New Roman" w:cs="Times New Roman"/>
          <w:kern w:val="0"/>
          <w:sz w:val="24"/>
          <w:szCs w:val="24"/>
          <w:lang w:val="en-US"/>
        </w:rPr>
        <w:t xml:space="preserve">The project evaluation will involve qualitative and quantitative methods to determine the effectiveness of the intervention in enhancing staff confidence and improving medication adherence. Pre- and post-intervention surveys will be employed to evaluate changes in staff confidence, whereas patient understanding will be evaluated through assessment of the teach-back. This means that staff will document whether patients understand their treatment regimen hence adhering to medication. Nurse satisfaction and feedback regarding the teach-back method will also be evaluated to assess the perceived sustainability and utility of the intervention in clinical practices. Collectively, the evaluation metrics will provide an understanding of the impact of the project and provide guidance on future recommendations. </w:t>
      </w:r>
    </w:p>
    <w:p w14:paraId="178DE137" w14:textId="77777777" w:rsidR="00005A0A" w:rsidRDefault="00005A0A" w:rsidP="00005A0A">
      <w:pPr>
        <w:spacing w:after="0" w:line="480" w:lineRule="auto"/>
        <w:ind w:firstLine="720"/>
        <w:jc w:val="center"/>
        <w:rPr>
          <w:rFonts w:ascii="Times New Roman" w:hAnsi="Times New Roman" w:cs="Times New Roman"/>
          <w:b/>
          <w:bCs/>
          <w:sz w:val="24"/>
          <w:szCs w:val="24"/>
        </w:rPr>
      </w:pPr>
    </w:p>
    <w:p w14:paraId="3905CC6E" w14:textId="77777777" w:rsidR="00005A0A" w:rsidRDefault="00005A0A" w:rsidP="00005A0A">
      <w:pPr>
        <w:spacing w:after="0" w:line="480" w:lineRule="auto"/>
        <w:ind w:firstLine="720"/>
        <w:jc w:val="center"/>
        <w:rPr>
          <w:rFonts w:ascii="Times New Roman" w:hAnsi="Times New Roman" w:cs="Times New Roman"/>
          <w:b/>
          <w:bCs/>
          <w:sz w:val="24"/>
          <w:szCs w:val="24"/>
        </w:rPr>
      </w:pPr>
    </w:p>
    <w:p w14:paraId="2E805C72" w14:textId="77777777" w:rsidR="00005A0A" w:rsidRDefault="00005A0A" w:rsidP="00005A0A">
      <w:pPr>
        <w:spacing w:after="0" w:line="480" w:lineRule="auto"/>
        <w:ind w:firstLine="720"/>
        <w:jc w:val="center"/>
        <w:rPr>
          <w:rFonts w:ascii="Times New Roman" w:hAnsi="Times New Roman" w:cs="Times New Roman"/>
          <w:b/>
          <w:bCs/>
          <w:sz w:val="24"/>
          <w:szCs w:val="24"/>
        </w:rPr>
      </w:pPr>
    </w:p>
    <w:p w14:paraId="0D675C01" w14:textId="77777777" w:rsidR="00005A0A" w:rsidRDefault="00005A0A" w:rsidP="00005A0A">
      <w:pPr>
        <w:spacing w:after="0" w:line="480" w:lineRule="auto"/>
        <w:ind w:firstLine="720"/>
        <w:jc w:val="center"/>
        <w:rPr>
          <w:rFonts w:ascii="Times New Roman" w:hAnsi="Times New Roman" w:cs="Times New Roman"/>
          <w:b/>
          <w:bCs/>
          <w:sz w:val="24"/>
          <w:szCs w:val="24"/>
        </w:rPr>
      </w:pPr>
    </w:p>
    <w:p w14:paraId="51415CFE" w14:textId="77777777" w:rsidR="00005A0A" w:rsidRDefault="00005A0A" w:rsidP="00005A0A">
      <w:pPr>
        <w:spacing w:after="0" w:line="480" w:lineRule="auto"/>
        <w:ind w:firstLine="720"/>
        <w:jc w:val="center"/>
        <w:rPr>
          <w:rFonts w:ascii="Times New Roman" w:hAnsi="Times New Roman" w:cs="Times New Roman"/>
          <w:b/>
          <w:bCs/>
          <w:sz w:val="24"/>
          <w:szCs w:val="24"/>
        </w:rPr>
      </w:pPr>
    </w:p>
    <w:p w14:paraId="539952D1" w14:textId="77777777" w:rsidR="00005A0A" w:rsidRDefault="00005A0A" w:rsidP="00005A0A">
      <w:pPr>
        <w:spacing w:after="0" w:line="480" w:lineRule="auto"/>
        <w:ind w:firstLine="720"/>
        <w:jc w:val="center"/>
        <w:rPr>
          <w:rFonts w:ascii="Times New Roman" w:hAnsi="Times New Roman" w:cs="Times New Roman"/>
          <w:b/>
          <w:bCs/>
          <w:sz w:val="24"/>
          <w:szCs w:val="24"/>
        </w:rPr>
      </w:pPr>
    </w:p>
    <w:p w14:paraId="3C0AEDE6" w14:textId="77777777" w:rsidR="00005A0A" w:rsidRDefault="00005A0A" w:rsidP="00005A0A">
      <w:pPr>
        <w:spacing w:after="0" w:line="480" w:lineRule="auto"/>
        <w:ind w:firstLine="720"/>
        <w:jc w:val="center"/>
        <w:rPr>
          <w:rFonts w:ascii="Times New Roman" w:hAnsi="Times New Roman" w:cs="Times New Roman"/>
          <w:b/>
          <w:bCs/>
          <w:sz w:val="24"/>
          <w:szCs w:val="24"/>
        </w:rPr>
      </w:pPr>
    </w:p>
    <w:p w14:paraId="69BBB18C" w14:textId="77777777" w:rsidR="00005A0A" w:rsidRDefault="00005A0A" w:rsidP="00D7680B">
      <w:pPr>
        <w:spacing w:line="480" w:lineRule="auto"/>
        <w:rPr>
          <w:rFonts w:ascii="Times New Roman" w:hAnsi="Times New Roman" w:cs="Times New Roman"/>
          <w:b/>
          <w:bCs/>
          <w:sz w:val="24"/>
          <w:szCs w:val="24"/>
        </w:rPr>
        <w:sectPr w:rsidR="00005A0A" w:rsidSect="00005A0A">
          <w:headerReference w:type="default" r:id="rId6"/>
          <w:pgSz w:w="15840" w:h="12240" w:orient="landscape" w:code="1"/>
          <w:pgMar w:top="1440" w:right="1440" w:bottom="1440" w:left="1440" w:header="720" w:footer="720" w:gutter="0"/>
          <w:cols w:space="720"/>
          <w:docGrid w:linePitch="360"/>
        </w:sectPr>
      </w:pPr>
    </w:p>
    <w:p w14:paraId="60972B4A" w14:textId="77777777" w:rsidR="00005A0A" w:rsidRDefault="00005A0A" w:rsidP="00D7680B">
      <w:pPr>
        <w:spacing w:line="480" w:lineRule="auto"/>
        <w:jc w:val="center"/>
        <w:rPr>
          <w:rFonts w:ascii="Times New Roman" w:hAnsi="Times New Roman" w:cs="Times New Roman"/>
          <w:b/>
          <w:bCs/>
          <w:sz w:val="24"/>
          <w:szCs w:val="24"/>
        </w:rPr>
      </w:pPr>
      <w:r w:rsidRPr="00646547">
        <w:rPr>
          <w:rFonts w:ascii="Times New Roman" w:hAnsi="Times New Roman" w:cs="Times New Roman"/>
          <w:b/>
          <w:bCs/>
          <w:sz w:val="24"/>
          <w:szCs w:val="24"/>
        </w:rPr>
        <w:lastRenderedPageBreak/>
        <w:t>References</w:t>
      </w:r>
    </w:p>
    <w:p w14:paraId="0C03ED30" w14:textId="77777777" w:rsidR="00926BB5" w:rsidRDefault="00926BB5" w:rsidP="00926BB5">
      <w:pPr>
        <w:spacing w:line="480" w:lineRule="auto"/>
        <w:rPr>
          <w:rFonts w:ascii="Times New Roman" w:hAnsi="Times New Roman" w:cs="Times New Roman"/>
          <w:i/>
          <w:iCs/>
          <w:sz w:val="24"/>
          <w:szCs w:val="24"/>
        </w:rPr>
      </w:pPr>
      <w:r w:rsidRPr="00926BB5">
        <w:rPr>
          <w:rFonts w:ascii="Times New Roman" w:hAnsi="Times New Roman" w:cs="Times New Roman"/>
          <w:sz w:val="24"/>
          <w:szCs w:val="24"/>
        </w:rPr>
        <w:t xml:space="preserve">Adebayo, E. (2024). </w:t>
      </w:r>
      <w:r w:rsidRPr="00926BB5">
        <w:rPr>
          <w:rFonts w:ascii="Times New Roman" w:hAnsi="Times New Roman" w:cs="Times New Roman"/>
          <w:i/>
          <w:iCs/>
          <w:sz w:val="24"/>
          <w:szCs w:val="24"/>
        </w:rPr>
        <w:t>Educating staff to use the teach-back method towards improving adherence</w:t>
      </w:r>
    </w:p>
    <w:p w14:paraId="07211B6D" w14:textId="18CF1BBE" w:rsidR="00005A0A" w:rsidRDefault="00926BB5" w:rsidP="00926BB5">
      <w:pPr>
        <w:spacing w:line="480" w:lineRule="auto"/>
        <w:ind w:left="720" w:firstLine="60"/>
        <w:rPr>
          <w:rFonts w:ascii="Times New Roman" w:hAnsi="Times New Roman" w:cs="Times New Roman"/>
          <w:sz w:val="24"/>
          <w:szCs w:val="24"/>
        </w:rPr>
      </w:pPr>
      <w:r w:rsidRPr="00926BB5">
        <w:rPr>
          <w:rFonts w:ascii="Times New Roman" w:hAnsi="Times New Roman" w:cs="Times New Roman"/>
          <w:i/>
          <w:iCs/>
          <w:sz w:val="24"/>
          <w:szCs w:val="24"/>
        </w:rPr>
        <w:t>to antipsychotic medication</w:t>
      </w:r>
      <w:r w:rsidRPr="00926BB5">
        <w:rPr>
          <w:rFonts w:ascii="Times New Roman" w:hAnsi="Times New Roman" w:cs="Times New Roman"/>
          <w:sz w:val="24"/>
          <w:szCs w:val="24"/>
        </w:rPr>
        <w:t xml:space="preserve"> [Doctoral dissertation, Walden University]. Walden Dissertations and Doctoral Studies Collection. </w:t>
      </w:r>
      <w:hyperlink r:id="rId7" w:history="1">
        <w:r w:rsidRPr="005C40E0">
          <w:rPr>
            <w:rStyle w:val="Hyperlink"/>
            <w:rFonts w:ascii="Times New Roman" w:hAnsi="Times New Roman" w:cs="Times New Roman"/>
            <w:sz w:val="24"/>
            <w:szCs w:val="24"/>
          </w:rPr>
          <w:t>https://scholarworks.waldenu.edu/dissertations/16725</w:t>
        </w:r>
      </w:hyperlink>
      <w:r>
        <w:rPr>
          <w:rFonts w:ascii="Times New Roman" w:hAnsi="Times New Roman" w:cs="Times New Roman"/>
          <w:sz w:val="24"/>
          <w:szCs w:val="24"/>
        </w:rPr>
        <w:t xml:space="preserve"> </w:t>
      </w:r>
      <w:r w:rsidR="00005A0A">
        <w:rPr>
          <w:rFonts w:ascii="Times New Roman" w:hAnsi="Times New Roman" w:cs="Times New Roman"/>
          <w:sz w:val="24"/>
          <w:szCs w:val="24"/>
        </w:rPr>
        <w:t xml:space="preserve"> </w:t>
      </w:r>
    </w:p>
    <w:p w14:paraId="1C25D60E" w14:textId="77777777" w:rsidR="00005A0A" w:rsidRDefault="00005A0A" w:rsidP="00005A0A">
      <w:pPr>
        <w:spacing w:line="480" w:lineRule="auto"/>
        <w:rPr>
          <w:rFonts w:ascii="Times New Roman" w:hAnsi="Times New Roman" w:cs="Times New Roman"/>
          <w:sz w:val="24"/>
          <w:szCs w:val="24"/>
        </w:rPr>
      </w:pPr>
      <w:r w:rsidRPr="0015332E">
        <w:rPr>
          <w:rFonts w:ascii="Times New Roman" w:hAnsi="Times New Roman" w:cs="Times New Roman"/>
          <w:sz w:val="24"/>
          <w:szCs w:val="24"/>
        </w:rPr>
        <w:t xml:space="preserve">Berardinelli, D., Conti, A., Hasnaoui, A., Casabona, E., Martin, B., Campagna, S., &amp; Dimonte, V. </w:t>
      </w:r>
    </w:p>
    <w:p w14:paraId="72918610" w14:textId="5BC79A5E" w:rsidR="00005A0A" w:rsidRDefault="00005A0A" w:rsidP="00005A0A">
      <w:pPr>
        <w:spacing w:line="480" w:lineRule="auto"/>
        <w:ind w:left="720"/>
        <w:rPr>
          <w:rFonts w:ascii="Times New Roman" w:hAnsi="Times New Roman" w:cs="Times New Roman"/>
          <w:sz w:val="24"/>
          <w:szCs w:val="24"/>
        </w:rPr>
      </w:pPr>
      <w:r w:rsidRPr="0015332E">
        <w:rPr>
          <w:rFonts w:ascii="Times New Roman" w:hAnsi="Times New Roman" w:cs="Times New Roman"/>
          <w:sz w:val="24"/>
          <w:szCs w:val="24"/>
        </w:rPr>
        <w:t>(2024, November). Nurse-</w:t>
      </w:r>
      <w:r>
        <w:rPr>
          <w:rFonts w:ascii="Times New Roman" w:hAnsi="Times New Roman" w:cs="Times New Roman"/>
          <w:sz w:val="24"/>
          <w:szCs w:val="24"/>
        </w:rPr>
        <w:t>l</w:t>
      </w:r>
      <w:r w:rsidRPr="0015332E">
        <w:rPr>
          <w:rFonts w:ascii="Times New Roman" w:hAnsi="Times New Roman" w:cs="Times New Roman"/>
          <w:sz w:val="24"/>
          <w:szCs w:val="24"/>
        </w:rPr>
        <w:t xml:space="preserve">ed </w:t>
      </w:r>
      <w:r>
        <w:rPr>
          <w:rFonts w:ascii="Times New Roman" w:hAnsi="Times New Roman" w:cs="Times New Roman"/>
          <w:sz w:val="24"/>
          <w:szCs w:val="24"/>
        </w:rPr>
        <w:t>i</w:t>
      </w:r>
      <w:r w:rsidRPr="0015332E">
        <w:rPr>
          <w:rFonts w:ascii="Times New Roman" w:hAnsi="Times New Roman" w:cs="Times New Roman"/>
          <w:sz w:val="24"/>
          <w:szCs w:val="24"/>
        </w:rPr>
        <w:t xml:space="preserve">nterventions for </w:t>
      </w:r>
      <w:r>
        <w:rPr>
          <w:rFonts w:ascii="Times New Roman" w:hAnsi="Times New Roman" w:cs="Times New Roman"/>
          <w:sz w:val="24"/>
          <w:szCs w:val="24"/>
        </w:rPr>
        <w:t>i</w:t>
      </w:r>
      <w:r w:rsidRPr="0015332E">
        <w:rPr>
          <w:rFonts w:ascii="Times New Roman" w:hAnsi="Times New Roman" w:cs="Times New Roman"/>
          <w:sz w:val="24"/>
          <w:szCs w:val="24"/>
        </w:rPr>
        <w:t xml:space="preserve">mproving </w:t>
      </w:r>
      <w:r>
        <w:rPr>
          <w:rFonts w:ascii="Times New Roman" w:hAnsi="Times New Roman" w:cs="Times New Roman"/>
          <w:sz w:val="24"/>
          <w:szCs w:val="24"/>
        </w:rPr>
        <w:t>m</w:t>
      </w:r>
      <w:r w:rsidRPr="0015332E">
        <w:rPr>
          <w:rFonts w:ascii="Times New Roman" w:hAnsi="Times New Roman" w:cs="Times New Roman"/>
          <w:sz w:val="24"/>
          <w:szCs w:val="24"/>
        </w:rPr>
        <w:t xml:space="preserve">edication </w:t>
      </w:r>
      <w:r>
        <w:rPr>
          <w:rFonts w:ascii="Times New Roman" w:hAnsi="Times New Roman" w:cs="Times New Roman"/>
          <w:sz w:val="24"/>
          <w:szCs w:val="24"/>
        </w:rPr>
        <w:t>a</w:t>
      </w:r>
      <w:r w:rsidRPr="0015332E">
        <w:rPr>
          <w:rFonts w:ascii="Times New Roman" w:hAnsi="Times New Roman" w:cs="Times New Roman"/>
          <w:sz w:val="24"/>
          <w:szCs w:val="24"/>
        </w:rPr>
        <w:t xml:space="preserve">dherence in </w:t>
      </w:r>
      <w:r>
        <w:rPr>
          <w:rFonts w:ascii="Times New Roman" w:hAnsi="Times New Roman" w:cs="Times New Roman"/>
          <w:sz w:val="24"/>
          <w:szCs w:val="24"/>
        </w:rPr>
        <w:t>c</w:t>
      </w:r>
      <w:r w:rsidRPr="0015332E">
        <w:rPr>
          <w:rFonts w:ascii="Times New Roman" w:hAnsi="Times New Roman" w:cs="Times New Roman"/>
          <w:sz w:val="24"/>
          <w:szCs w:val="24"/>
        </w:rPr>
        <w:t xml:space="preserve">hronic </w:t>
      </w:r>
      <w:r>
        <w:rPr>
          <w:rFonts w:ascii="Times New Roman" w:hAnsi="Times New Roman" w:cs="Times New Roman"/>
          <w:sz w:val="24"/>
          <w:szCs w:val="24"/>
        </w:rPr>
        <w:t>d</w:t>
      </w:r>
      <w:r w:rsidRPr="0015332E">
        <w:rPr>
          <w:rFonts w:ascii="Times New Roman" w:hAnsi="Times New Roman" w:cs="Times New Roman"/>
          <w:sz w:val="24"/>
          <w:szCs w:val="24"/>
        </w:rPr>
        <w:t xml:space="preserve">iseases: A </w:t>
      </w:r>
      <w:r>
        <w:rPr>
          <w:rFonts w:ascii="Times New Roman" w:hAnsi="Times New Roman" w:cs="Times New Roman"/>
          <w:sz w:val="24"/>
          <w:szCs w:val="24"/>
        </w:rPr>
        <w:t>s</w:t>
      </w:r>
      <w:r w:rsidRPr="0015332E">
        <w:rPr>
          <w:rFonts w:ascii="Times New Roman" w:hAnsi="Times New Roman" w:cs="Times New Roman"/>
          <w:sz w:val="24"/>
          <w:szCs w:val="24"/>
        </w:rPr>
        <w:t xml:space="preserve">ystematic </w:t>
      </w:r>
      <w:r>
        <w:rPr>
          <w:rFonts w:ascii="Times New Roman" w:hAnsi="Times New Roman" w:cs="Times New Roman"/>
          <w:sz w:val="24"/>
          <w:szCs w:val="24"/>
        </w:rPr>
        <w:t>r</w:t>
      </w:r>
      <w:r w:rsidRPr="0015332E">
        <w:rPr>
          <w:rFonts w:ascii="Times New Roman" w:hAnsi="Times New Roman" w:cs="Times New Roman"/>
          <w:sz w:val="24"/>
          <w:szCs w:val="24"/>
        </w:rPr>
        <w:t>eview. In </w:t>
      </w:r>
      <w:r w:rsidRPr="0015332E">
        <w:rPr>
          <w:rFonts w:ascii="Times New Roman" w:hAnsi="Times New Roman" w:cs="Times New Roman"/>
          <w:i/>
          <w:iCs/>
          <w:sz w:val="24"/>
          <w:szCs w:val="24"/>
        </w:rPr>
        <w:t>Healthcare</w:t>
      </w:r>
      <w:r w:rsidRPr="0015332E">
        <w:rPr>
          <w:rFonts w:ascii="Times New Roman" w:hAnsi="Times New Roman" w:cs="Times New Roman"/>
          <w:sz w:val="24"/>
          <w:szCs w:val="24"/>
        </w:rPr>
        <w:t> </w:t>
      </w:r>
      <w:r w:rsidR="00926BB5">
        <w:rPr>
          <w:rFonts w:ascii="Times New Roman" w:hAnsi="Times New Roman" w:cs="Times New Roman"/>
          <w:sz w:val="24"/>
          <w:szCs w:val="24"/>
        </w:rPr>
        <w:t xml:space="preserve">12(23), 2337. </w:t>
      </w:r>
      <w:r w:rsidRPr="0015332E">
        <w:rPr>
          <w:rFonts w:ascii="Times New Roman" w:hAnsi="Times New Roman" w:cs="Times New Roman"/>
          <w:sz w:val="24"/>
          <w:szCs w:val="24"/>
        </w:rPr>
        <w:t>MDPI.</w:t>
      </w:r>
      <w:r>
        <w:rPr>
          <w:rFonts w:ascii="Times New Roman" w:hAnsi="Times New Roman" w:cs="Times New Roman"/>
          <w:sz w:val="24"/>
          <w:szCs w:val="24"/>
        </w:rPr>
        <w:t xml:space="preserve"> </w:t>
      </w:r>
      <w:hyperlink r:id="rId8" w:history="1">
        <w:r w:rsidRPr="001F7343">
          <w:rPr>
            <w:rStyle w:val="Hyperlink"/>
            <w:rFonts w:ascii="Times New Roman" w:hAnsi="Times New Roman" w:cs="Times New Roman"/>
            <w:sz w:val="24"/>
            <w:szCs w:val="24"/>
          </w:rPr>
          <w:t>https://doi.org/10.3390/healthcare12232337</w:t>
        </w:r>
      </w:hyperlink>
      <w:r>
        <w:rPr>
          <w:rFonts w:ascii="Times New Roman" w:hAnsi="Times New Roman" w:cs="Times New Roman"/>
          <w:sz w:val="24"/>
          <w:szCs w:val="24"/>
        </w:rPr>
        <w:t xml:space="preserve"> </w:t>
      </w:r>
    </w:p>
    <w:p w14:paraId="53D10FBE" w14:textId="77777777" w:rsidR="00005A0A" w:rsidRDefault="00005A0A" w:rsidP="00005A0A">
      <w:pPr>
        <w:spacing w:line="480" w:lineRule="auto"/>
        <w:rPr>
          <w:rFonts w:ascii="Times New Roman" w:hAnsi="Times New Roman" w:cs="Times New Roman"/>
          <w:sz w:val="24"/>
          <w:szCs w:val="24"/>
        </w:rPr>
      </w:pPr>
      <w:r w:rsidRPr="00942A70">
        <w:rPr>
          <w:rFonts w:ascii="Times New Roman" w:hAnsi="Times New Roman" w:cs="Times New Roman"/>
          <w:sz w:val="24"/>
          <w:szCs w:val="24"/>
        </w:rPr>
        <w:t>Dembek, C., Mackie, D., Modi, K., Zhu, Y., Niu, X., &amp; Grinnell, T. (2023). The economic and</w:t>
      </w:r>
    </w:p>
    <w:p w14:paraId="1655D6A6" w14:textId="77777777" w:rsidR="00005A0A" w:rsidRDefault="00005A0A" w:rsidP="00005A0A">
      <w:pPr>
        <w:spacing w:line="480" w:lineRule="auto"/>
        <w:ind w:left="720" w:firstLine="60"/>
        <w:rPr>
          <w:rFonts w:ascii="Times New Roman" w:hAnsi="Times New Roman" w:cs="Times New Roman"/>
          <w:sz w:val="24"/>
          <w:szCs w:val="24"/>
        </w:rPr>
      </w:pPr>
      <w:r w:rsidRPr="00942A70">
        <w:rPr>
          <w:rFonts w:ascii="Times New Roman" w:hAnsi="Times New Roman" w:cs="Times New Roman"/>
          <w:sz w:val="24"/>
          <w:szCs w:val="24"/>
        </w:rPr>
        <w:t>humanistic burden of bipolar disorder in adults in the United States. </w:t>
      </w:r>
      <w:r w:rsidRPr="00942A70">
        <w:rPr>
          <w:rFonts w:ascii="Times New Roman" w:hAnsi="Times New Roman" w:cs="Times New Roman"/>
          <w:i/>
          <w:iCs/>
          <w:sz w:val="24"/>
          <w:szCs w:val="24"/>
        </w:rPr>
        <w:t>Annals of General Psychiatry</w:t>
      </w:r>
      <w:r w:rsidRPr="00942A70">
        <w:rPr>
          <w:rFonts w:ascii="Times New Roman" w:hAnsi="Times New Roman" w:cs="Times New Roman"/>
          <w:sz w:val="24"/>
          <w:szCs w:val="24"/>
        </w:rPr>
        <w:t>, </w:t>
      </w:r>
      <w:r w:rsidRPr="00942A70">
        <w:rPr>
          <w:rFonts w:ascii="Times New Roman" w:hAnsi="Times New Roman" w:cs="Times New Roman"/>
          <w:i/>
          <w:iCs/>
          <w:sz w:val="24"/>
          <w:szCs w:val="24"/>
        </w:rPr>
        <w:t>22</w:t>
      </w:r>
      <w:r w:rsidRPr="00942A70">
        <w:rPr>
          <w:rFonts w:ascii="Times New Roman" w:hAnsi="Times New Roman" w:cs="Times New Roman"/>
          <w:sz w:val="24"/>
          <w:szCs w:val="24"/>
        </w:rPr>
        <w:t>(1), 13.</w:t>
      </w:r>
      <w:r>
        <w:rPr>
          <w:rFonts w:ascii="Times New Roman" w:hAnsi="Times New Roman" w:cs="Times New Roman"/>
          <w:sz w:val="24"/>
          <w:szCs w:val="24"/>
        </w:rPr>
        <w:t xml:space="preserve"> </w:t>
      </w:r>
      <w:hyperlink r:id="rId9" w:history="1">
        <w:r w:rsidRPr="001F7343">
          <w:rPr>
            <w:rStyle w:val="Hyperlink"/>
            <w:rFonts w:ascii="Times New Roman" w:hAnsi="Times New Roman" w:cs="Times New Roman"/>
            <w:sz w:val="24"/>
            <w:szCs w:val="24"/>
          </w:rPr>
          <w:t>https://doi.org/10.1186/s12991-023-00440-7</w:t>
        </w:r>
      </w:hyperlink>
      <w:r>
        <w:rPr>
          <w:rFonts w:ascii="Times New Roman" w:hAnsi="Times New Roman" w:cs="Times New Roman"/>
          <w:sz w:val="24"/>
          <w:szCs w:val="24"/>
        </w:rPr>
        <w:t xml:space="preserve"> </w:t>
      </w:r>
    </w:p>
    <w:p w14:paraId="761863FC" w14:textId="77777777" w:rsidR="00005A0A" w:rsidRDefault="00005A0A" w:rsidP="00005A0A">
      <w:pPr>
        <w:spacing w:line="480" w:lineRule="auto"/>
        <w:rPr>
          <w:rFonts w:ascii="Times New Roman" w:hAnsi="Times New Roman" w:cs="Times New Roman"/>
          <w:sz w:val="24"/>
          <w:szCs w:val="24"/>
        </w:rPr>
      </w:pPr>
      <w:r w:rsidRPr="00B83AFF">
        <w:rPr>
          <w:rFonts w:ascii="Times New Roman" w:hAnsi="Times New Roman" w:cs="Times New Roman"/>
          <w:sz w:val="24"/>
          <w:szCs w:val="24"/>
        </w:rPr>
        <w:t xml:space="preserve">Holcomb, J., Ferguson, G. M., Thornton, L., &amp; Highfield, L. (2022). Development, </w:t>
      </w:r>
    </w:p>
    <w:p w14:paraId="20C0B7E7" w14:textId="77777777" w:rsidR="00005A0A" w:rsidRPr="00B83AFF" w:rsidRDefault="00005A0A" w:rsidP="00005A0A">
      <w:pPr>
        <w:spacing w:line="480" w:lineRule="auto"/>
        <w:ind w:left="720"/>
        <w:rPr>
          <w:rFonts w:ascii="Times New Roman" w:hAnsi="Times New Roman" w:cs="Times New Roman"/>
          <w:sz w:val="24"/>
          <w:szCs w:val="24"/>
        </w:rPr>
      </w:pPr>
      <w:r w:rsidRPr="00B83AFF">
        <w:rPr>
          <w:rFonts w:ascii="Times New Roman" w:hAnsi="Times New Roman" w:cs="Times New Roman"/>
          <w:sz w:val="24"/>
          <w:szCs w:val="24"/>
        </w:rPr>
        <w:t>implementation, and evaluation of Teach Back curriculum for community health workers. </w:t>
      </w:r>
      <w:r w:rsidRPr="00B83AFF">
        <w:rPr>
          <w:rFonts w:ascii="Times New Roman" w:hAnsi="Times New Roman" w:cs="Times New Roman"/>
          <w:i/>
          <w:iCs/>
          <w:sz w:val="24"/>
          <w:szCs w:val="24"/>
        </w:rPr>
        <w:t>Frontiers in Medicine</w:t>
      </w:r>
      <w:r w:rsidRPr="00B83AFF">
        <w:rPr>
          <w:rFonts w:ascii="Times New Roman" w:hAnsi="Times New Roman" w:cs="Times New Roman"/>
          <w:sz w:val="24"/>
          <w:szCs w:val="24"/>
        </w:rPr>
        <w:t>, </w:t>
      </w:r>
      <w:r w:rsidRPr="00B83AFF">
        <w:rPr>
          <w:rFonts w:ascii="Times New Roman" w:hAnsi="Times New Roman" w:cs="Times New Roman"/>
          <w:i/>
          <w:iCs/>
          <w:sz w:val="24"/>
          <w:szCs w:val="24"/>
        </w:rPr>
        <w:t>9</w:t>
      </w:r>
      <w:r w:rsidRPr="00B83AFF">
        <w:rPr>
          <w:rFonts w:ascii="Times New Roman" w:hAnsi="Times New Roman" w:cs="Times New Roman"/>
          <w:sz w:val="24"/>
          <w:szCs w:val="24"/>
        </w:rPr>
        <w:t>, 918686.</w:t>
      </w:r>
      <w:r>
        <w:rPr>
          <w:rFonts w:ascii="Times New Roman" w:hAnsi="Times New Roman" w:cs="Times New Roman"/>
          <w:sz w:val="24"/>
          <w:szCs w:val="24"/>
        </w:rPr>
        <w:t xml:space="preserve"> </w:t>
      </w:r>
      <w:hyperlink r:id="rId10" w:history="1">
        <w:r w:rsidRPr="001F7343">
          <w:rPr>
            <w:rStyle w:val="Hyperlink"/>
            <w:rFonts w:ascii="Times New Roman" w:hAnsi="Times New Roman" w:cs="Times New Roman"/>
            <w:sz w:val="24"/>
            <w:szCs w:val="24"/>
          </w:rPr>
          <w:t>https://doi.org/10.3389/fmed.2022.918686</w:t>
        </w:r>
      </w:hyperlink>
      <w:r>
        <w:rPr>
          <w:rFonts w:ascii="Times New Roman" w:hAnsi="Times New Roman" w:cs="Times New Roman"/>
          <w:sz w:val="24"/>
          <w:szCs w:val="24"/>
        </w:rPr>
        <w:t xml:space="preserve"> </w:t>
      </w:r>
    </w:p>
    <w:p w14:paraId="1C5BEE6A" w14:textId="77777777" w:rsidR="00005A0A" w:rsidRDefault="00005A0A" w:rsidP="00005A0A">
      <w:pPr>
        <w:spacing w:line="480" w:lineRule="auto"/>
        <w:rPr>
          <w:rFonts w:ascii="Times New Roman" w:hAnsi="Times New Roman" w:cs="Times New Roman"/>
          <w:sz w:val="24"/>
          <w:szCs w:val="24"/>
        </w:rPr>
      </w:pPr>
      <w:r w:rsidRPr="00A66DF6">
        <w:rPr>
          <w:rFonts w:ascii="Times New Roman" w:hAnsi="Times New Roman" w:cs="Times New Roman"/>
          <w:sz w:val="24"/>
          <w:szCs w:val="24"/>
        </w:rPr>
        <w:t xml:space="preserve">Lin, Y. Y., Yen, W. J., Hou, W. L., Liao, W. C., &amp; Lin, M. L. (2022, March). Mental health </w:t>
      </w:r>
    </w:p>
    <w:p w14:paraId="0DD615A7" w14:textId="3D2A507C" w:rsidR="00005A0A" w:rsidRPr="00EE2815" w:rsidRDefault="00005A0A" w:rsidP="00005A0A">
      <w:pPr>
        <w:spacing w:line="480" w:lineRule="auto"/>
        <w:ind w:left="720"/>
        <w:rPr>
          <w:rFonts w:ascii="Times New Roman" w:hAnsi="Times New Roman" w:cs="Times New Roman"/>
          <w:sz w:val="24"/>
          <w:szCs w:val="24"/>
        </w:rPr>
      </w:pPr>
      <w:r w:rsidRPr="00A66DF6">
        <w:rPr>
          <w:rFonts w:ascii="Times New Roman" w:hAnsi="Times New Roman" w:cs="Times New Roman"/>
          <w:sz w:val="24"/>
          <w:szCs w:val="24"/>
        </w:rPr>
        <w:t>nurses’ tacit knowledge of strategies for improving medication adherence for schizophrenia: A qualitative study. In </w:t>
      </w:r>
      <w:r w:rsidRPr="00A66DF6">
        <w:rPr>
          <w:rFonts w:ascii="Times New Roman" w:hAnsi="Times New Roman" w:cs="Times New Roman"/>
          <w:i/>
          <w:iCs/>
          <w:sz w:val="24"/>
          <w:szCs w:val="24"/>
        </w:rPr>
        <w:t>Healthcare</w:t>
      </w:r>
      <w:r w:rsidRPr="00A66DF6">
        <w:rPr>
          <w:rFonts w:ascii="Times New Roman" w:hAnsi="Times New Roman" w:cs="Times New Roman"/>
          <w:sz w:val="24"/>
          <w:szCs w:val="24"/>
        </w:rPr>
        <w:t> 10</w:t>
      </w:r>
      <w:r w:rsidR="00157E11">
        <w:rPr>
          <w:rFonts w:ascii="Times New Roman" w:hAnsi="Times New Roman" w:cs="Times New Roman"/>
          <w:sz w:val="24"/>
          <w:szCs w:val="24"/>
        </w:rPr>
        <w:t>(3), 492</w:t>
      </w:r>
      <w:r w:rsidRPr="00A66DF6">
        <w:rPr>
          <w:rFonts w:ascii="Times New Roman" w:hAnsi="Times New Roman" w:cs="Times New Roman"/>
          <w:sz w:val="24"/>
          <w:szCs w:val="24"/>
        </w:rPr>
        <w:t>. MDPI.</w:t>
      </w:r>
      <w:r>
        <w:rPr>
          <w:rFonts w:ascii="Times New Roman" w:hAnsi="Times New Roman" w:cs="Times New Roman"/>
          <w:sz w:val="24"/>
          <w:szCs w:val="24"/>
        </w:rPr>
        <w:t xml:space="preserve"> </w:t>
      </w:r>
      <w:hyperlink r:id="rId11" w:history="1">
        <w:r w:rsidRPr="001F7343">
          <w:rPr>
            <w:rStyle w:val="Hyperlink"/>
            <w:rFonts w:ascii="Times New Roman" w:hAnsi="Times New Roman" w:cs="Times New Roman"/>
            <w:sz w:val="24"/>
            <w:szCs w:val="24"/>
          </w:rPr>
          <w:t>https://doi.org/10.3390/healthcare10030492</w:t>
        </w:r>
      </w:hyperlink>
      <w:r>
        <w:rPr>
          <w:rFonts w:ascii="Times New Roman" w:hAnsi="Times New Roman" w:cs="Times New Roman"/>
          <w:sz w:val="24"/>
          <w:szCs w:val="24"/>
        </w:rPr>
        <w:t xml:space="preserve"> </w:t>
      </w:r>
    </w:p>
    <w:p w14:paraId="69096389" w14:textId="77777777" w:rsidR="00005A0A" w:rsidRDefault="00005A0A" w:rsidP="00005A0A">
      <w:pPr>
        <w:spacing w:line="480" w:lineRule="auto"/>
        <w:rPr>
          <w:rFonts w:ascii="Times New Roman" w:hAnsi="Times New Roman" w:cs="Times New Roman"/>
          <w:sz w:val="24"/>
          <w:szCs w:val="24"/>
        </w:rPr>
      </w:pPr>
      <w:r w:rsidRPr="004A0EB7">
        <w:rPr>
          <w:rFonts w:ascii="Times New Roman" w:hAnsi="Times New Roman" w:cs="Times New Roman"/>
          <w:sz w:val="24"/>
          <w:szCs w:val="24"/>
        </w:rPr>
        <w:t xml:space="preserve">Loots, E., Goossens, E., </w:t>
      </w:r>
      <w:proofErr w:type="spellStart"/>
      <w:r w:rsidRPr="004A0EB7">
        <w:rPr>
          <w:rFonts w:ascii="Times New Roman" w:hAnsi="Times New Roman" w:cs="Times New Roman"/>
          <w:sz w:val="24"/>
          <w:szCs w:val="24"/>
        </w:rPr>
        <w:t>Vanwesemael</w:t>
      </w:r>
      <w:proofErr w:type="spellEnd"/>
      <w:r w:rsidRPr="004A0EB7">
        <w:rPr>
          <w:rFonts w:ascii="Times New Roman" w:hAnsi="Times New Roman" w:cs="Times New Roman"/>
          <w:sz w:val="24"/>
          <w:szCs w:val="24"/>
        </w:rPr>
        <w:t xml:space="preserve">, T., Morrens, M., Van Rompaey, B., &amp; </w:t>
      </w:r>
      <w:proofErr w:type="spellStart"/>
      <w:r w:rsidRPr="004A0EB7">
        <w:rPr>
          <w:rFonts w:ascii="Times New Roman" w:hAnsi="Times New Roman" w:cs="Times New Roman"/>
          <w:sz w:val="24"/>
          <w:szCs w:val="24"/>
        </w:rPr>
        <w:t>Dilles</w:t>
      </w:r>
      <w:proofErr w:type="spellEnd"/>
      <w:r w:rsidRPr="004A0EB7">
        <w:rPr>
          <w:rFonts w:ascii="Times New Roman" w:hAnsi="Times New Roman" w:cs="Times New Roman"/>
          <w:sz w:val="24"/>
          <w:szCs w:val="24"/>
        </w:rPr>
        <w:t xml:space="preserve">, T. (2021). </w:t>
      </w:r>
    </w:p>
    <w:p w14:paraId="283C5DA1" w14:textId="77777777" w:rsidR="00005A0A" w:rsidRDefault="00005A0A" w:rsidP="00005A0A">
      <w:pPr>
        <w:spacing w:line="480" w:lineRule="auto"/>
        <w:ind w:left="720"/>
        <w:rPr>
          <w:rFonts w:ascii="Times New Roman" w:hAnsi="Times New Roman" w:cs="Times New Roman"/>
          <w:sz w:val="24"/>
          <w:szCs w:val="24"/>
        </w:rPr>
      </w:pPr>
      <w:r w:rsidRPr="004A0EB7">
        <w:rPr>
          <w:rFonts w:ascii="Times New Roman" w:hAnsi="Times New Roman" w:cs="Times New Roman"/>
          <w:sz w:val="24"/>
          <w:szCs w:val="24"/>
        </w:rPr>
        <w:lastRenderedPageBreak/>
        <w:t>Interventions to improve medication adherence in patients with schizophrenia or bipolar disorders: a systematic review and meta-analysis. </w:t>
      </w:r>
      <w:r w:rsidRPr="004A0EB7">
        <w:rPr>
          <w:rFonts w:ascii="Times New Roman" w:hAnsi="Times New Roman" w:cs="Times New Roman"/>
          <w:i/>
          <w:iCs/>
          <w:sz w:val="24"/>
          <w:szCs w:val="24"/>
        </w:rPr>
        <w:t>International Journal of Environmental Research and Public Health</w:t>
      </w:r>
      <w:r w:rsidRPr="004A0EB7">
        <w:rPr>
          <w:rFonts w:ascii="Times New Roman" w:hAnsi="Times New Roman" w:cs="Times New Roman"/>
          <w:sz w:val="24"/>
          <w:szCs w:val="24"/>
        </w:rPr>
        <w:t>, </w:t>
      </w:r>
      <w:r w:rsidRPr="004A0EB7">
        <w:rPr>
          <w:rFonts w:ascii="Times New Roman" w:hAnsi="Times New Roman" w:cs="Times New Roman"/>
          <w:i/>
          <w:iCs/>
          <w:sz w:val="24"/>
          <w:szCs w:val="24"/>
        </w:rPr>
        <w:t>18</w:t>
      </w:r>
      <w:r w:rsidRPr="004A0EB7">
        <w:rPr>
          <w:rFonts w:ascii="Times New Roman" w:hAnsi="Times New Roman" w:cs="Times New Roman"/>
          <w:sz w:val="24"/>
          <w:szCs w:val="24"/>
        </w:rPr>
        <w:t xml:space="preserve">(19), 10213. </w:t>
      </w:r>
      <w:hyperlink r:id="rId12" w:history="1">
        <w:r w:rsidRPr="001F7343">
          <w:rPr>
            <w:rStyle w:val="Hyperlink"/>
            <w:rFonts w:ascii="Times New Roman" w:hAnsi="Times New Roman" w:cs="Times New Roman"/>
            <w:sz w:val="24"/>
            <w:szCs w:val="24"/>
          </w:rPr>
          <w:t>https://doi.org/10.3390/ijerph181910213</w:t>
        </w:r>
      </w:hyperlink>
      <w:r>
        <w:rPr>
          <w:rFonts w:ascii="Times New Roman" w:hAnsi="Times New Roman" w:cs="Times New Roman"/>
          <w:sz w:val="24"/>
          <w:szCs w:val="24"/>
        </w:rPr>
        <w:t xml:space="preserve"> </w:t>
      </w:r>
    </w:p>
    <w:p w14:paraId="11336988" w14:textId="77777777" w:rsidR="00B6147C" w:rsidRDefault="004872DE" w:rsidP="004872DE">
      <w:pPr>
        <w:spacing w:line="480" w:lineRule="auto"/>
        <w:rPr>
          <w:rFonts w:ascii="Times New Roman" w:hAnsi="Times New Roman" w:cs="Times New Roman"/>
          <w:sz w:val="24"/>
          <w:szCs w:val="24"/>
        </w:rPr>
      </w:pPr>
      <w:r w:rsidRPr="00EE7BD2">
        <w:rPr>
          <w:rFonts w:ascii="Times New Roman" w:hAnsi="Times New Roman" w:cs="Times New Roman"/>
          <w:sz w:val="24"/>
          <w:szCs w:val="24"/>
        </w:rPr>
        <w:t xml:space="preserve">Semahegn, A., Torpey, K., Manu, A., Assefa, N., Tesfaye, G., &amp; Ankomah, A. (2020). </w:t>
      </w:r>
    </w:p>
    <w:p w14:paraId="5A9F82C5" w14:textId="0C3CBD36" w:rsidR="004872DE" w:rsidRPr="00EE7BD2" w:rsidRDefault="004872DE" w:rsidP="00B6147C">
      <w:pPr>
        <w:spacing w:line="480" w:lineRule="auto"/>
        <w:ind w:left="720"/>
        <w:rPr>
          <w:rFonts w:ascii="Times New Roman" w:hAnsi="Times New Roman" w:cs="Times New Roman"/>
          <w:sz w:val="24"/>
          <w:szCs w:val="24"/>
        </w:rPr>
      </w:pPr>
      <w:r w:rsidRPr="00EE7BD2">
        <w:rPr>
          <w:rFonts w:ascii="Times New Roman" w:hAnsi="Times New Roman" w:cs="Times New Roman"/>
          <w:sz w:val="24"/>
          <w:szCs w:val="24"/>
        </w:rPr>
        <w:t>Psychotropic medication non-adherence and its associated factors among patients with major psychiatric disorders: a systematic review and meta-analysis. </w:t>
      </w:r>
      <w:r w:rsidRPr="00EE7BD2">
        <w:rPr>
          <w:rFonts w:ascii="Times New Roman" w:hAnsi="Times New Roman" w:cs="Times New Roman"/>
          <w:i/>
          <w:iCs/>
          <w:sz w:val="24"/>
          <w:szCs w:val="24"/>
        </w:rPr>
        <w:t>Systematic reviews</w:t>
      </w:r>
      <w:r w:rsidRPr="00EE7BD2">
        <w:rPr>
          <w:rFonts w:ascii="Times New Roman" w:hAnsi="Times New Roman" w:cs="Times New Roman"/>
          <w:sz w:val="24"/>
          <w:szCs w:val="24"/>
        </w:rPr>
        <w:t>, </w:t>
      </w:r>
      <w:r w:rsidRPr="00EE7BD2">
        <w:rPr>
          <w:rFonts w:ascii="Times New Roman" w:hAnsi="Times New Roman" w:cs="Times New Roman"/>
          <w:i/>
          <w:iCs/>
          <w:sz w:val="24"/>
          <w:szCs w:val="24"/>
        </w:rPr>
        <w:t>9</w:t>
      </w:r>
      <w:r w:rsidRPr="00EE7BD2">
        <w:rPr>
          <w:rFonts w:ascii="Times New Roman" w:hAnsi="Times New Roman" w:cs="Times New Roman"/>
          <w:sz w:val="24"/>
          <w:szCs w:val="24"/>
        </w:rPr>
        <w:t>, 1-18.</w:t>
      </w:r>
      <w:r w:rsidR="00EE7BD2">
        <w:rPr>
          <w:rFonts w:ascii="Times New Roman" w:hAnsi="Times New Roman" w:cs="Times New Roman"/>
          <w:sz w:val="24"/>
          <w:szCs w:val="24"/>
        </w:rPr>
        <w:t xml:space="preserve"> </w:t>
      </w:r>
      <w:hyperlink r:id="rId13" w:history="1">
        <w:r w:rsidR="00EE7BD2" w:rsidRPr="005C40E0">
          <w:rPr>
            <w:rStyle w:val="Hyperlink"/>
            <w:rFonts w:ascii="Times New Roman" w:hAnsi="Times New Roman" w:cs="Times New Roman"/>
            <w:sz w:val="24"/>
            <w:szCs w:val="24"/>
          </w:rPr>
          <w:t>https://doi.org/10.1186/s13643-020-1274-3</w:t>
        </w:r>
      </w:hyperlink>
      <w:r w:rsidR="00EE7BD2">
        <w:rPr>
          <w:rFonts w:ascii="Times New Roman" w:hAnsi="Times New Roman" w:cs="Times New Roman"/>
          <w:sz w:val="24"/>
          <w:szCs w:val="24"/>
        </w:rPr>
        <w:t xml:space="preserve"> </w:t>
      </w:r>
    </w:p>
    <w:p w14:paraId="2EE0C1AE" w14:textId="77777777" w:rsidR="00005A0A" w:rsidRDefault="00005A0A" w:rsidP="00005A0A">
      <w:pPr>
        <w:spacing w:line="480" w:lineRule="auto"/>
        <w:rPr>
          <w:rFonts w:ascii="Times New Roman" w:hAnsi="Times New Roman" w:cs="Times New Roman"/>
          <w:sz w:val="24"/>
          <w:szCs w:val="24"/>
        </w:rPr>
      </w:pPr>
      <w:r w:rsidRPr="00114086">
        <w:rPr>
          <w:rFonts w:ascii="Times New Roman" w:hAnsi="Times New Roman" w:cs="Times New Roman"/>
          <w:sz w:val="24"/>
          <w:szCs w:val="24"/>
        </w:rPr>
        <w:t xml:space="preserve">Talevski, J., Wong </w:t>
      </w:r>
      <w:proofErr w:type="spellStart"/>
      <w:r w:rsidRPr="00114086">
        <w:rPr>
          <w:rFonts w:ascii="Times New Roman" w:hAnsi="Times New Roman" w:cs="Times New Roman"/>
          <w:sz w:val="24"/>
          <w:szCs w:val="24"/>
        </w:rPr>
        <w:t>Shee</w:t>
      </w:r>
      <w:proofErr w:type="spellEnd"/>
      <w:r w:rsidRPr="00114086">
        <w:rPr>
          <w:rFonts w:ascii="Times New Roman" w:hAnsi="Times New Roman" w:cs="Times New Roman"/>
          <w:sz w:val="24"/>
          <w:szCs w:val="24"/>
        </w:rPr>
        <w:t xml:space="preserve">, A., Rasmussen, B., Kemp, G., &amp; Beauchamp, A. (2020). Teach-back: a </w:t>
      </w:r>
    </w:p>
    <w:p w14:paraId="7F730207" w14:textId="77777777" w:rsidR="00005A0A" w:rsidRDefault="00005A0A" w:rsidP="00005A0A">
      <w:pPr>
        <w:spacing w:line="480" w:lineRule="auto"/>
        <w:ind w:left="720"/>
        <w:rPr>
          <w:rFonts w:ascii="Times New Roman" w:hAnsi="Times New Roman" w:cs="Times New Roman"/>
          <w:sz w:val="24"/>
          <w:szCs w:val="24"/>
        </w:rPr>
      </w:pPr>
      <w:r w:rsidRPr="00114086">
        <w:rPr>
          <w:rFonts w:ascii="Times New Roman" w:hAnsi="Times New Roman" w:cs="Times New Roman"/>
          <w:sz w:val="24"/>
          <w:szCs w:val="24"/>
        </w:rPr>
        <w:t>systematic review of implementation and impacts. </w:t>
      </w:r>
      <w:proofErr w:type="spellStart"/>
      <w:r w:rsidRPr="00114086">
        <w:rPr>
          <w:rFonts w:ascii="Times New Roman" w:hAnsi="Times New Roman" w:cs="Times New Roman"/>
          <w:i/>
          <w:iCs/>
          <w:sz w:val="24"/>
          <w:szCs w:val="24"/>
        </w:rPr>
        <w:t>PloS</w:t>
      </w:r>
      <w:proofErr w:type="spellEnd"/>
      <w:r w:rsidRPr="00114086">
        <w:rPr>
          <w:rFonts w:ascii="Times New Roman" w:hAnsi="Times New Roman" w:cs="Times New Roman"/>
          <w:i/>
          <w:iCs/>
          <w:sz w:val="24"/>
          <w:szCs w:val="24"/>
        </w:rPr>
        <w:t xml:space="preserve"> one</w:t>
      </w:r>
      <w:r w:rsidRPr="00114086">
        <w:rPr>
          <w:rFonts w:ascii="Times New Roman" w:hAnsi="Times New Roman" w:cs="Times New Roman"/>
          <w:sz w:val="24"/>
          <w:szCs w:val="24"/>
        </w:rPr>
        <w:t>, </w:t>
      </w:r>
      <w:r w:rsidRPr="00114086">
        <w:rPr>
          <w:rFonts w:ascii="Times New Roman" w:hAnsi="Times New Roman" w:cs="Times New Roman"/>
          <w:i/>
          <w:iCs/>
          <w:sz w:val="24"/>
          <w:szCs w:val="24"/>
        </w:rPr>
        <w:t>15</w:t>
      </w:r>
      <w:r w:rsidRPr="00114086">
        <w:rPr>
          <w:rFonts w:ascii="Times New Roman" w:hAnsi="Times New Roman" w:cs="Times New Roman"/>
          <w:sz w:val="24"/>
          <w:szCs w:val="24"/>
        </w:rPr>
        <w:t xml:space="preserve">(4), e0231350. </w:t>
      </w:r>
      <w:hyperlink r:id="rId14" w:history="1">
        <w:r w:rsidRPr="001F7343">
          <w:rPr>
            <w:rStyle w:val="Hyperlink"/>
            <w:rFonts w:ascii="Times New Roman" w:hAnsi="Times New Roman" w:cs="Times New Roman"/>
            <w:sz w:val="24"/>
            <w:szCs w:val="24"/>
          </w:rPr>
          <w:t>https://doi.org/10.1371/journal.pone.0231350</w:t>
        </w:r>
      </w:hyperlink>
      <w:r>
        <w:rPr>
          <w:rFonts w:ascii="Times New Roman" w:hAnsi="Times New Roman" w:cs="Times New Roman"/>
          <w:sz w:val="24"/>
          <w:szCs w:val="24"/>
        </w:rPr>
        <w:t xml:space="preserve"> </w:t>
      </w:r>
    </w:p>
    <w:p w14:paraId="7A21D43B" w14:textId="77777777" w:rsidR="00005A0A" w:rsidRDefault="00005A0A" w:rsidP="00005A0A">
      <w:pPr>
        <w:spacing w:line="480" w:lineRule="auto"/>
        <w:rPr>
          <w:rFonts w:ascii="Times New Roman" w:hAnsi="Times New Roman" w:cs="Times New Roman"/>
          <w:sz w:val="24"/>
          <w:szCs w:val="24"/>
        </w:rPr>
      </w:pPr>
      <w:r w:rsidRPr="00A0359B">
        <w:rPr>
          <w:rFonts w:ascii="Times New Roman" w:hAnsi="Times New Roman" w:cs="Times New Roman"/>
          <w:sz w:val="24"/>
          <w:szCs w:val="24"/>
        </w:rPr>
        <w:t xml:space="preserve">Tamene, F. B., </w:t>
      </w:r>
      <w:proofErr w:type="spellStart"/>
      <w:r w:rsidRPr="00A0359B">
        <w:rPr>
          <w:rFonts w:ascii="Times New Roman" w:hAnsi="Times New Roman" w:cs="Times New Roman"/>
          <w:sz w:val="24"/>
          <w:szCs w:val="24"/>
        </w:rPr>
        <w:t>Mihiretie</w:t>
      </w:r>
      <w:proofErr w:type="spellEnd"/>
      <w:r w:rsidRPr="00A0359B">
        <w:rPr>
          <w:rFonts w:ascii="Times New Roman" w:hAnsi="Times New Roman" w:cs="Times New Roman"/>
          <w:sz w:val="24"/>
          <w:szCs w:val="24"/>
        </w:rPr>
        <w:t xml:space="preserve">, E. A., Zeleke, T. K., </w:t>
      </w:r>
      <w:proofErr w:type="spellStart"/>
      <w:r w:rsidRPr="00A0359B">
        <w:rPr>
          <w:rFonts w:ascii="Times New Roman" w:hAnsi="Times New Roman" w:cs="Times New Roman"/>
          <w:sz w:val="24"/>
          <w:szCs w:val="24"/>
        </w:rPr>
        <w:t>Sendekie</w:t>
      </w:r>
      <w:proofErr w:type="spellEnd"/>
      <w:r w:rsidRPr="00A0359B">
        <w:rPr>
          <w:rFonts w:ascii="Times New Roman" w:hAnsi="Times New Roman" w:cs="Times New Roman"/>
          <w:sz w:val="24"/>
          <w:szCs w:val="24"/>
        </w:rPr>
        <w:t xml:space="preserve">, A. K., Belachew, E. A., &amp; </w:t>
      </w:r>
      <w:proofErr w:type="spellStart"/>
      <w:r w:rsidRPr="00A0359B">
        <w:rPr>
          <w:rFonts w:ascii="Times New Roman" w:hAnsi="Times New Roman" w:cs="Times New Roman"/>
          <w:sz w:val="24"/>
          <w:szCs w:val="24"/>
        </w:rPr>
        <w:t>Wondm</w:t>
      </w:r>
      <w:proofErr w:type="spellEnd"/>
      <w:r w:rsidRPr="00A0359B">
        <w:rPr>
          <w:rFonts w:ascii="Times New Roman" w:hAnsi="Times New Roman" w:cs="Times New Roman"/>
          <w:sz w:val="24"/>
          <w:szCs w:val="24"/>
        </w:rPr>
        <w:t xml:space="preserve">, S. A. </w:t>
      </w:r>
    </w:p>
    <w:p w14:paraId="7ED7C7DA" w14:textId="77777777" w:rsidR="00005A0A" w:rsidRDefault="00005A0A" w:rsidP="00005A0A">
      <w:pPr>
        <w:spacing w:line="480" w:lineRule="auto"/>
        <w:ind w:left="720"/>
        <w:rPr>
          <w:rFonts w:ascii="Times New Roman" w:hAnsi="Times New Roman" w:cs="Times New Roman"/>
          <w:sz w:val="24"/>
          <w:szCs w:val="24"/>
        </w:rPr>
      </w:pPr>
      <w:r w:rsidRPr="00A0359B">
        <w:rPr>
          <w:rFonts w:ascii="Times New Roman" w:hAnsi="Times New Roman" w:cs="Times New Roman"/>
          <w:sz w:val="24"/>
          <w:szCs w:val="24"/>
        </w:rPr>
        <w:t>(2025). Medication non-adherence and its predictors among patients with bipolar disorder in Northwest Ethiopia. </w:t>
      </w:r>
      <w:r w:rsidRPr="00A0359B">
        <w:rPr>
          <w:rFonts w:ascii="Times New Roman" w:hAnsi="Times New Roman" w:cs="Times New Roman"/>
          <w:i/>
          <w:iCs/>
          <w:sz w:val="24"/>
          <w:szCs w:val="24"/>
        </w:rPr>
        <w:t>Scientific Reports</w:t>
      </w:r>
      <w:r w:rsidRPr="00A0359B">
        <w:rPr>
          <w:rFonts w:ascii="Times New Roman" w:hAnsi="Times New Roman" w:cs="Times New Roman"/>
          <w:sz w:val="24"/>
          <w:szCs w:val="24"/>
        </w:rPr>
        <w:t>, </w:t>
      </w:r>
      <w:r w:rsidRPr="00A0359B">
        <w:rPr>
          <w:rFonts w:ascii="Times New Roman" w:hAnsi="Times New Roman" w:cs="Times New Roman"/>
          <w:i/>
          <w:iCs/>
          <w:sz w:val="24"/>
          <w:szCs w:val="24"/>
        </w:rPr>
        <w:t>15</w:t>
      </w:r>
      <w:r w:rsidRPr="00A0359B">
        <w:rPr>
          <w:rFonts w:ascii="Times New Roman" w:hAnsi="Times New Roman" w:cs="Times New Roman"/>
          <w:sz w:val="24"/>
          <w:szCs w:val="24"/>
        </w:rPr>
        <w:t>(1), 1192.</w:t>
      </w:r>
      <w:r>
        <w:rPr>
          <w:rFonts w:ascii="Times New Roman" w:hAnsi="Times New Roman" w:cs="Times New Roman"/>
          <w:sz w:val="24"/>
          <w:szCs w:val="24"/>
        </w:rPr>
        <w:t xml:space="preserve"> </w:t>
      </w:r>
      <w:hyperlink r:id="rId15" w:history="1">
        <w:r w:rsidRPr="001F7343">
          <w:rPr>
            <w:rStyle w:val="Hyperlink"/>
            <w:rFonts w:ascii="Times New Roman" w:hAnsi="Times New Roman" w:cs="Times New Roman"/>
            <w:sz w:val="24"/>
            <w:szCs w:val="24"/>
          </w:rPr>
          <w:t>https://doi.org/10.1038/s41598-025-85379-3</w:t>
        </w:r>
      </w:hyperlink>
      <w:r>
        <w:rPr>
          <w:rFonts w:ascii="Times New Roman" w:hAnsi="Times New Roman" w:cs="Times New Roman"/>
          <w:sz w:val="24"/>
          <w:szCs w:val="24"/>
        </w:rPr>
        <w:t xml:space="preserve"> </w:t>
      </w:r>
    </w:p>
    <w:p w14:paraId="371AF01B" w14:textId="77777777" w:rsidR="00005A0A" w:rsidRDefault="00005A0A" w:rsidP="00005A0A">
      <w:pPr>
        <w:spacing w:line="480" w:lineRule="auto"/>
        <w:rPr>
          <w:rFonts w:ascii="Times New Roman" w:hAnsi="Times New Roman" w:cs="Times New Roman"/>
          <w:sz w:val="24"/>
          <w:szCs w:val="24"/>
        </w:rPr>
      </w:pPr>
      <w:r w:rsidRPr="00124FBD">
        <w:rPr>
          <w:rFonts w:ascii="Times New Roman" w:hAnsi="Times New Roman" w:cs="Times New Roman"/>
          <w:sz w:val="24"/>
          <w:szCs w:val="24"/>
        </w:rPr>
        <w:t xml:space="preserve">Youn, H., Lee, M. S., Jeong, H. G., &amp; Kim, S. H. (2022). Evaluation of factors associated with </w:t>
      </w:r>
    </w:p>
    <w:p w14:paraId="1F7A03AB" w14:textId="77777777" w:rsidR="00005A0A" w:rsidRPr="00114086" w:rsidRDefault="00005A0A" w:rsidP="00005A0A">
      <w:pPr>
        <w:spacing w:line="480" w:lineRule="auto"/>
        <w:ind w:left="720"/>
        <w:rPr>
          <w:rFonts w:ascii="Times New Roman" w:hAnsi="Times New Roman" w:cs="Times New Roman"/>
          <w:sz w:val="24"/>
          <w:szCs w:val="24"/>
        </w:rPr>
      </w:pPr>
      <w:r w:rsidRPr="00124FBD">
        <w:rPr>
          <w:rFonts w:ascii="Times New Roman" w:hAnsi="Times New Roman" w:cs="Times New Roman"/>
          <w:sz w:val="24"/>
          <w:szCs w:val="24"/>
        </w:rPr>
        <w:t>medication adherence in patients with bipolar disorder using a medication event monitoring system: a 6‐month follow‐up prospective study. </w:t>
      </w:r>
      <w:r w:rsidRPr="00124FBD">
        <w:rPr>
          <w:rFonts w:ascii="Times New Roman" w:hAnsi="Times New Roman" w:cs="Times New Roman"/>
          <w:i/>
          <w:iCs/>
          <w:sz w:val="24"/>
          <w:szCs w:val="24"/>
        </w:rPr>
        <w:t>Annals of General Psychiatry</w:t>
      </w:r>
      <w:r w:rsidRPr="00124FBD">
        <w:rPr>
          <w:rFonts w:ascii="Times New Roman" w:hAnsi="Times New Roman" w:cs="Times New Roman"/>
          <w:sz w:val="24"/>
          <w:szCs w:val="24"/>
        </w:rPr>
        <w:t>, </w:t>
      </w:r>
      <w:r w:rsidRPr="00124FBD">
        <w:rPr>
          <w:rFonts w:ascii="Times New Roman" w:hAnsi="Times New Roman" w:cs="Times New Roman"/>
          <w:i/>
          <w:iCs/>
          <w:sz w:val="24"/>
          <w:szCs w:val="24"/>
        </w:rPr>
        <w:t>21</w:t>
      </w:r>
      <w:r w:rsidRPr="00124FBD">
        <w:rPr>
          <w:rFonts w:ascii="Times New Roman" w:hAnsi="Times New Roman" w:cs="Times New Roman"/>
          <w:sz w:val="24"/>
          <w:szCs w:val="24"/>
        </w:rPr>
        <w:t>(1), 33.</w:t>
      </w:r>
      <w:r>
        <w:rPr>
          <w:rFonts w:ascii="Times New Roman" w:hAnsi="Times New Roman" w:cs="Times New Roman"/>
          <w:sz w:val="24"/>
          <w:szCs w:val="24"/>
        </w:rPr>
        <w:t xml:space="preserve"> </w:t>
      </w:r>
      <w:hyperlink r:id="rId16" w:history="1">
        <w:r w:rsidRPr="001F7343">
          <w:rPr>
            <w:rStyle w:val="Hyperlink"/>
            <w:rFonts w:ascii="Times New Roman" w:hAnsi="Times New Roman" w:cs="Times New Roman"/>
            <w:sz w:val="24"/>
            <w:szCs w:val="24"/>
          </w:rPr>
          <w:t>https://doi.org/10.1186/s12991-022-00411-4</w:t>
        </w:r>
      </w:hyperlink>
      <w:r>
        <w:rPr>
          <w:rFonts w:ascii="Times New Roman" w:hAnsi="Times New Roman" w:cs="Times New Roman"/>
          <w:sz w:val="24"/>
          <w:szCs w:val="24"/>
        </w:rPr>
        <w:t xml:space="preserve"> </w:t>
      </w:r>
    </w:p>
    <w:p w14:paraId="26EB7204" w14:textId="77777777" w:rsidR="00005A0A" w:rsidRDefault="00005A0A" w:rsidP="00005A0A"/>
    <w:p w14:paraId="3181D474" w14:textId="77777777" w:rsidR="00005A0A" w:rsidRDefault="00005A0A" w:rsidP="00005A0A"/>
    <w:p w14:paraId="7768E1E2" w14:textId="77777777" w:rsidR="00036B41" w:rsidRDefault="00036B41"/>
    <w:sectPr w:rsidR="00036B41" w:rsidSect="00005A0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492E" w14:textId="77777777" w:rsidR="001C3698" w:rsidRDefault="001C3698">
      <w:pPr>
        <w:spacing w:after="0" w:line="240" w:lineRule="auto"/>
      </w:pPr>
      <w:r>
        <w:separator/>
      </w:r>
    </w:p>
  </w:endnote>
  <w:endnote w:type="continuationSeparator" w:id="0">
    <w:p w14:paraId="27BBEA9B" w14:textId="77777777" w:rsidR="001C3698" w:rsidRDefault="001C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7F60" w14:textId="77777777" w:rsidR="001C3698" w:rsidRDefault="001C3698">
      <w:pPr>
        <w:spacing w:after="0" w:line="240" w:lineRule="auto"/>
      </w:pPr>
      <w:r>
        <w:separator/>
      </w:r>
    </w:p>
  </w:footnote>
  <w:footnote w:type="continuationSeparator" w:id="0">
    <w:p w14:paraId="1432EFB6" w14:textId="77777777" w:rsidR="001C3698" w:rsidRDefault="001C3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502051"/>
      <w:docPartObj>
        <w:docPartGallery w:val="Page Numbers (Top of Page)"/>
        <w:docPartUnique/>
      </w:docPartObj>
    </w:sdtPr>
    <w:sdtEndPr>
      <w:rPr>
        <w:noProof/>
      </w:rPr>
    </w:sdtEndPr>
    <w:sdtContent>
      <w:p w14:paraId="0C27C4A3" w14:textId="77777777" w:rsidR="003516F6"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AF4C72" w14:textId="77777777" w:rsidR="003516F6" w:rsidRDefault="003516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0A"/>
    <w:rsid w:val="00005A0A"/>
    <w:rsid w:val="00036B41"/>
    <w:rsid w:val="000A79DE"/>
    <w:rsid w:val="000D1795"/>
    <w:rsid w:val="00157E11"/>
    <w:rsid w:val="001B31D3"/>
    <w:rsid w:val="001C3698"/>
    <w:rsid w:val="002963FD"/>
    <w:rsid w:val="002B72A5"/>
    <w:rsid w:val="003365ED"/>
    <w:rsid w:val="003516F6"/>
    <w:rsid w:val="003C4E36"/>
    <w:rsid w:val="004872DE"/>
    <w:rsid w:val="00520F55"/>
    <w:rsid w:val="00590583"/>
    <w:rsid w:val="006E01F0"/>
    <w:rsid w:val="007574D4"/>
    <w:rsid w:val="00926BB5"/>
    <w:rsid w:val="009349D2"/>
    <w:rsid w:val="00957F02"/>
    <w:rsid w:val="00B6147C"/>
    <w:rsid w:val="00B7414E"/>
    <w:rsid w:val="00BA00A6"/>
    <w:rsid w:val="00D7680B"/>
    <w:rsid w:val="00ED1B20"/>
    <w:rsid w:val="00EE7BD2"/>
    <w:rsid w:val="00F3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ECB3"/>
  <w15:chartTrackingRefBased/>
  <w15:docId w15:val="{214D8237-30AD-4E10-B8F6-B44418B1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0A"/>
    <w:pPr>
      <w:spacing w:line="259" w:lineRule="auto"/>
    </w:pPr>
    <w:rPr>
      <w:sz w:val="22"/>
      <w:szCs w:val="22"/>
      <w:lang w:val="en-GB"/>
      <w14:ligatures w14:val="none"/>
    </w:rPr>
  </w:style>
  <w:style w:type="paragraph" w:styleId="Heading1">
    <w:name w:val="heading 1"/>
    <w:basedOn w:val="Normal"/>
    <w:next w:val="Normal"/>
    <w:link w:val="Heading1Char"/>
    <w:uiPriority w:val="9"/>
    <w:qFormat/>
    <w:rsid w:val="00005A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A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A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A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A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A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A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A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A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A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A0A"/>
    <w:rPr>
      <w:rFonts w:eastAsiaTheme="majorEastAsia" w:cstheme="majorBidi"/>
      <w:color w:val="272727" w:themeColor="text1" w:themeTint="D8"/>
    </w:rPr>
  </w:style>
  <w:style w:type="paragraph" w:styleId="Title">
    <w:name w:val="Title"/>
    <w:basedOn w:val="Normal"/>
    <w:next w:val="Normal"/>
    <w:link w:val="TitleChar"/>
    <w:uiPriority w:val="10"/>
    <w:qFormat/>
    <w:rsid w:val="00005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A0A"/>
    <w:pPr>
      <w:spacing w:before="160"/>
      <w:jc w:val="center"/>
    </w:pPr>
    <w:rPr>
      <w:i/>
      <w:iCs/>
      <w:color w:val="404040" w:themeColor="text1" w:themeTint="BF"/>
    </w:rPr>
  </w:style>
  <w:style w:type="character" w:customStyle="1" w:styleId="QuoteChar">
    <w:name w:val="Quote Char"/>
    <w:basedOn w:val="DefaultParagraphFont"/>
    <w:link w:val="Quote"/>
    <w:uiPriority w:val="29"/>
    <w:rsid w:val="00005A0A"/>
    <w:rPr>
      <w:i/>
      <w:iCs/>
      <w:color w:val="404040" w:themeColor="text1" w:themeTint="BF"/>
    </w:rPr>
  </w:style>
  <w:style w:type="paragraph" w:styleId="ListParagraph">
    <w:name w:val="List Paragraph"/>
    <w:basedOn w:val="Normal"/>
    <w:uiPriority w:val="34"/>
    <w:qFormat/>
    <w:rsid w:val="00005A0A"/>
    <w:pPr>
      <w:ind w:left="720"/>
      <w:contextualSpacing/>
    </w:pPr>
  </w:style>
  <w:style w:type="character" w:styleId="IntenseEmphasis">
    <w:name w:val="Intense Emphasis"/>
    <w:basedOn w:val="DefaultParagraphFont"/>
    <w:uiPriority w:val="21"/>
    <w:qFormat/>
    <w:rsid w:val="00005A0A"/>
    <w:rPr>
      <w:i/>
      <w:iCs/>
      <w:color w:val="2F5496" w:themeColor="accent1" w:themeShade="BF"/>
    </w:rPr>
  </w:style>
  <w:style w:type="paragraph" w:styleId="IntenseQuote">
    <w:name w:val="Intense Quote"/>
    <w:basedOn w:val="Normal"/>
    <w:next w:val="Normal"/>
    <w:link w:val="IntenseQuoteChar"/>
    <w:uiPriority w:val="30"/>
    <w:qFormat/>
    <w:rsid w:val="00005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A0A"/>
    <w:rPr>
      <w:i/>
      <w:iCs/>
      <w:color w:val="2F5496" w:themeColor="accent1" w:themeShade="BF"/>
    </w:rPr>
  </w:style>
  <w:style w:type="character" w:styleId="IntenseReference">
    <w:name w:val="Intense Reference"/>
    <w:basedOn w:val="DefaultParagraphFont"/>
    <w:uiPriority w:val="32"/>
    <w:qFormat/>
    <w:rsid w:val="00005A0A"/>
    <w:rPr>
      <w:b/>
      <w:bCs/>
      <w:smallCaps/>
      <w:color w:val="2F5496" w:themeColor="accent1" w:themeShade="BF"/>
      <w:spacing w:val="5"/>
    </w:rPr>
  </w:style>
  <w:style w:type="paragraph" w:styleId="Header">
    <w:name w:val="header"/>
    <w:basedOn w:val="Normal"/>
    <w:link w:val="HeaderChar"/>
    <w:uiPriority w:val="99"/>
    <w:unhideWhenUsed/>
    <w:rsid w:val="00005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A0A"/>
    <w:rPr>
      <w:sz w:val="22"/>
      <w:szCs w:val="22"/>
      <w:lang w:val="en-GB"/>
      <w14:ligatures w14:val="none"/>
    </w:rPr>
  </w:style>
  <w:style w:type="character" w:styleId="Hyperlink">
    <w:name w:val="Hyperlink"/>
    <w:basedOn w:val="DefaultParagraphFont"/>
    <w:uiPriority w:val="99"/>
    <w:unhideWhenUsed/>
    <w:rsid w:val="00005A0A"/>
    <w:rPr>
      <w:color w:val="0563C1" w:themeColor="hyperlink"/>
      <w:u w:val="single"/>
    </w:rPr>
  </w:style>
  <w:style w:type="character" w:styleId="CommentReference">
    <w:name w:val="annotation reference"/>
    <w:basedOn w:val="DefaultParagraphFont"/>
    <w:uiPriority w:val="99"/>
    <w:semiHidden/>
    <w:unhideWhenUsed/>
    <w:rsid w:val="00005A0A"/>
    <w:rPr>
      <w:sz w:val="16"/>
      <w:szCs w:val="16"/>
    </w:rPr>
  </w:style>
  <w:style w:type="paragraph" w:styleId="CommentText">
    <w:name w:val="annotation text"/>
    <w:basedOn w:val="Normal"/>
    <w:link w:val="CommentTextChar"/>
    <w:uiPriority w:val="99"/>
    <w:unhideWhenUsed/>
    <w:rsid w:val="00005A0A"/>
    <w:pPr>
      <w:spacing w:line="240" w:lineRule="auto"/>
    </w:pPr>
    <w:rPr>
      <w:sz w:val="20"/>
      <w:szCs w:val="20"/>
    </w:rPr>
  </w:style>
  <w:style w:type="character" w:customStyle="1" w:styleId="CommentTextChar">
    <w:name w:val="Comment Text Char"/>
    <w:basedOn w:val="DefaultParagraphFont"/>
    <w:link w:val="CommentText"/>
    <w:uiPriority w:val="99"/>
    <w:rsid w:val="00005A0A"/>
    <w:rPr>
      <w:sz w:val="20"/>
      <w:szCs w:val="20"/>
      <w:lang w:val="en-GB"/>
      <w14:ligatures w14:val="none"/>
    </w:rPr>
  </w:style>
  <w:style w:type="character" w:styleId="UnresolvedMention">
    <w:name w:val="Unresolved Mention"/>
    <w:basedOn w:val="DefaultParagraphFont"/>
    <w:uiPriority w:val="99"/>
    <w:semiHidden/>
    <w:unhideWhenUsed/>
    <w:rsid w:val="00EE7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ealthcare12232337" TargetMode="External"/><Relationship Id="rId13" Type="http://schemas.openxmlformats.org/officeDocument/2006/relationships/hyperlink" Target="https://doi.org/10.1186/s13643-020-1274-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cholarworks.waldenu.edu/dissertations/16725" TargetMode="External"/><Relationship Id="rId12" Type="http://schemas.openxmlformats.org/officeDocument/2006/relationships/hyperlink" Target="https://doi.org/10.3390/ijerph18191021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186/s12991-022-00411-4"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doi.org/10.3390/healthcare10030492" TargetMode="External"/><Relationship Id="rId5" Type="http://schemas.openxmlformats.org/officeDocument/2006/relationships/endnotes" Target="endnotes.xml"/><Relationship Id="rId15" Type="http://schemas.openxmlformats.org/officeDocument/2006/relationships/hyperlink" Target="https://doi.org/10.1038/s41598-025-85379-3" TargetMode="External"/><Relationship Id="rId10" Type="http://schemas.openxmlformats.org/officeDocument/2006/relationships/hyperlink" Target="https://doi.org/10.3389/fmed.2022.918686" TargetMode="External"/><Relationship Id="rId4" Type="http://schemas.openxmlformats.org/officeDocument/2006/relationships/footnotes" Target="footnotes.xml"/><Relationship Id="rId9" Type="http://schemas.openxmlformats.org/officeDocument/2006/relationships/hyperlink" Target="https://doi.org/10.1186/s12991-023-00440-7" TargetMode="External"/><Relationship Id="rId14" Type="http://schemas.openxmlformats.org/officeDocument/2006/relationships/hyperlink" Target="https://doi.org/10.1371/journal.pone.0231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2330</Words>
  <Characters>13286</Characters>
  <Application>Microsoft Office Word</Application>
  <DocSecurity>0</DocSecurity>
  <Lines>110</Lines>
  <Paragraphs>31</Paragraphs>
  <ScaleCrop>false</ScaleCrop>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2025-04-09T08:24:00Z</dcterms:created>
  <dcterms:modified xsi:type="dcterms:W3CDTF">2025-04-09T09:46:00Z</dcterms:modified>
</cp:coreProperties>
</file>