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81145" w:rsidRDefault="003072D9">
      <w:r>
        <w:t>Implementation plan</w:t>
      </w:r>
    </w:p>
    <w:p w14:paraId="00000002" w14:textId="77777777" w:rsidR="00681145" w:rsidRDefault="00681145"/>
    <w:p w14:paraId="00000003" w14:textId="77777777" w:rsidR="00681145" w:rsidRDefault="003072D9">
      <w:pPr>
        <w:rPr>
          <w:rFonts w:ascii="Lobster" w:eastAsia="Lobster" w:hAnsi="Lobster" w:cs="Lobster"/>
        </w:rPr>
      </w:pPr>
      <w:r>
        <w:rPr>
          <w:rFonts w:ascii="Lobster" w:eastAsia="Lobster" w:hAnsi="Lobster" w:cs="Lobster"/>
        </w:rPr>
        <w:t xml:space="preserve">Pre-intervention period </w:t>
      </w:r>
    </w:p>
    <w:p w14:paraId="00000004" w14:textId="77777777" w:rsidR="00681145" w:rsidRDefault="003072D9">
      <w:r>
        <w:t>(AHRQ)obtain leadership buy-in and identify champion</w:t>
      </w:r>
    </w:p>
    <w:p w14:paraId="00000005" w14:textId="77777777" w:rsidR="00681145" w:rsidRDefault="003072D9">
      <w:pPr>
        <w:numPr>
          <w:ilvl w:val="0"/>
          <w:numId w:val="3"/>
        </w:numPr>
      </w:pPr>
      <w:r>
        <w:t xml:space="preserve"> Recruitment of Participants: </w:t>
      </w:r>
    </w:p>
    <w:p w14:paraId="00000006" w14:textId="6353A635" w:rsidR="00681145" w:rsidRDefault="003072D9">
      <w:pPr>
        <w:ind w:left="720"/>
      </w:pPr>
      <w:r>
        <w:t xml:space="preserve">The practicum site has approved the introduction of the teach-back method as a quality improvement on the standard of practice for interacting with bipolar disorder patients. </w:t>
      </w:r>
      <w:r>
        <w:rPr>
          <w:color w:val="FF00FF"/>
        </w:rPr>
        <w:t>As such, no informed consent is required (WE MAY NOT NEED IRB APPROVAL BUT LACK O</w:t>
      </w:r>
      <w:r>
        <w:rPr>
          <w:color w:val="FF00FF"/>
        </w:rPr>
        <w:t>F CONSENT IN USA IS NEW TO ME)</w:t>
      </w:r>
      <w:r>
        <w:t>. The announcement about the project will be done on all routine staff meetings held over a period of two weeks prior to the commencement of the intervention. The notice will outline the purpose of the intervention, the interv</w:t>
      </w:r>
      <w:r>
        <w:t>ention period, the schedules for individualized</w:t>
      </w:r>
      <w:r>
        <w:t xml:space="preserve">-training sessions, and dates for the weekly huddles. Consequently, the notice will emphasize on the voluntary participation and exit at any period of the intervention without retribution. Printed and digital </w:t>
      </w:r>
      <w:r>
        <w:t xml:space="preserve">copies of the notice will be available for pick up during the staff meeting announcement. </w:t>
      </w:r>
    </w:p>
    <w:p w14:paraId="00000007" w14:textId="77777777" w:rsidR="00681145" w:rsidRDefault="003072D9">
      <w:pPr>
        <w:numPr>
          <w:ilvl w:val="0"/>
          <w:numId w:val="3"/>
        </w:numPr>
      </w:pPr>
      <w:r>
        <w:t xml:space="preserve"> Pre-intervention data collection </w:t>
      </w:r>
    </w:p>
    <w:p w14:paraId="00000008" w14:textId="39045DDF" w:rsidR="00681145" w:rsidRDefault="003072D9">
      <w:pPr>
        <w:ind w:left="720"/>
      </w:pPr>
      <w:r>
        <w:t>Eligible Staff members who voluntarily agree to participate will complete the Confidence and Conviction Scale (CSS) and book an ap</w:t>
      </w:r>
      <w:r>
        <w:t>pointment for their training session. To protect confidentiality and easy data handling the enrolled participants will be asked to create and label their CSS form with a four figure identifier that they can remember over a period of 10 weeks. Consequently,</w:t>
      </w:r>
      <w:r>
        <w:t xml:space="preserve"> </w:t>
      </w:r>
      <w:r>
        <w:t xml:space="preserve">a sealed box labeled ‘Pre-intervention’ with an opening to ballot the filled CCS forms will be provided. </w:t>
      </w:r>
      <w:r>
        <w:rPr>
          <w:color w:val="FF0000"/>
        </w:rPr>
        <w:t xml:space="preserve">Hourly appointments to teach-back training sessions will be given to enrolled participants in line with the practicum site </w:t>
      </w:r>
      <w:proofErr w:type="spellStart"/>
      <w:r>
        <w:rPr>
          <w:color w:val="FF0000"/>
        </w:rPr>
        <w:t>authorisation</w:t>
      </w:r>
      <w:proofErr w:type="spellEnd"/>
      <w:r>
        <w:rPr>
          <w:color w:val="FF0000"/>
        </w:rPr>
        <w:t xml:space="preserve"> of a maximum o</w:t>
      </w:r>
      <w:r>
        <w:rPr>
          <w:color w:val="FF0000"/>
        </w:rPr>
        <w:t xml:space="preserve">f four training sessions per day for one week. </w:t>
      </w:r>
    </w:p>
    <w:p w14:paraId="00000009" w14:textId="77777777" w:rsidR="00681145" w:rsidRDefault="003072D9">
      <w:pPr>
        <w:rPr>
          <w:rFonts w:ascii="Lobster" w:eastAsia="Lobster" w:hAnsi="Lobster" w:cs="Lobster"/>
        </w:rPr>
      </w:pPr>
      <w:r>
        <w:rPr>
          <w:rFonts w:ascii="Lobster" w:eastAsia="Lobster" w:hAnsi="Lobster" w:cs="Lobster"/>
        </w:rPr>
        <w:t>Week 1: KTA model phase 4. Select, tailor, implement intervention</w:t>
      </w:r>
    </w:p>
    <w:p w14:paraId="0000000A" w14:textId="77777777" w:rsidR="00681145" w:rsidRDefault="003072D9">
      <w:pPr>
        <w:numPr>
          <w:ilvl w:val="0"/>
          <w:numId w:val="3"/>
        </w:numPr>
      </w:pPr>
      <w:r>
        <w:t xml:space="preserve">The teach-back training </w:t>
      </w:r>
    </w:p>
    <w:p w14:paraId="0000000B" w14:textId="3918F6A5" w:rsidR="00681145" w:rsidRDefault="003072D9">
      <w:pPr>
        <w:ind w:left="720"/>
      </w:pPr>
      <w:r>
        <w:t>Each enrolled participant will receive an Individualized</w:t>
      </w:r>
      <w:r>
        <w:t xml:space="preserve"> 60 minute teach-back training session consisting of:</w:t>
      </w:r>
    </w:p>
    <w:p w14:paraId="0000000C" w14:textId="77777777" w:rsidR="00681145" w:rsidRDefault="003072D9">
      <w:pPr>
        <w:numPr>
          <w:ilvl w:val="0"/>
          <w:numId w:val="2"/>
        </w:numPr>
      </w:pPr>
      <w:r>
        <w:t>A short</w:t>
      </w:r>
      <w:r>
        <w:t xml:space="preserve"> review of why teach-back use is recommended for bipolar patients </w:t>
      </w:r>
    </w:p>
    <w:p w14:paraId="0000000D" w14:textId="77777777" w:rsidR="00681145" w:rsidRDefault="003072D9">
      <w:pPr>
        <w:ind w:left="720"/>
      </w:pPr>
      <w:r>
        <w:t>(readmission rates, medication non-adherence</w:t>
      </w:r>
      <w:r>
        <w:rPr>
          <w:color w:val="FF0000"/>
        </w:rPr>
        <w:t xml:space="preserve">, </w:t>
      </w:r>
      <w:proofErr w:type="spellStart"/>
      <w:r>
        <w:rPr>
          <w:color w:val="FF0000"/>
        </w:rPr>
        <w:t>etc</w:t>
      </w:r>
      <w:proofErr w:type="spellEnd"/>
      <w:r>
        <w:t xml:space="preserve">) and instances when required (medication education, follow-up information </w:t>
      </w:r>
      <w:proofErr w:type="spellStart"/>
      <w:r>
        <w:rPr>
          <w:color w:val="FF0000"/>
        </w:rPr>
        <w:t>etc</w:t>
      </w:r>
      <w:proofErr w:type="spellEnd"/>
      <w:r>
        <w:t>).</w:t>
      </w:r>
    </w:p>
    <w:p w14:paraId="0000000E" w14:textId="77777777" w:rsidR="00681145" w:rsidRDefault="003072D9">
      <w:pPr>
        <w:ind w:left="720"/>
      </w:pPr>
      <w:r>
        <w:t xml:space="preserve">-approximately 10 minutes  </w:t>
      </w:r>
    </w:p>
    <w:p w14:paraId="0000000F" w14:textId="77777777" w:rsidR="00681145" w:rsidRDefault="003072D9">
      <w:pPr>
        <w:numPr>
          <w:ilvl w:val="0"/>
          <w:numId w:val="2"/>
        </w:numPr>
      </w:pPr>
      <w:r>
        <w:t>“Always teach back Toolkit”</w:t>
      </w:r>
    </w:p>
    <w:p w14:paraId="00000010" w14:textId="77777777" w:rsidR="00681145" w:rsidRDefault="003072D9">
      <w:pPr>
        <w:numPr>
          <w:ilvl w:val="0"/>
          <w:numId w:val="4"/>
        </w:numPr>
      </w:pPr>
      <w:r>
        <w:t>Int</w:t>
      </w:r>
      <w:r>
        <w:t xml:space="preserve">eractive module- The participant will be introduced to the online interactive training -approximately 30 minutes per session </w:t>
      </w:r>
    </w:p>
    <w:p w14:paraId="00000011" w14:textId="77777777" w:rsidR="00681145" w:rsidRDefault="003072D9">
      <w:pPr>
        <w:numPr>
          <w:ilvl w:val="0"/>
          <w:numId w:val="4"/>
        </w:numPr>
      </w:pPr>
      <w:r>
        <w:t>Teach back resources- Interactive module and handouts- teach-back guide (1page) and teach back aid (1 page)</w:t>
      </w:r>
    </w:p>
    <w:p w14:paraId="00000012" w14:textId="77777777" w:rsidR="00681145" w:rsidRDefault="003072D9">
      <w:pPr>
        <w:ind w:left="720"/>
      </w:pPr>
      <w:r>
        <w:t>-approximately 10 minu</w:t>
      </w:r>
      <w:r>
        <w:t xml:space="preserve">tes </w:t>
      </w:r>
    </w:p>
    <w:p w14:paraId="00000013" w14:textId="77777777" w:rsidR="00681145" w:rsidRDefault="003072D9">
      <w:pPr>
        <w:numPr>
          <w:ilvl w:val="0"/>
          <w:numId w:val="2"/>
        </w:numPr>
      </w:pPr>
      <w:r>
        <w:t>Role Play: 5 minutes</w:t>
      </w:r>
    </w:p>
    <w:p w14:paraId="00000014" w14:textId="77777777" w:rsidR="00681145" w:rsidRDefault="003072D9">
      <w:pPr>
        <w:ind w:left="720"/>
      </w:pPr>
      <w:r>
        <w:t xml:space="preserve">I will assume the roles of clients with bipolar disorder reporting to the clinic for readmission, first visit, refills, follow-up </w:t>
      </w:r>
      <w:proofErr w:type="spellStart"/>
      <w:r>
        <w:rPr>
          <w:color w:val="FF0000"/>
        </w:rPr>
        <w:t>etc</w:t>
      </w:r>
      <w:proofErr w:type="spellEnd"/>
      <w:r>
        <w:t xml:space="preserve"> and ask the participants to attend to my needs using the teach-back method. Alternatively, the p</w:t>
      </w:r>
      <w:r>
        <w:t xml:space="preserve">articipants will be free to play the role of the patient and I assume the role of the care provider. </w:t>
      </w:r>
    </w:p>
    <w:p w14:paraId="00000015" w14:textId="77777777" w:rsidR="00681145" w:rsidRDefault="003072D9">
      <w:pPr>
        <w:ind w:left="720"/>
      </w:pPr>
      <w:r>
        <w:t xml:space="preserve">-approximately 5 minutes  </w:t>
      </w:r>
    </w:p>
    <w:p w14:paraId="00000016" w14:textId="77777777" w:rsidR="00681145" w:rsidRDefault="003072D9">
      <w:pPr>
        <w:numPr>
          <w:ilvl w:val="0"/>
          <w:numId w:val="2"/>
        </w:numPr>
      </w:pPr>
      <w:r>
        <w:t>Intervention guidelines</w:t>
      </w:r>
    </w:p>
    <w:p w14:paraId="00000017" w14:textId="77777777" w:rsidR="00681145" w:rsidRDefault="003072D9">
      <w:pPr>
        <w:ind w:left="720"/>
      </w:pPr>
      <w:r>
        <w:lastRenderedPageBreak/>
        <w:t>I will request the participants to adhere to the teach-back toolkit when attending to patients with Bip</w:t>
      </w:r>
      <w:r>
        <w:t xml:space="preserve">olar Disorder. To offer a real time support system to the participants, I will also provide my contact and the project heroes' contact. </w:t>
      </w:r>
    </w:p>
    <w:p w14:paraId="00000018" w14:textId="77777777" w:rsidR="00681145" w:rsidRDefault="00681145">
      <w:pPr>
        <w:ind w:left="720"/>
      </w:pPr>
    </w:p>
    <w:p w14:paraId="00000019" w14:textId="77777777" w:rsidR="00681145" w:rsidRDefault="00681145"/>
    <w:p w14:paraId="0000001A" w14:textId="77777777" w:rsidR="00681145" w:rsidRDefault="003072D9">
      <w:pPr>
        <w:rPr>
          <w:rFonts w:ascii="Lobster" w:eastAsia="Lobster" w:hAnsi="Lobster" w:cs="Lobster"/>
        </w:rPr>
      </w:pPr>
      <w:r>
        <w:rPr>
          <w:rFonts w:ascii="Lobster" w:eastAsia="Lobster" w:hAnsi="Lobster" w:cs="Lobster"/>
        </w:rPr>
        <w:t>Week 2-9</w:t>
      </w:r>
    </w:p>
    <w:p w14:paraId="0000001B" w14:textId="77777777" w:rsidR="00681145" w:rsidRDefault="00681145">
      <w:pPr>
        <w:rPr>
          <w:rFonts w:ascii="Lobster" w:eastAsia="Lobster" w:hAnsi="Lobster" w:cs="Lobster"/>
        </w:rPr>
      </w:pPr>
    </w:p>
    <w:p w14:paraId="0000001C" w14:textId="77777777" w:rsidR="00681145" w:rsidRDefault="003072D9">
      <w:r>
        <w:rPr>
          <w:rFonts w:ascii="Lobster" w:eastAsia="Lobster" w:hAnsi="Lobster" w:cs="Lobster"/>
        </w:rPr>
        <w:t xml:space="preserve">KTA </w:t>
      </w:r>
      <w:proofErr w:type="gramStart"/>
      <w:r>
        <w:rPr>
          <w:rFonts w:ascii="Lobster" w:eastAsia="Lobster" w:hAnsi="Lobster" w:cs="Lobster"/>
        </w:rPr>
        <w:t>Model  phase</w:t>
      </w:r>
      <w:proofErr w:type="gramEnd"/>
      <w:r>
        <w:rPr>
          <w:rFonts w:ascii="Lobster" w:eastAsia="Lobster" w:hAnsi="Lobster" w:cs="Lobster"/>
        </w:rPr>
        <w:t xml:space="preserve"> 5. Monitor knowledge use </w:t>
      </w:r>
    </w:p>
    <w:p w14:paraId="0000001D" w14:textId="77777777" w:rsidR="00681145" w:rsidRDefault="00681145"/>
    <w:p w14:paraId="0000001E" w14:textId="77777777" w:rsidR="00681145" w:rsidRDefault="003072D9">
      <w:r>
        <w:t xml:space="preserve">Week 2-9:  Implementation phase </w:t>
      </w:r>
    </w:p>
    <w:p w14:paraId="0000001F" w14:textId="77777777" w:rsidR="00681145" w:rsidRDefault="003072D9">
      <w:pPr>
        <w:numPr>
          <w:ilvl w:val="0"/>
          <w:numId w:val="1"/>
        </w:numPr>
        <w:rPr>
          <w:color w:val="0000FF"/>
        </w:rPr>
      </w:pPr>
      <w:r>
        <w:rPr>
          <w:color w:val="0000FF"/>
        </w:rPr>
        <w:t>Staff will be required to use teach-back when caring (discharging) patients with bipolar</w:t>
      </w:r>
    </w:p>
    <w:p w14:paraId="00000020" w14:textId="77777777" w:rsidR="00681145" w:rsidRDefault="003072D9">
      <w:pPr>
        <w:numPr>
          <w:ilvl w:val="0"/>
          <w:numId w:val="1"/>
        </w:numPr>
        <w:rPr>
          <w:color w:val="0000FF"/>
        </w:rPr>
      </w:pPr>
      <w:r>
        <w:rPr>
          <w:color w:val="0000FF"/>
        </w:rPr>
        <w:t xml:space="preserve">Weekly morning huddles- Note </w:t>
      </w:r>
      <w:proofErr w:type="spellStart"/>
      <w:proofErr w:type="gramStart"/>
      <w:r>
        <w:rPr>
          <w:color w:val="0000FF"/>
        </w:rPr>
        <w:t>challenges,Offer</w:t>
      </w:r>
      <w:proofErr w:type="spellEnd"/>
      <w:proofErr w:type="gramEnd"/>
      <w:r>
        <w:rPr>
          <w:color w:val="0000FF"/>
        </w:rPr>
        <w:t xml:space="preserve"> tips </w:t>
      </w:r>
    </w:p>
    <w:p w14:paraId="00000021" w14:textId="77777777" w:rsidR="00681145" w:rsidRDefault="003072D9">
      <w:pPr>
        <w:numPr>
          <w:ilvl w:val="0"/>
          <w:numId w:val="1"/>
        </w:numPr>
        <w:rPr>
          <w:color w:val="0000FF"/>
        </w:rPr>
      </w:pPr>
      <w:r>
        <w:rPr>
          <w:color w:val="0000FF"/>
        </w:rPr>
        <w:t xml:space="preserve">Project hero </w:t>
      </w:r>
    </w:p>
    <w:p w14:paraId="00000022" w14:textId="77777777" w:rsidR="00681145" w:rsidRDefault="003072D9">
      <w:pPr>
        <w:numPr>
          <w:ilvl w:val="0"/>
          <w:numId w:val="1"/>
        </w:numPr>
        <w:rPr>
          <w:color w:val="0000FF"/>
        </w:rPr>
      </w:pPr>
      <w:r>
        <w:rPr>
          <w:color w:val="0000FF"/>
        </w:rPr>
        <w:t>(sa</w:t>
      </w:r>
      <w:r>
        <w:rPr>
          <w:color w:val="FF0000"/>
        </w:rPr>
        <w:t>w them in DNP manuscrip</w:t>
      </w:r>
      <w:r>
        <w:rPr>
          <w:color w:val="0000FF"/>
        </w:rPr>
        <w:t>t)</w:t>
      </w:r>
    </w:p>
    <w:p w14:paraId="00000023" w14:textId="77777777" w:rsidR="00681145" w:rsidRDefault="00681145"/>
    <w:p w14:paraId="00000024" w14:textId="77777777" w:rsidR="00681145" w:rsidRDefault="003072D9">
      <w:pPr>
        <w:rPr>
          <w:rFonts w:ascii="Lobster" w:eastAsia="Lobster" w:hAnsi="Lobster" w:cs="Lobster"/>
        </w:rPr>
      </w:pPr>
      <w:r>
        <w:rPr>
          <w:rFonts w:ascii="Lobster" w:eastAsia="Lobster" w:hAnsi="Lobster" w:cs="Lobster"/>
        </w:rPr>
        <w:t>Week 10 -11</w:t>
      </w:r>
    </w:p>
    <w:p w14:paraId="00000025" w14:textId="77777777" w:rsidR="00681145" w:rsidRDefault="003072D9">
      <w:pPr>
        <w:rPr>
          <w:rFonts w:ascii="Lobster" w:eastAsia="Lobster" w:hAnsi="Lobster" w:cs="Lobster"/>
        </w:rPr>
      </w:pPr>
      <w:r>
        <w:rPr>
          <w:rFonts w:ascii="Lobster" w:eastAsia="Lobster" w:hAnsi="Lobster" w:cs="Lobster"/>
        </w:rPr>
        <w:t xml:space="preserve">KTA Model Phase 6: Evaluate Outcomes </w:t>
      </w:r>
    </w:p>
    <w:p w14:paraId="00000026" w14:textId="77777777" w:rsidR="00681145" w:rsidRDefault="00681145">
      <w:pPr>
        <w:rPr>
          <w:rFonts w:ascii="Lobster" w:eastAsia="Lobster" w:hAnsi="Lobster" w:cs="Lobster"/>
        </w:rPr>
      </w:pPr>
    </w:p>
    <w:p w14:paraId="00000027" w14:textId="77777777" w:rsidR="00681145" w:rsidRDefault="003072D9">
      <w:pPr>
        <w:numPr>
          <w:ilvl w:val="0"/>
          <w:numId w:val="5"/>
        </w:numPr>
      </w:pPr>
      <w:r>
        <w:t xml:space="preserve">Post-intervention data collection </w:t>
      </w:r>
    </w:p>
    <w:p w14:paraId="00000028" w14:textId="580C407B" w:rsidR="00681145" w:rsidRDefault="003072D9">
      <w:r>
        <w:t>During the 10th week, the participants will be asked to complete the post intervention CCS form and drop it in a sealed box labeled ‘post-intervention’. Emphasis will be made to label it with the unique number they create</w:t>
      </w:r>
      <w:r>
        <w:t>d when filling pre-intervention</w:t>
      </w:r>
      <w:r>
        <w:t xml:space="preserve"> CCS form.</w:t>
      </w:r>
    </w:p>
    <w:p w14:paraId="00000029" w14:textId="77777777" w:rsidR="00681145" w:rsidRDefault="003072D9">
      <w:pPr>
        <w:numPr>
          <w:ilvl w:val="0"/>
          <w:numId w:val="5"/>
        </w:numPr>
      </w:pPr>
      <w:r>
        <w:t xml:space="preserve">Data cleaning and entry </w:t>
      </w:r>
    </w:p>
    <w:p w14:paraId="0000002A" w14:textId="77777777" w:rsidR="00681145" w:rsidRDefault="003072D9">
      <w:pPr>
        <w:ind w:left="720"/>
      </w:pPr>
      <w:r>
        <w:t>I will retrieve the pre-intervention CCS forms from the sealed labelled ‘pre-intervention’, check them for completeness and use them to create a data set in the SPSS application. I will ret</w:t>
      </w:r>
      <w:r>
        <w:t xml:space="preserve">rieve the post-intervention CCS forms from the sealed box labelled ‘post-intervention’, check them for completeness and update the data set.  </w:t>
      </w:r>
    </w:p>
    <w:p w14:paraId="0000002B" w14:textId="77777777" w:rsidR="00681145" w:rsidRDefault="003072D9">
      <w:pPr>
        <w:ind w:left="720"/>
      </w:pPr>
      <w:r>
        <w:t>The CCS is composed of four questions (</w:t>
      </w:r>
      <w:r>
        <w:rPr>
          <w:b/>
          <w:color w:val="FF0000"/>
        </w:rPr>
        <w:t>ref</w:t>
      </w:r>
      <w:r>
        <w:t xml:space="preserve">). </w:t>
      </w:r>
    </w:p>
    <w:p w14:paraId="0000002C" w14:textId="55BDEFA4" w:rsidR="00681145" w:rsidRDefault="003072D9">
      <w:pPr>
        <w:ind w:left="720"/>
      </w:pPr>
      <w:r>
        <w:t>Question 1 requires the participant to rate their conviction on the</w:t>
      </w:r>
      <w:r>
        <w:t xml:space="preserve"> importance of the teach-back method on a</w:t>
      </w:r>
      <w:r>
        <w:t xml:space="preserve"> 1-10 point </w:t>
      </w:r>
      <w:proofErr w:type="spellStart"/>
      <w:r>
        <w:t>likert</w:t>
      </w:r>
      <w:proofErr w:type="spellEnd"/>
      <w:r>
        <w:t xml:space="preserve"> scale (1- not at all important to 10-very important). </w:t>
      </w:r>
    </w:p>
    <w:p w14:paraId="0000002D" w14:textId="2AB185BB" w:rsidR="00681145" w:rsidRDefault="003072D9">
      <w:pPr>
        <w:ind w:left="720"/>
      </w:pPr>
      <w:r>
        <w:t>Question 2 utilizes a similar Likert scale (1-not confident at all to 10-very confident) to rate participants' ability to use the teach-back</w:t>
      </w:r>
      <w:r>
        <w:t xml:space="preserve"> </w:t>
      </w:r>
      <w:r>
        <w:t xml:space="preserve">method. </w:t>
      </w:r>
    </w:p>
    <w:p w14:paraId="0000002E" w14:textId="77777777" w:rsidR="00681145" w:rsidRDefault="003072D9">
      <w:pPr>
        <w:ind w:left="720"/>
      </w:pPr>
      <w:r>
        <w:t xml:space="preserve">Question 3 requires the participants to select how often they use the teach-back method from the five choices provided. </w:t>
      </w:r>
    </w:p>
    <w:p w14:paraId="0000002F" w14:textId="77777777" w:rsidR="00681145" w:rsidRDefault="003072D9">
      <w:pPr>
        <w:ind w:left="720"/>
      </w:pPr>
      <w:r>
        <w:t>Question 4 asks the participants to select the elements of effective teach-back they have been using for more than half the ti</w:t>
      </w:r>
      <w:r>
        <w:t xml:space="preserve">me in the past work week. </w:t>
      </w:r>
    </w:p>
    <w:p w14:paraId="00000030" w14:textId="77777777" w:rsidR="00681145" w:rsidRDefault="003072D9">
      <w:pPr>
        <w:numPr>
          <w:ilvl w:val="0"/>
          <w:numId w:val="5"/>
        </w:numPr>
      </w:pPr>
      <w:r>
        <w:t xml:space="preserve">Data analysis </w:t>
      </w:r>
    </w:p>
    <w:p w14:paraId="00000031" w14:textId="0AE921DE" w:rsidR="00681145" w:rsidRDefault="003072D9">
      <w:pPr>
        <w:ind w:left="720"/>
      </w:pPr>
      <w:r>
        <w:t>Each Question will</w:t>
      </w:r>
      <w:r>
        <w:t xml:space="preserve"> be analyzed</w:t>
      </w:r>
      <w:r>
        <w:t xml:space="preserve"> separately. In question 1 and 2 the pre-intervention mean score of the participants will be compared with the post-intervention mean score of the participants. </w:t>
      </w:r>
      <w:r>
        <w:rPr>
          <w:b/>
          <w:i/>
        </w:rPr>
        <w:t>A paired t-test will b</w:t>
      </w:r>
      <w:r>
        <w:rPr>
          <w:b/>
          <w:i/>
        </w:rPr>
        <w:t>e used to determine the statistical significance with a score of 0.05 (</w:t>
      </w:r>
      <w:r>
        <w:rPr>
          <w:b/>
          <w:i/>
          <w:color w:val="FF0000"/>
        </w:rPr>
        <w:t>awaits expert input</w:t>
      </w:r>
      <w:r>
        <w:rPr>
          <w:b/>
          <w:i/>
        </w:rPr>
        <w:t xml:space="preserve">) </w:t>
      </w:r>
      <w:r>
        <w:t>In question 3 (5 choices) and 4 (10 elements) frequencies, percentages and descriptive statistics will be used to analyze</w:t>
      </w:r>
      <w:bookmarkStart w:id="0" w:name="_GoBack"/>
      <w:bookmarkEnd w:id="0"/>
      <w:r>
        <w:t xml:space="preserve"> the data of each response made by the part</w:t>
      </w:r>
      <w:r>
        <w:t xml:space="preserve">icipants. </w:t>
      </w:r>
      <w:r>
        <w:rPr>
          <w:b/>
          <w:i/>
        </w:rPr>
        <w:t>A paired t-test will be used to compare the pre-intervention and post-intervention average scores of each question to determine the statistical significance of observed changes in teach-back consistency and teach-back behaviors respectively. (</w:t>
      </w:r>
      <w:r>
        <w:rPr>
          <w:b/>
          <w:i/>
          <w:color w:val="FF0000"/>
        </w:rPr>
        <w:t>awa</w:t>
      </w:r>
      <w:r>
        <w:rPr>
          <w:b/>
          <w:i/>
          <w:color w:val="FF0000"/>
        </w:rPr>
        <w:t>its expert input</w:t>
      </w:r>
      <w:r>
        <w:rPr>
          <w:b/>
          <w:i/>
        </w:rPr>
        <w:t>)</w:t>
      </w:r>
      <w:r>
        <w:t xml:space="preserve"> </w:t>
      </w:r>
    </w:p>
    <w:p w14:paraId="00000032" w14:textId="77777777" w:rsidR="00681145" w:rsidRDefault="003072D9">
      <w:pPr>
        <w:numPr>
          <w:ilvl w:val="0"/>
          <w:numId w:val="5"/>
        </w:numPr>
      </w:pPr>
      <w:r>
        <w:t>completion of the manuscript, preparation of dissemination material (poster</w:t>
      </w:r>
    </w:p>
    <w:p w14:paraId="00000033" w14:textId="77777777" w:rsidR="00681145" w:rsidRDefault="00681145"/>
    <w:p w14:paraId="00000034" w14:textId="77777777" w:rsidR="00681145" w:rsidRDefault="003072D9">
      <w:r>
        <w:rPr>
          <w:rFonts w:ascii="Lobster" w:eastAsia="Lobster" w:hAnsi="Lobster" w:cs="Lobster"/>
        </w:rPr>
        <w:t xml:space="preserve">Week 12 KTA model 7:  Sustain knowledge </w:t>
      </w:r>
    </w:p>
    <w:p w14:paraId="00000035" w14:textId="77777777" w:rsidR="00681145" w:rsidRDefault="003072D9">
      <w:r>
        <w:t xml:space="preserve">Immediate: Dissemination of results- posters, seminars, conferences, publication </w:t>
      </w:r>
    </w:p>
    <w:p w14:paraId="00000036" w14:textId="77777777" w:rsidR="00681145" w:rsidRDefault="003072D9">
      <w:r>
        <w:t xml:space="preserve">Short-term: Hand-over the initiative </w:t>
      </w:r>
    </w:p>
    <w:p w14:paraId="00000037" w14:textId="77777777" w:rsidR="00681145" w:rsidRDefault="003072D9">
      <w:r>
        <w:t xml:space="preserve">Long-term:  Replication in other conditions and settings. </w:t>
      </w:r>
    </w:p>
    <w:sectPr w:rsidR="0068114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bste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27F78"/>
    <w:multiLevelType w:val="multilevel"/>
    <w:tmpl w:val="F12CD3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525C81"/>
    <w:multiLevelType w:val="multilevel"/>
    <w:tmpl w:val="F7B0E6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7527FB8"/>
    <w:multiLevelType w:val="multilevel"/>
    <w:tmpl w:val="0B9CA9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9214DD5"/>
    <w:multiLevelType w:val="multilevel"/>
    <w:tmpl w:val="4E3834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8A62755"/>
    <w:multiLevelType w:val="multilevel"/>
    <w:tmpl w:val="3EE2C9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45"/>
    <w:rsid w:val="003072D9"/>
    <w:rsid w:val="0068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30591"/>
  <w15:docId w15:val="{4F638AFC-F900-46C3-9001-957C1243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2025-08-02T11:50:00Z</dcterms:created>
  <dcterms:modified xsi:type="dcterms:W3CDTF">2025-08-02T11:50:00Z</dcterms:modified>
</cp:coreProperties>
</file>