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75758" w14:textId="3D3F2889" w:rsidR="006C0CE7" w:rsidRPr="006C0CE7" w:rsidRDefault="006C0CE7" w:rsidP="006C0CE7">
      <w:pPr>
        <w:rPr>
          <w:b/>
        </w:rPr>
      </w:pPr>
      <w:r w:rsidRPr="006C0CE7">
        <w:rPr>
          <w:b/>
        </w:rPr>
        <w:t xml:space="preserve">Hello </w:t>
      </w:r>
      <w:r w:rsidRPr="006C0CE7">
        <w:rPr>
          <w:b/>
        </w:rPr>
        <w:t>Joline,</w:t>
      </w:r>
    </w:p>
    <w:p w14:paraId="4FD6B16E" w14:textId="6D3DBCB4" w:rsidR="006C0CE7" w:rsidRDefault="006C0CE7" w:rsidP="006C0CE7">
      <w:r>
        <w:t>Thank you for your detailed and insightful overview</w:t>
      </w:r>
      <w:r>
        <w:t xml:space="preserve"> of the HITECH Act and its implications for providers, patients, and healthcare organizations. I</w:t>
      </w:r>
      <w:r>
        <w:t xml:space="preserve"> agree that the introduction of the Act enhanced patients’ access to their personal health information, while </w:t>
      </w:r>
      <w:r w:rsidR="00304C95">
        <w:t xml:space="preserve">streamlining workflows and enhancing communication among providers. </w:t>
      </w:r>
      <w:r w:rsidR="00655459">
        <w:t xml:space="preserve">However, as </w:t>
      </w:r>
      <w:r w:rsidR="00655459" w:rsidRPr="000E5C33">
        <w:t>Arias López et al. (2023)</w:t>
      </w:r>
      <w:r w:rsidR="00655459">
        <w:t xml:space="preserve"> </w:t>
      </w:r>
      <w:r w:rsidR="00655459">
        <w:t xml:space="preserve">pointed out, benefiting from the increased control over PHI and transparency requires digital literacy without which equitable access to care may remain challenging. In this regard, it is essential to consider how providers can leverage the technologies to bridge the digital divide and ensure equitable access to care. </w:t>
      </w:r>
      <w:r w:rsidR="00304C95">
        <w:t>An interesting concern we share regards the unintended effects of accelerated EHR. Although</w:t>
      </w:r>
      <w:r w:rsidR="004C348D">
        <w:t xml:space="preserve"> </w:t>
      </w:r>
      <w:r>
        <w:t xml:space="preserve">HITECH </w:t>
      </w:r>
      <w:r w:rsidR="004C348D">
        <w:t>stimulated an</w:t>
      </w:r>
      <w:r>
        <w:t xml:space="preserve"> increase in </w:t>
      </w:r>
      <w:r w:rsidR="004C348D">
        <w:t xml:space="preserve">EHR </w:t>
      </w:r>
      <w:r>
        <w:t>adoption rates, widespread deployment</w:t>
      </w:r>
      <w:r w:rsidR="004C348D">
        <w:t xml:space="preserve"> in the absence of adequate system designs l</w:t>
      </w:r>
      <w:bookmarkStart w:id="0" w:name="_GoBack"/>
      <w:bookmarkEnd w:id="0"/>
      <w:r w:rsidR="004C348D">
        <w:t xml:space="preserve">ed to </w:t>
      </w:r>
      <w:r>
        <w:t xml:space="preserve">data obfuscation. </w:t>
      </w:r>
      <w:r w:rsidR="004C348D">
        <w:t>Indeed,</w:t>
      </w:r>
      <w:r>
        <w:t xml:space="preserve"> </w:t>
      </w:r>
      <w:r w:rsidRPr="000E5C33">
        <w:t>Colicchio et al. (2019)</w:t>
      </w:r>
      <w:r>
        <w:t xml:space="preserve"> observe</w:t>
      </w:r>
      <w:r w:rsidR="004C348D">
        <w:t>d</w:t>
      </w:r>
      <w:r>
        <w:t xml:space="preserve"> that </w:t>
      </w:r>
      <w:r w:rsidR="004C348D">
        <w:t xml:space="preserve">injudicious adoption led providers to generate overlay verbose </w:t>
      </w:r>
      <w:r>
        <w:t>clinical notes with minimal meaningful information.</w:t>
      </w:r>
      <w:r w:rsidR="004C348D">
        <w:t xml:space="preserve"> You mentioned </w:t>
      </w:r>
      <w:r>
        <w:t xml:space="preserve">documentation overload and interruption of workflow as </w:t>
      </w:r>
      <w:r w:rsidR="004C348D">
        <w:t xml:space="preserve">potential challenges caused by </w:t>
      </w:r>
      <w:r w:rsidR="0093358A">
        <w:t>poor system usability</w:t>
      </w:r>
      <w:r w:rsidR="004C348D">
        <w:t xml:space="preserve">. </w:t>
      </w:r>
      <w:r w:rsidR="0093358A">
        <w:t xml:space="preserve">Offering an alternative explanation, McBride et al. (2023) noted that the challenges could emanate from regulatory pressures and incentive mismatch. Consequently, </w:t>
      </w:r>
      <w:r>
        <w:t xml:space="preserve">clinicians </w:t>
      </w:r>
      <w:r w:rsidR="0093358A">
        <w:t xml:space="preserve">may waste time on </w:t>
      </w:r>
      <w:r>
        <w:t xml:space="preserve">documentation not for relevance to care but </w:t>
      </w:r>
      <w:r w:rsidR="00655459">
        <w:t xml:space="preserve">to meet </w:t>
      </w:r>
      <w:r>
        <w:t xml:space="preserve">for compliance </w:t>
      </w:r>
      <w:r w:rsidR="0093358A">
        <w:t xml:space="preserve">with </w:t>
      </w:r>
      <w:r>
        <w:t>Meaningful Use</w:t>
      </w:r>
      <w:r w:rsidR="0093358A">
        <w:t xml:space="preserve"> </w:t>
      </w:r>
      <w:r w:rsidR="00655459">
        <w:t>compliance metrics</w:t>
      </w:r>
      <w:r w:rsidR="0093358A">
        <w:t xml:space="preserve">. </w:t>
      </w:r>
      <w:r w:rsidR="00655459">
        <w:t>On this note, we may ponder on the following question:</w:t>
      </w:r>
      <w:r>
        <w:t xml:space="preserve"> How do you think future releases of federal health IT policy can balanc</w:t>
      </w:r>
      <w:r w:rsidR="00655459">
        <w:t>e</w:t>
      </w:r>
      <w:r>
        <w:t xml:space="preserve"> </w:t>
      </w:r>
      <w:r w:rsidR="00655459">
        <w:t>system</w:t>
      </w:r>
      <w:r>
        <w:t xml:space="preserve"> usability and </w:t>
      </w:r>
      <w:r w:rsidR="00655459">
        <w:t xml:space="preserve">providers’ </w:t>
      </w:r>
      <w:r>
        <w:t>well-being</w:t>
      </w:r>
      <w:r w:rsidR="00655459">
        <w:t xml:space="preserve"> to drive Meaningful Use without unintended consequences</w:t>
      </w:r>
      <w:r>
        <w:t>?</w:t>
      </w:r>
    </w:p>
    <w:p w14:paraId="747D35DB" w14:textId="46365F11" w:rsidR="000E5C33" w:rsidRDefault="000E5C33" w:rsidP="000E5C33">
      <w:pPr>
        <w:jc w:val="center"/>
        <w:rPr>
          <w:b/>
        </w:rPr>
      </w:pPr>
      <w:r>
        <w:rPr>
          <w:b/>
        </w:rPr>
        <w:t xml:space="preserve">References </w:t>
      </w:r>
    </w:p>
    <w:p w14:paraId="11959E23" w14:textId="77777777" w:rsidR="000E5C33" w:rsidRPr="004E63BE" w:rsidRDefault="000E5C33" w:rsidP="000E5C33">
      <w:pPr>
        <w:ind w:left="720" w:hanging="720"/>
        <w:rPr>
          <w:rFonts w:cs="Times New Roman"/>
          <w:color w:val="1B1B1B"/>
          <w:szCs w:val="24"/>
          <w:shd w:val="clear" w:color="auto" w:fill="FFFFFF"/>
        </w:rPr>
      </w:pPr>
      <w:r w:rsidRPr="004E63BE">
        <w:rPr>
          <w:rFonts w:cs="Times New Roman"/>
          <w:szCs w:val="24"/>
          <w:shd w:val="clear" w:color="auto" w:fill="FFFFFF"/>
        </w:rPr>
        <w:t>Arias López</w:t>
      </w:r>
      <w:r w:rsidRPr="004E63BE">
        <w:rPr>
          <w:rFonts w:cs="Times New Roman"/>
          <w:color w:val="1B1B1B"/>
          <w:szCs w:val="24"/>
          <w:shd w:val="clear" w:color="auto" w:fill="FFFFFF"/>
        </w:rPr>
        <w:t xml:space="preserve">, M. D. P., Ong, B. A., </w:t>
      </w:r>
      <w:proofErr w:type="spellStart"/>
      <w:r w:rsidRPr="004E63BE">
        <w:rPr>
          <w:rFonts w:cs="Times New Roman"/>
          <w:color w:val="1B1B1B"/>
          <w:szCs w:val="24"/>
          <w:shd w:val="clear" w:color="auto" w:fill="FFFFFF"/>
        </w:rPr>
        <w:t>Borrat</w:t>
      </w:r>
      <w:proofErr w:type="spellEnd"/>
      <w:r w:rsidRPr="004E63BE">
        <w:rPr>
          <w:rFonts w:cs="Times New Roman"/>
          <w:color w:val="1B1B1B"/>
          <w:szCs w:val="24"/>
          <w:shd w:val="clear" w:color="auto" w:fill="FFFFFF"/>
        </w:rPr>
        <w:t xml:space="preserve"> </w:t>
      </w:r>
      <w:proofErr w:type="spellStart"/>
      <w:r w:rsidRPr="004E63BE">
        <w:rPr>
          <w:rFonts w:cs="Times New Roman"/>
          <w:color w:val="1B1B1B"/>
          <w:szCs w:val="24"/>
          <w:shd w:val="clear" w:color="auto" w:fill="FFFFFF"/>
        </w:rPr>
        <w:t>Frigola</w:t>
      </w:r>
      <w:proofErr w:type="spellEnd"/>
      <w:r w:rsidRPr="004E63BE">
        <w:rPr>
          <w:rFonts w:cs="Times New Roman"/>
          <w:color w:val="1B1B1B"/>
          <w:szCs w:val="24"/>
          <w:shd w:val="clear" w:color="auto" w:fill="FFFFFF"/>
        </w:rPr>
        <w:t xml:space="preserve">, X., Fernández, A. L., </w:t>
      </w:r>
      <w:proofErr w:type="spellStart"/>
      <w:r w:rsidRPr="004E63BE">
        <w:rPr>
          <w:rFonts w:cs="Times New Roman"/>
          <w:color w:val="1B1B1B"/>
          <w:szCs w:val="24"/>
          <w:shd w:val="clear" w:color="auto" w:fill="FFFFFF"/>
        </w:rPr>
        <w:t>Hicklent</w:t>
      </w:r>
      <w:proofErr w:type="spellEnd"/>
      <w:r w:rsidRPr="004E63BE">
        <w:rPr>
          <w:rFonts w:cs="Times New Roman"/>
          <w:color w:val="1B1B1B"/>
          <w:szCs w:val="24"/>
          <w:shd w:val="clear" w:color="auto" w:fill="FFFFFF"/>
        </w:rPr>
        <w:t xml:space="preserve">, R. S., </w:t>
      </w:r>
      <w:proofErr w:type="spellStart"/>
      <w:r w:rsidRPr="004E63BE">
        <w:rPr>
          <w:rFonts w:cs="Times New Roman"/>
          <w:color w:val="1B1B1B"/>
          <w:szCs w:val="24"/>
          <w:shd w:val="clear" w:color="auto" w:fill="FFFFFF"/>
        </w:rPr>
        <w:t>Obeles</w:t>
      </w:r>
      <w:proofErr w:type="spellEnd"/>
      <w:r w:rsidRPr="004E63BE">
        <w:rPr>
          <w:rFonts w:cs="Times New Roman"/>
          <w:color w:val="1B1B1B"/>
          <w:szCs w:val="24"/>
          <w:shd w:val="clear" w:color="auto" w:fill="FFFFFF"/>
        </w:rPr>
        <w:t xml:space="preserve">, A. J. T., </w:t>
      </w:r>
      <w:proofErr w:type="spellStart"/>
      <w:r w:rsidRPr="004E63BE">
        <w:rPr>
          <w:rFonts w:cs="Times New Roman"/>
          <w:color w:val="1B1B1B"/>
          <w:szCs w:val="24"/>
          <w:shd w:val="clear" w:color="auto" w:fill="FFFFFF"/>
        </w:rPr>
        <w:t>Rocimo</w:t>
      </w:r>
      <w:proofErr w:type="spellEnd"/>
      <w:r w:rsidRPr="004E63BE">
        <w:rPr>
          <w:rFonts w:cs="Times New Roman"/>
          <w:color w:val="1B1B1B"/>
          <w:szCs w:val="24"/>
          <w:shd w:val="clear" w:color="auto" w:fill="FFFFFF"/>
        </w:rPr>
        <w:t xml:space="preserve">, A. M., &amp; </w:t>
      </w:r>
      <w:proofErr w:type="spellStart"/>
      <w:r w:rsidRPr="004E63BE">
        <w:rPr>
          <w:rFonts w:cs="Times New Roman"/>
          <w:color w:val="1B1B1B"/>
          <w:szCs w:val="24"/>
          <w:shd w:val="clear" w:color="auto" w:fill="FFFFFF"/>
        </w:rPr>
        <w:t>Celi</w:t>
      </w:r>
      <w:proofErr w:type="spellEnd"/>
      <w:r w:rsidRPr="004E63BE">
        <w:rPr>
          <w:rFonts w:cs="Times New Roman"/>
          <w:color w:val="1B1B1B"/>
          <w:szCs w:val="24"/>
          <w:shd w:val="clear" w:color="auto" w:fill="FFFFFF"/>
        </w:rPr>
        <w:t xml:space="preserve">, L. A. (2023). Digital literacy as a new determinant of </w:t>
      </w:r>
      <w:r w:rsidRPr="004E63BE">
        <w:rPr>
          <w:rFonts w:cs="Times New Roman"/>
          <w:color w:val="1B1B1B"/>
          <w:szCs w:val="24"/>
          <w:shd w:val="clear" w:color="auto" w:fill="FFFFFF"/>
        </w:rPr>
        <w:lastRenderedPageBreak/>
        <w:t>health: A scoping review. </w:t>
      </w:r>
      <w:r w:rsidRPr="004E63BE">
        <w:rPr>
          <w:rFonts w:cs="Times New Roman"/>
          <w:i/>
          <w:iCs/>
          <w:color w:val="1B1B1B"/>
          <w:szCs w:val="24"/>
          <w:shd w:val="clear" w:color="auto" w:fill="FFFFFF"/>
        </w:rPr>
        <w:t>PLOS Digital Health</w:t>
      </w:r>
      <w:r w:rsidRPr="004E63BE">
        <w:rPr>
          <w:rFonts w:cs="Times New Roman"/>
          <w:color w:val="1B1B1B"/>
          <w:szCs w:val="24"/>
          <w:shd w:val="clear" w:color="auto" w:fill="FFFFFF"/>
        </w:rPr>
        <w:t>, </w:t>
      </w:r>
      <w:r w:rsidRPr="004E63BE">
        <w:rPr>
          <w:rFonts w:cs="Times New Roman"/>
          <w:i/>
          <w:iCs/>
          <w:color w:val="1B1B1B"/>
          <w:szCs w:val="24"/>
          <w:shd w:val="clear" w:color="auto" w:fill="FFFFFF"/>
        </w:rPr>
        <w:t>2</w:t>
      </w:r>
      <w:r w:rsidRPr="004E63BE">
        <w:rPr>
          <w:rFonts w:cs="Times New Roman"/>
          <w:color w:val="1B1B1B"/>
          <w:szCs w:val="24"/>
          <w:shd w:val="clear" w:color="auto" w:fill="FFFFFF"/>
        </w:rPr>
        <w:t xml:space="preserve">(10), e0000279. </w:t>
      </w:r>
      <w:hyperlink r:id="rId4" w:history="1">
        <w:r w:rsidRPr="004E63BE">
          <w:rPr>
            <w:rStyle w:val="Hyperlink"/>
            <w:rFonts w:cs="Times New Roman"/>
            <w:szCs w:val="24"/>
            <w:shd w:val="clear" w:color="auto" w:fill="FFFFFF"/>
          </w:rPr>
          <w:t>https://doi.org/10.1371/journal.pdig.0000279</w:t>
        </w:r>
      </w:hyperlink>
      <w:r w:rsidRPr="004E63BE">
        <w:rPr>
          <w:rFonts w:cs="Times New Roman"/>
          <w:color w:val="1B1B1B"/>
          <w:szCs w:val="24"/>
          <w:shd w:val="clear" w:color="auto" w:fill="FFFFFF"/>
        </w:rPr>
        <w:t xml:space="preserve"> </w:t>
      </w:r>
    </w:p>
    <w:p w14:paraId="42FA0693" w14:textId="77777777" w:rsidR="000E5C33" w:rsidRPr="004E63BE" w:rsidRDefault="000E5C33" w:rsidP="000E5C33">
      <w:pPr>
        <w:ind w:left="720" w:hanging="720"/>
        <w:rPr>
          <w:rFonts w:cs="Times New Roman"/>
          <w:color w:val="1B1B1B"/>
          <w:szCs w:val="24"/>
          <w:shd w:val="clear" w:color="auto" w:fill="FFFFFF"/>
        </w:rPr>
      </w:pPr>
      <w:r w:rsidRPr="004E63BE">
        <w:rPr>
          <w:rFonts w:cs="Times New Roman"/>
          <w:color w:val="1B1B1B"/>
          <w:szCs w:val="24"/>
          <w:shd w:val="clear" w:color="auto" w:fill="FFFFFF"/>
        </w:rPr>
        <w:t xml:space="preserve">Colicchio, T. K., Cimino, J. J., &amp; Del </w:t>
      </w:r>
      <w:proofErr w:type="spellStart"/>
      <w:r w:rsidRPr="004E63BE">
        <w:rPr>
          <w:rFonts w:cs="Times New Roman"/>
          <w:color w:val="1B1B1B"/>
          <w:szCs w:val="24"/>
          <w:shd w:val="clear" w:color="auto" w:fill="FFFFFF"/>
        </w:rPr>
        <w:t>Fiol</w:t>
      </w:r>
      <w:proofErr w:type="spellEnd"/>
      <w:r w:rsidRPr="004E63BE">
        <w:rPr>
          <w:rFonts w:cs="Times New Roman"/>
          <w:color w:val="1B1B1B"/>
          <w:szCs w:val="24"/>
          <w:shd w:val="clear" w:color="auto" w:fill="FFFFFF"/>
        </w:rPr>
        <w:t>, G. (2019). Unintended consequences of nationwide electronic health record adoption: challenges and opportunities in the post-Meaningful Use era. </w:t>
      </w:r>
      <w:r w:rsidRPr="004E63BE">
        <w:rPr>
          <w:rFonts w:cs="Times New Roman"/>
          <w:i/>
          <w:iCs/>
          <w:color w:val="1B1B1B"/>
          <w:szCs w:val="24"/>
          <w:shd w:val="clear" w:color="auto" w:fill="FFFFFF"/>
        </w:rPr>
        <w:t>Journal of Medical Internet Research</w:t>
      </w:r>
      <w:r w:rsidRPr="004E63BE">
        <w:rPr>
          <w:rFonts w:cs="Times New Roman"/>
          <w:color w:val="1B1B1B"/>
          <w:szCs w:val="24"/>
          <w:shd w:val="clear" w:color="auto" w:fill="FFFFFF"/>
        </w:rPr>
        <w:t>, </w:t>
      </w:r>
      <w:r w:rsidRPr="004E63BE">
        <w:rPr>
          <w:rFonts w:cs="Times New Roman"/>
          <w:i/>
          <w:iCs/>
          <w:color w:val="1B1B1B"/>
          <w:szCs w:val="24"/>
          <w:shd w:val="clear" w:color="auto" w:fill="FFFFFF"/>
        </w:rPr>
        <w:t>21</w:t>
      </w:r>
      <w:r w:rsidRPr="004E63BE">
        <w:rPr>
          <w:rFonts w:cs="Times New Roman"/>
          <w:color w:val="1B1B1B"/>
          <w:szCs w:val="24"/>
          <w:shd w:val="clear" w:color="auto" w:fill="FFFFFF"/>
        </w:rPr>
        <w:t xml:space="preserve">(6), e13313. </w:t>
      </w:r>
      <w:hyperlink r:id="rId5" w:history="1">
        <w:r w:rsidRPr="004E63BE">
          <w:rPr>
            <w:rStyle w:val="Hyperlink"/>
            <w:rFonts w:cs="Times New Roman"/>
            <w:szCs w:val="24"/>
            <w:shd w:val="clear" w:color="auto" w:fill="FFFFFF"/>
          </w:rPr>
          <w:t>https://doi.org/10.2196/13313</w:t>
        </w:r>
      </w:hyperlink>
      <w:r w:rsidRPr="004E63BE">
        <w:rPr>
          <w:rFonts w:cs="Times New Roman"/>
          <w:color w:val="1B1B1B"/>
          <w:szCs w:val="24"/>
          <w:shd w:val="clear" w:color="auto" w:fill="FFFFFF"/>
        </w:rPr>
        <w:t xml:space="preserve"> </w:t>
      </w:r>
    </w:p>
    <w:p w14:paraId="2816535E" w14:textId="62B49528" w:rsidR="00ED0BD5" w:rsidRDefault="000E5C33" w:rsidP="000E5C33">
      <w:pPr>
        <w:ind w:left="720" w:hanging="720"/>
      </w:pPr>
      <w:r w:rsidRPr="004E63BE">
        <w:rPr>
          <w:rFonts w:cs="Times New Roman"/>
          <w:color w:val="222222"/>
          <w:szCs w:val="24"/>
          <w:shd w:val="clear" w:color="auto" w:fill="FFFFFF"/>
        </w:rPr>
        <w:t xml:space="preserve">McBride, S., Alexander, G. L., </w:t>
      </w:r>
      <w:proofErr w:type="spellStart"/>
      <w:r w:rsidRPr="004E63BE">
        <w:rPr>
          <w:rFonts w:cs="Times New Roman"/>
          <w:color w:val="222222"/>
          <w:szCs w:val="24"/>
          <w:shd w:val="clear" w:color="auto" w:fill="FFFFFF"/>
        </w:rPr>
        <w:t>Baernholdt</w:t>
      </w:r>
      <w:proofErr w:type="spellEnd"/>
      <w:r w:rsidRPr="004E63BE">
        <w:rPr>
          <w:rFonts w:cs="Times New Roman"/>
          <w:color w:val="222222"/>
          <w:szCs w:val="24"/>
          <w:shd w:val="clear" w:color="auto" w:fill="FFFFFF"/>
        </w:rPr>
        <w:t xml:space="preserve">, M., </w:t>
      </w:r>
      <w:proofErr w:type="spellStart"/>
      <w:r w:rsidRPr="004E63BE">
        <w:rPr>
          <w:rFonts w:cs="Times New Roman"/>
          <w:color w:val="222222"/>
          <w:szCs w:val="24"/>
          <w:shd w:val="clear" w:color="auto" w:fill="FFFFFF"/>
        </w:rPr>
        <w:t>Vugrin</w:t>
      </w:r>
      <w:proofErr w:type="spellEnd"/>
      <w:r w:rsidRPr="004E63BE">
        <w:rPr>
          <w:rFonts w:cs="Times New Roman"/>
          <w:color w:val="222222"/>
          <w:szCs w:val="24"/>
          <w:shd w:val="clear" w:color="auto" w:fill="FFFFFF"/>
        </w:rPr>
        <w:t>, M., &amp; Epstein, B. (2023). Scoping review: positive and negative impact of technology on clinicians. </w:t>
      </w:r>
      <w:r w:rsidRPr="004E63BE">
        <w:rPr>
          <w:rFonts w:cs="Times New Roman"/>
          <w:i/>
          <w:iCs/>
          <w:color w:val="222222"/>
          <w:szCs w:val="24"/>
          <w:shd w:val="clear" w:color="auto" w:fill="FFFFFF"/>
        </w:rPr>
        <w:t>Nursing Outlook</w:t>
      </w:r>
      <w:r w:rsidRPr="004E63BE">
        <w:rPr>
          <w:rFonts w:cs="Times New Roman"/>
          <w:color w:val="222222"/>
          <w:szCs w:val="24"/>
          <w:shd w:val="clear" w:color="auto" w:fill="FFFFFF"/>
        </w:rPr>
        <w:t>, </w:t>
      </w:r>
      <w:r w:rsidRPr="004E63BE">
        <w:rPr>
          <w:rFonts w:cs="Times New Roman"/>
          <w:i/>
          <w:iCs/>
          <w:color w:val="222222"/>
          <w:szCs w:val="24"/>
          <w:shd w:val="clear" w:color="auto" w:fill="FFFFFF"/>
        </w:rPr>
        <w:t>71</w:t>
      </w:r>
      <w:r w:rsidRPr="004E63BE">
        <w:rPr>
          <w:rFonts w:cs="Times New Roman"/>
          <w:color w:val="222222"/>
          <w:szCs w:val="24"/>
          <w:shd w:val="clear" w:color="auto" w:fill="FFFFFF"/>
        </w:rPr>
        <w:t xml:space="preserve">(2), 101918. </w:t>
      </w:r>
      <w:hyperlink r:id="rId6" w:history="1">
        <w:r w:rsidRPr="004E63BE">
          <w:rPr>
            <w:rStyle w:val="Hyperlink"/>
            <w:rFonts w:cs="Times New Roman"/>
            <w:szCs w:val="24"/>
            <w:shd w:val="clear" w:color="auto" w:fill="FFFFFF"/>
          </w:rPr>
          <w:t>https://doi.org/10.1016/j.outlook.2023.101918</w:t>
        </w:r>
      </w:hyperlink>
    </w:p>
    <w:p w14:paraId="44CB086E" w14:textId="3C0F4931" w:rsidR="000E5C33" w:rsidRDefault="000E5C33">
      <w:pPr>
        <w:rPr>
          <w:rFonts w:cs="Times New Roman"/>
          <w:color w:val="222222"/>
          <w:szCs w:val="24"/>
          <w:shd w:val="clear" w:color="auto" w:fill="FFFFFF"/>
        </w:rPr>
      </w:pPr>
      <w:r>
        <w:rPr>
          <w:rFonts w:cs="Times New Roman"/>
          <w:color w:val="222222"/>
          <w:szCs w:val="24"/>
          <w:shd w:val="clear" w:color="auto" w:fill="FFFFFF"/>
        </w:rPr>
        <w:br w:type="page"/>
      </w:r>
    </w:p>
    <w:p w14:paraId="69FCE408" w14:textId="77777777" w:rsidR="000E5C33" w:rsidRPr="000E5C33" w:rsidRDefault="000E5C33" w:rsidP="000E5C33">
      <w:pPr>
        <w:rPr>
          <w:b/>
        </w:rPr>
      </w:pPr>
      <w:r w:rsidRPr="000E5C33">
        <w:rPr>
          <w:b/>
        </w:rPr>
        <w:lastRenderedPageBreak/>
        <w:t>Hello Beth,</w:t>
      </w:r>
    </w:p>
    <w:p w14:paraId="26DB0F51" w14:textId="764F1CB2" w:rsidR="000E5C33" w:rsidRDefault="000E5C33" w:rsidP="000E5C33">
      <w:r>
        <w:t xml:space="preserve">I appreciate your insightful </w:t>
      </w:r>
      <w:r>
        <w:t xml:space="preserve">analysis of the effect of the HITECH Act on healthcare stakeholders. I </w:t>
      </w:r>
      <w:r w:rsidR="0028377A">
        <w:t xml:space="preserve">found the discussion of </w:t>
      </w:r>
      <w:r>
        <w:t>patient safety metrics, s</w:t>
      </w:r>
      <w:r w:rsidR="0028377A">
        <w:t>uch as</w:t>
      </w:r>
      <w:r>
        <w:t xml:space="preserve"> the PSI 90 composite score, a</w:t>
      </w:r>
      <w:r w:rsidR="0028377A">
        <w:t>n interesting area. I agree with y</w:t>
      </w:r>
      <w:r>
        <w:t xml:space="preserve">our observation that </w:t>
      </w:r>
      <w:r w:rsidR="0028377A">
        <w:t>M</w:t>
      </w:r>
      <w:r>
        <w:t xml:space="preserve">eaningful </w:t>
      </w:r>
      <w:r w:rsidR="0028377A">
        <w:t>U</w:t>
      </w:r>
      <w:r>
        <w:t>se (MU) does not necessarily quantify all patient safety gains</w:t>
      </w:r>
      <w:r w:rsidR="0028377A">
        <w:t xml:space="preserve"> but should be appreciated as a transformative approach to improving health equity through technology</w:t>
      </w:r>
      <w:r>
        <w:t>.</w:t>
      </w:r>
      <w:r w:rsidR="0028377A">
        <w:t xml:space="preserve"> As you observe, the evidence for the effect of MU on safety remains mixed (</w:t>
      </w:r>
      <w:r w:rsidR="0028377A" w:rsidRPr="006E5367">
        <w:t xml:space="preserve">Trout et al., 2022). </w:t>
      </w:r>
      <w:proofErr w:type="spellStart"/>
      <w:r w:rsidR="0028377A" w:rsidRPr="006E5367">
        <w:t>Subbe</w:t>
      </w:r>
      <w:proofErr w:type="spellEnd"/>
      <w:r w:rsidR="0028377A" w:rsidRPr="006E5367">
        <w:t xml:space="preserve"> et al. (2021)</w:t>
      </w:r>
      <w:r w:rsidR="0028377A">
        <w:rPr>
          <w:b/>
        </w:rPr>
        <w:t xml:space="preserve"> </w:t>
      </w:r>
      <w:r w:rsidR="0028377A">
        <w:t>offer an alternative explanation</w:t>
      </w:r>
      <w:r w:rsidR="005F3260">
        <w:t xml:space="preserve"> to the failure of the enhancements to translate to PSI-90 scores. The study contends that </w:t>
      </w:r>
      <w:r w:rsidR="0028377A">
        <w:t>variable maturity of HIT systems</w:t>
      </w:r>
      <w:r w:rsidR="005F3260">
        <w:t>, lack of adequate staff training, and degree of system interoperability</w:t>
      </w:r>
      <w:r w:rsidR="0028377A">
        <w:t xml:space="preserve"> between facilities </w:t>
      </w:r>
      <w:r w:rsidR="005F3260">
        <w:t>significantly influence this outcome. H</w:t>
      </w:r>
      <w:r>
        <w:t xml:space="preserve">ospitals may implement EHRs </w:t>
      </w:r>
      <w:r w:rsidR="005F3260">
        <w:t>to meet</w:t>
      </w:r>
      <w:r>
        <w:t xml:space="preserve"> incentive thresholds without completely optimizing decision-support functionalities or interoperability features, thus restricting their contribution to safety outcomes.</w:t>
      </w:r>
    </w:p>
    <w:p w14:paraId="31779F7D" w14:textId="7DF2EC7B" w:rsidR="000E5C33" w:rsidRDefault="000E5C33" w:rsidP="006E5367">
      <w:pPr>
        <w:ind w:firstLine="720"/>
      </w:pPr>
      <w:r>
        <w:t xml:space="preserve">You mention </w:t>
      </w:r>
      <w:r w:rsidR="005F3260">
        <w:t xml:space="preserve">enhancement of </w:t>
      </w:r>
      <w:r>
        <w:t xml:space="preserve">HIPAA compliance under HITECH. </w:t>
      </w:r>
      <w:r w:rsidR="005F3260">
        <w:t xml:space="preserve">However, it is essential to note that </w:t>
      </w:r>
      <w:r>
        <w:t xml:space="preserve">stricter regulations </w:t>
      </w:r>
      <w:r w:rsidR="005F3260">
        <w:t>c</w:t>
      </w:r>
      <w:r>
        <w:t xml:space="preserve">ould unintentionally inhibit data sharing </w:t>
      </w:r>
      <w:r w:rsidR="005F3260">
        <w:t xml:space="preserve">because of privacy, security, and liability concerns. Consequently, this could hinder the effectiveness </w:t>
      </w:r>
      <w:r>
        <w:t>Health Information Exchanges (HIEs)</w:t>
      </w:r>
      <w:r w:rsidR="006E5367">
        <w:t xml:space="preserve">, as noted by </w:t>
      </w:r>
      <w:r>
        <w:t>Wong et al.</w:t>
      </w:r>
      <w:r w:rsidR="006E5367">
        <w:t xml:space="preserve"> (</w:t>
      </w:r>
      <w:r>
        <w:t xml:space="preserve">2020). The </w:t>
      </w:r>
      <w:r w:rsidR="006E5367">
        <w:t xml:space="preserve">perspective underscores the importance of continuity in policy refinement to ensure a balanced approach to technology adoption in healthcare. A final issue to consider regards the suggestion that the </w:t>
      </w:r>
      <w:r>
        <w:t xml:space="preserve">HITECH Act encouraged care coordination through HIEs. With interoperability </w:t>
      </w:r>
      <w:r w:rsidR="006E5367">
        <w:t>being a persistent issue,</w:t>
      </w:r>
      <w:r>
        <w:t xml:space="preserve"> how do you envision health systems solving it to facilitate seamless</w:t>
      </w:r>
      <w:r w:rsidR="006E5367">
        <w:t xml:space="preserve"> communication among different providers?</w:t>
      </w:r>
    </w:p>
    <w:p w14:paraId="6B671EA2" w14:textId="703A5BB0" w:rsidR="006E5367" w:rsidRDefault="006E5367" w:rsidP="006E5367">
      <w:pPr>
        <w:jc w:val="center"/>
        <w:rPr>
          <w:b/>
        </w:rPr>
      </w:pPr>
      <w:r>
        <w:rPr>
          <w:b/>
        </w:rPr>
        <w:t>References</w:t>
      </w:r>
    </w:p>
    <w:p w14:paraId="68C0287A" w14:textId="77777777" w:rsidR="006E5367" w:rsidRPr="004E63BE" w:rsidRDefault="006E5367" w:rsidP="006E5367">
      <w:pPr>
        <w:ind w:left="720" w:hanging="720"/>
        <w:rPr>
          <w:rFonts w:cs="Times New Roman"/>
          <w:szCs w:val="24"/>
        </w:rPr>
      </w:pPr>
      <w:proofErr w:type="spellStart"/>
      <w:r w:rsidRPr="004E63BE">
        <w:rPr>
          <w:rFonts w:cs="Times New Roman"/>
          <w:color w:val="1B1B1B"/>
          <w:szCs w:val="24"/>
          <w:shd w:val="clear" w:color="auto" w:fill="FFFFFF"/>
        </w:rPr>
        <w:lastRenderedPageBreak/>
        <w:t>Subbe</w:t>
      </w:r>
      <w:proofErr w:type="spellEnd"/>
      <w:r w:rsidRPr="004E63BE">
        <w:rPr>
          <w:rFonts w:cs="Times New Roman"/>
          <w:color w:val="1B1B1B"/>
          <w:szCs w:val="24"/>
          <w:shd w:val="clear" w:color="auto" w:fill="FFFFFF"/>
        </w:rPr>
        <w:t xml:space="preserve">, C. P., Tellier, G., &amp; </w:t>
      </w:r>
      <w:proofErr w:type="spellStart"/>
      <w:r w:rsidRPr="004E63BE">
        <w:rPr>
          <w:rFonts w:cs="Times New Roman"/>
          <w:color w:val="1B1B1B"/>
          <w:szCs w:val="24"/>
          <w:shd w:val="clear" w:color="auto" w:fill="FFFFFF"/>
        </w:rPr>
        <w:t>Barach</w:t>
      </w:r>
      <w:proofErr w:type="spellEnd"/>
      <w:r w:rsidRPr="004E63BE">
        <w:rPr>
          <w:rFonts w:cs="Times New Roman"/>
          <w:color w:val="1B1B1B"/>
          <w:szCs w:val="24"/>
          <w:shd w:val="clear" w:color="auto" w:fill="FFFFFF"/>
        </w:rPr>
        <w:t>, P. (2021). Impact of electronic health records on predefined safety outcomes in patients admitted to hospital: a scoping review. </w:t>
      </w:r>
      <w:r w:rsidRPr="004E63BE">
        <w:rPr>
          <w:rFonts w:cs="Times New Roman"/>
          <w:i/>
          <w:iCs/>
          <w:color w:val="1B1B1B"/>
          <w:szCs w:val="24"/>
          <w:shd w:val="clear" w:color="auto" w:fill="FFFFFF"/>
        </w:rPr>
        <w:t>BMJ Open</w:t>
      </w:r>
      <w:r w:rsidRPr="004E63BE">
        <w:rPr>
          <w:rFonts w:cs="Times New Roman"/>
          <w:color w:val="1B1B1B"/>
          <w:szCs w:val="24"/>
          <w:shd w:val="clear" w:color="auto" w:fill="FFFFFF"/>
        </w:rPr>
        <w:t>, </w:t>
      </w:r>
      <w:r w:rsidRPr="004E63BE">
        <w:rPr>
          <w:rFonts w:cs="Times New Roman"/>
          <w:i/>
          <w:iCs/>
          <w:color w:val="1B1B1B"/>
          <w:szCs w:val="24"/>
          <w:shd w:val="clear" w:color="auto" w:fill="FFFFFF"/>
        </w:rPr>
        <w:t>11</w:t>
      </w:r>
      <w:r w:rsidRPr="004E63BE">
        <w:rPr>
          <w:rFonts w:cs="Times New Roman"/>
          <w:color w:val="1B1B1B"/>
          <w:szCs w:val="24"/>
          <w:shd w:val="clear" w:color="auto" w:fill="FFFFFF"/>
        </w:rPr>
        <w:t xml:space="preserve">(1), e047446. </w:t>
      </w:r>
      <w:hyperlink r:id="rId7" w:history="1">
        <w:r w:rsidRPr="004E63BE">
          <w:rPr>
            <w:rStyle w:val="Hyperlink"/>
            <w:rFonts w:cs="Times New Roman"/>
            <w:szCs w:val="24"/>
            <w:shd w:val="clear" w:color="auto" w:fill="FFFFFF"/>
          </w:rPr>
          <w:t>https://doi.org/10.1136/bmjopen-2020-047446</w:t>
        </w:r>
      </w:hyperlink>
      <w:r w:rsidRPr="004E63BE">
        <w:rPr>
          <w:rFonts w:cs="Times New Roman"/>
          <w:color w:val="1B1B1B"/>
          <w:szCs w:val="24"/>
          <w:shd w:val="clear" w:color="auto" w:fill="FFFFFF"/>
        </w:rPr>
        <w:t xml:space="preserve"> </w:t>
      </w:r>
    </w:p>
    <w:p w14:paraId="09DC6FF8" w14:textId="0404688F" w:rsidR="006E5367" w:rsidRPr="006E5367" w:rsidRDefault="006E5367" w:rsidP="006E5367">
      <w:pPr>
        <w:ind w:left="720" w:hanging="720"/>
        <w:rPr>
          <w:rFonts w:cs="Times New Roman"/>
          <w:color w:val="1B1B1B"/>
          <w:szCs w:val="24"/>
          <w:shd w:val="clear" w:color="auto" w:fill="FFFFFF"/>
        </w:rPr>
      </w:pPr>
      <w:r w:rsidRPr="004E63BE">
        <w:rPr>
          <w:rFonts w:cs="Times New Roman"/>
          <w:color w:val="1B1B1B"/>
          <w:szCs w:val="24"/>
          <w:shd w:val="clear" w:color="auto" w:fill="FFFFFF"/>
        </w:rPr>
        <w:t xml:space="preserve">Trout, K. E., Chen, L. W., Wilson, F. A., </w:t>
      </w:r>
      <w:proofErr w:type="spellStart"/>
      <w:r w:rsidRPr="004E63BE">
        <w:rPr>
          <w:rFonts w:cs="Times New Roman"/>
          <w:color w:val="1B1B1B"/>
          <w:szCs w:val="24"/>
          <w:shd w:val="clear" w:color="auto" w:fill="FFFFFF"/>
        </w:rPr>
        <w:t>Tak</w:t>
      </w:r>
      <w:proofErr w:type="spellEnd"/>
      <w:r w:rsidRPr="004E63BE">
        <w:rPr>
          <w:rFonts w:cs="Times New Roman"/>
          <w:color w:val="1B1B1B"/>
          <w:szCs w:val="24"/>
          <w:shd w:val="clear" w:color="auto" w:fill="FFFFFF"/>
        </w:rPr>
        <w:t>, H. J., &amp; Palm, D. (2022). The impact of meaningful use and electronic health records on hospital patient safety. </w:t>
      </w:r>
      <w:r w:rsidRPr="004E63BE">
        <w:rPr>
          <w:rFonts w:cs="Times New Roman"/>
          <w:i/>
          <w:iCs/>
          <w:color w:val="1B1B1B"/>
          <w:szCs w:val="24"/>
          <w:shd w:val="clear" w:color="auto" w:fill="FFFFFF"/>
        </w:rPr>
        <w:t>International Journal of Environmental Research and Public Health</w:t>
      </w:r>
      <w:r w:rsidRPr="004E63BE">
        <w:rPr>
          <w:rFonts w:cs="Times New Roman"/>
          <w:color w:val="1B1B1B"/>
          <w:szCs w:val="24"/>
          <w:shd w:val="clear" w:color="auto" w:fill="FFFFFF"/>
        </w:rPr>
        <w:t>, </w:t>
      </w:r>
      <w:r w:rsidRPr="004E63BE">
        <w:rPr>
          <w:rFonts w:cs="Times New Roman"/>
          <w:i/>
          <w:iCs/>
          <w:color w:val="1B1B1B"/>
          <w:szCs w:val="24"/>
          <w:shd w:val="clear" w:color="auto" w:fill="FFFFFF"/>
        </w:rPr>
        <w:t>19</w:t>
      </w:r>
      <w:r w:rsidRPr="004E63BE">
        <w:rPr>
          <w:rFonts w:cs="Times New Roman"/>
          <w:color w:val="1B1B1B"/>
          <w:szCs w:val="24"/>
          <w:shd w:val="clear" w:color="auto" w:fill="FFFFFF"/>
        </w:rPr>
        <w:t xml:space="preserve">(19), 12525. </w:t>
      </w:r>
      <w:hyperlink r:id="rId8" w:history="1">
        <w:r w:rsidRPr="004E63BE">
          <w:rPr>
            <w:rStyle w:val="Hyperlink"/>
            <w:rFonts w:cs="Times New Roman"/>
            <w:szCs w:val="24"/>
            <w:shd w:val="clear" w:color="auto" w:fill="FFFFFF"/>
          </w:rPr>
          <w:t>https://doi.org/10.3390/ijerph191912525</w:t>
        </w:r>
      </w:hyperlink>
      <w:r w:rsidRPr="004E63BE">
        <w:rPr>
          <w:rFonts w:cs="Times New Roman"/>
          <w:color w:val="1B1B1B"/>
          <w:szCs w:val="24"/>
          <w:shd w:val="clear" w:color="auto" w:fill="FFFFFF"/>
        </w:rPr>
        <w:t xml:space="preserve"> </w:t>
      </w:r>
    </w:p>
    <w:p w14:paraId="4C821FB2" w14:textId="3B60A5B1" w:rsidR="006E5367" w:rsidRPr="004E63BE" w:rsidRDefault="006E5367" w:rsidP="006E5367">
      <w:pPr>
        <w:ind w:left="720" w:hanging="720"/>
        <w:rPr>
          <w:rFonts w:cs="Times New Roman"/>
          <w:color w:val="1B1B1B"/>
          <w:szCs w:val="24"/>
          <w:shd w:val="clear" w:color="auto" w:fill="FFFFFF"/>
        </w:rPr>
      </w:pPr>
      <w:r w:rsidRPr="004E63BE">
        <w:rPr>
          <w:rFonts w:cs="Times New Roman"/>
          <w:color w:val="1B1B1B"/>
          <w:szCs w:val="24"/>
          <w:shd w:val="clear" w:color="auto" w:fill="FFFFFF"/>
        </w:rPr>
        <w:t xml:space="preserve">Wong, S. P., Jacobson, H. N., Massengill, J., White, H. K., &amp; </w:t>
      </w:r>
      <w:proofErr w:type="spellStart"/>
      <w:r w:rsidRPr="004E63BE">
        <w:rPr>
          <w:rFonts w:cs="Times New Roman"/>
          <w:color w:val="1B1B1B"/>
          <w:szCs w:val="24"/>
          <w:shd w:val="clear" w:color="auto" w:fill="FFFFFF"/>
        </w:rPr>
        <w:t>Yanamadala</w:t>
      </w:r>
      <w:proofErr w:type="spellEnd"/>
      <w:r w:rsidRPr="004E63BE">
        <w:rPr>
          <w:rFonts w:cs="Times New Roman"/>
          <w:color w:val="1B1B1B"/>
          <w:szCs w:val="24"/>
          <w:shd w:val="clear" w:color="auto" w:fill="FFFFFF"/>
        </w:rPr>
        <w:t>, M. (2020). Safe Interorganizational Health Information Exchange During the COVID-19 Pandemic. </w:t>
      </w:r>
      <w:r w:rsidRPr="004E63BE">
        <w:rPr>
          <w:rFonts w:cs="Times New Roman"/>
          <w:i/>
          <w:iCs/>
          <w:color w:val="1B1B1B"/>
          <w:szCs w:val="24"/>
          <w:shd w:val="clear" w:color="auto" w:fill="FFFFFF"/>
        </w:rPr>
        <w:t>Journal of the American Medical Directors Association</w:t>
      </w:r>
      <w:r w:rsidRPr="004E63BE">
        <w:rPr>
          <w:rFonts w:cs="Times New Roman"/>
          <w:color w:val="1B1B1B"/>
          <w:szCs w:val="24"/>
          <w:shd w:val="clear" w:color="auto" w:fill="FFFFFF"/>
        </w:rPr>
        <w:t>, </w:t>
      </w:r>
      <w:r w:rsidRPr="004E63BE">
        <w:rPr>
          <w:rFonts w:cs="Times New Roman"/>
          <w:i/>
          <w:iCs/>
          <w:color w:val="1B1B1B"/>
          <w:szCs w:val="24"/>
          <w:shd w:val="clear" w:color="auto" w:fill="FFFFFF"/>
        </w:rPr>
        <w:t>21</w:t>
      </w:r>
      <w:r w:rsidRPr="004E63BE">
        <w:rPr>
          <w:rFonts w:cs="Times New Roman"/>
          <w:color w:val="1B1B1B"/>
          <w:szCs w:val="24"/>
          <w:shd w:val="clear" w:color="auto" w:fill="FFFFFF"/>
        </w:rPr>
        <w:t xml:space="preserve">(12), 1808–1810. </w:t>
      </w:r>
      <w:hyperlink r:id="rId9" w:history="1">
        <w:r w:rsidRPr="00264113">
          <w:rPr>
            <w:rStyle w:val="Hyperlink"/>
            <w:rFonts w:cs="Times New Roman"/>
            <w:szCs w:val="24"/>
            <w:shd w:val="clear" w:color="auto" w:fill="FFFFFF"/>
          </w:rPr>
          <w:t>https://doi.org/10.1016/j.jamda.2020.10.022</w:t>
        </w:r>
      </w:hyperlink>
      <w:r w:rsidRPr="004E63BE">
        <w:rPr>
          <w:rFonts w:cs="Times New Roman"/>
          <w:color w:val="1B1B1B"/>
          <w:szCs w:val="24"/>
          <w:shd w:val="clear" w:color="auto" w:fill="FFFFFF"/>
        </w:rPr>
        <w:t xml:space="preserve"> </w:t>
      </w:r>
    </w:p>
    <w:p w14:paraId="1B7DCFB5" w14:textId="77777777" w:rsidR="006E5367" w:rsidRPr="006E5367" w:rsidRDefault="006E5367" w:rsidP="006E5367"/>
    <w:sectPr w:rsidR="006E5367" w:rsidRPr="006E5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E7"/>
    <w:rsid w:val="000E5C33"/>
    <w:rsid w:val="0028377A"/>
    <w:rsid w:val="00304C95"/>
    <w:rsid w:val="004C348D"/>
    <w:rsid w:val="005906F1"/>
    <w:rsid w:val="005F3260"/>
    <w:rsid w:val="00655459"/>
    <w:rsid w:val="006C0CE7"/>
    <w:rsid w:val="006E5367"/>
    <w:rsid w:val="0093358A"/>
    <w:rsid w:val="00B251DC"/>
    <w:rsid w:val="00ED0BD5"/>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7418"/>
  <w15:chartTrackingRefBased/>
  <w15:docId w15:val="{22CC2698-24FC-417F-BA63-AE59048B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C33"/>
    <w:rPr>
      <w:color w:val="0563C1" w:themeColor="hyperlink"/>
      <w:u w:val="single"/>
    </w:rPr>
  </w:style>
  <w:style w:type="character" w:styleId="UnresolvedMention">
    <w:name w:val="Unresolved Mention"/>
    <w:basedOn w:val="DefaultParagraphFont"/>
    <w:uiPriority w:val="99"/>
    <w:semiHidden/>
    <w:unhideWhenUsed/>
    <w:rsid w:val="006E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91912525" TargetMode="External"/><Relationship Id="rId3" Type="http://schemas.openxmlformats.org/officeDocument/2006/relationships/webSettings" Target="webSettings.xml"/><Relationship Id="rId7" Type="http://schemas.openxmlformats.org/officeDocument/2006/relationships/hyperlink" Target="https://doi.org/10.1136/bmjopen-2020-0474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outlook.2023.101918" TargetMode="External"/><Relationship Id="rId11" Type="http://schemas.openxmlformats.org/officeDocument/2006/relationships/theme" Target="theme/theme1.xml"/><Relationship Id="rId5" Type="http://schemas.openxmlformats.org/officeDocument/2006/relationships/hyperlink" Target="https://doi.org/10.2196/13313" TargetMode="External"/><Relationship Id="rId10" Type="http://schemas.openxmlformats.org/officeDocument/2006/relationships/fontTable" Target="fontTable.xml"/><Relationship Id="rId4" Type="http://schemas.openxmlformats.org/officeDocument/2006/relationships/hyperlink" Target="https://doi.org/10.1371/journal.pdig.0000279" TargetMode="External"/><Relationship Id="rId9" Type="http://schemas.openxmlformats.org/officeDocument/2006/relationships/hyperlink" Target="https://doi.org/10.1016/j.jamda.2020.1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2025-08-08T16:32:00Z</dcterms:created>
  <dcterms:modified xsi:type="dcterms:W3CDTF">2025-08-08T18:08:00Z</dcterms:modified>
</cp:coreProperties>
</file>