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3DA20" w14:textId="1F2D88AE" w:rsidR="00ED0BD5" w:rsidRDefault="007F3D10">
      <w:pPr>
        <w:rPr>
          <w:b/>
        </w:rPr>
      </w:pPr>
      <w:r>
        <w:rPr>
          <w:b/>
        </w:rPr>
        <w:t xml:space="preserve">Hello Edith, </w:t>
      </w:r>
    </w:p>
    <w:p w14:paraId="0A8672DD" w14:textId="77777777" w:rsidR="00811798" w:rsidRDefault="00B91AED">
      <w:r>
        <w:t xml:space="preserve">I appreciate your thoughtful and insightful discussion, highlighting several policy recommendations to enhance access to digital solutions and improve nurses’ working conditions. I was particularly drawn to your recommendation on implementing comprehensive digital health education and training. I agree that technologies would be insufficient when the nursing workforce is underprepared. Workforce digital literacy is a foundation for sustainable adoption and use of digital solutions. Indeed, this is in the backdrop of the widening gap between workforce preparedness and technology adoption. As Morris et al. (2023) observed, many healthcare systems introduced advanced digital solutions rapidly without offering structured training and ongoing mentorship. In turn, this creates challenges for the nursing workforce in adopting and using the solutions effectively. Structured training programs delivered via blended learning formats could close the knowledge gap, while ensuring flexibility for the nurses. </w:t>
      </w:r>
      <w:r w:rsidR="00811798">
        <w:t xml:space="preserve">Extending this argument, healthcare organizations should include protected time for training, considering that workload demands could hinder nurses’ participation in voluntary programs. Indeed, </w:t>
      </w:r>
      <w:proofErr w:type="spellStart"/>
      <w:r w:rsidR="00811798">
        <w:t>Kleib</w:t>
      </w:r>
      <w:proofErr w:type="spellEnd"/>
      <w:r w:rsidR="00811798">
        <w:t xml:space="preserve"> et al. (2024) emphasized that late exposure to informatics in academic and practice settings creates challenges for nurses in using the solutions effectively. The suggestion reifies that embedding digital health literacy in pre-licensure education and continuing professional development would be crucial to filling the gap. One additional suggestion is integrating mentorship programs in the healthcare settings. Proficient nurses can provide crucial support to novice nurses during their transition to practice. The peer-led learning format could counter resistance to change and foster team-based learning and collaboration.</w:t>
      </w:r>
    </w:p>
    <w:p w14:paraId="30E12E17" w14:textId="3ACDC0BE" w:rsidR="007F3D10" w:rsidRDefault="00811798" w:rsidP="00811798">
      <w:pPr>
        <w:jc w:val="center"/>
        <w:rPr>
          <w:b/>
        </w:rPr>
      </w:pPr>
      <w:r>
        <w:rPr>
          <w:b/>
        </w:rPr>
        <w:t xml:space="preserve">References </w:t>
      </w:r>
    </w:p>
    <w:p w14:paraId="4CB11A98" w14:textId="77777777" w:rsidR="00EB3102" w:rsidRPr="00AD7EDD" w:rsidRDefault="00EB3102" w:rsidP="00EB3102">
      <w:pPr>
        <w:ind w:left="720" w:hanging="720"/>
        <w:rPr>
          <w:rFonts w:cs="Times New Roman"/>
          <w:color w:val="1B1B1B"/>
          <w:szCs w:val="24"/>
          <w:shd w:val="clear" w:color="auto" w:fill="FFFFFF"/>
        </w:rPr>
      </w:pPr>
      <w:proofErr w:type="spellStart"/>
      <w:r w:rsidRPr="00AD7EDD">
        <w:rPr>
          <w:rFonts w:cs="Times New Roman"/>
          <w:color w:val="1B1B1B"/>
          <w:szCs w:val="24"/>
          <w:shd w:val="clear" w:color="auto" w:fill="FFFFFF"/>
        </w:rPr>
        <w:lastRenderedPageBreak/>
        <w:t>Kleib</w:t>
      </w:r>
      <w:proofErr w:type="spellEnd"/>
      <w:r w:rsidRPr="00AD7EDD">
        <w:rPr>
          <w:rFonts w:cs="Times New Roman"/>
          <w:color w:val="1B1B1B"/>
          <w:szCs w:val="24"/>
          <w:shd w:val="clear" w:color="auto" w:fill="FFFFFF"/>
        </w:rPr>
        <w:t xml:space="preserve">, M., </w:t>
      </w:r>
      <w:proofErr w:type="spellStart"/>
      <w:r w:rsidRPr="00AD7EDD">
        <w:rPr>
          <w:rFonts w:cs="Times New Roman"/>
          <w:color w:val="1B1B1B"/>
          <w:szCs w:val="24"/>
          <w:shd w:val="clear" w:color="auto" w:fill="FFFFFF"/>
        </w:rPr>
        <w:t>Arnaert</w:t>
      </w:r>
      <w:proofErr w:type="spellEnd"/>
      <w:r w:rsidRPr="00AD7EDD">
        <w:rPr>
          <w:rFonts w:cs="Times New Roman"/>
          <w:color w:val="1B1B1B"/>
          <w:szCs w:val="24"/>
          <w:shd w:val="clear" w:color="auto" w:fill="FFFFFF"/>
        </w:rPr>
        <w:t>, A., Nagle, L. M., Ali, S., Idrees, S., Costa, D. D., Kennedy, M., &amp; Darko, E. M. (2024). Digital health education and training for undergraduate and graduate nursing students: Scoping review. </w:t>
      </w:r>
      <w:r w:rsidRPr="00AD7EDD">
        <w:rPr>
          <w:rFonts w:cs="Times New Roman"/>
          <w:i/>
          <w:iCs/>
          <w:color w:val="1B1B1B"/>
          <w:szCs w:val="24"/>
          <w:shd w:val="clear" w:color="auto" w:fill="FFFFFF"/>
        </w:rPr>
        <w:t>JMIR Nursing</w:t>
      </w:r>
      <w:r w:rsidRPr="00AD7EDD">
        <w:rPr>
          <w:rFonts w:cs="Times New Roman"/>
          <w:color w:val="1B1B1B"/>
          <w:szCs w:val="24"/>
          <w:shd w:val="clear" w:color="auto" w:fill="FFFFFF"/>
        </w:rPr>
        <w:t>, </w:t>
      </w:r>
      <w:r w:rsidRPr="00AD7EDD">
        <w:rPr>
          <w:rFonts w:cs="Times New Roman"/>
          <w:i/>
          <w:iCs/>
          <w:color w:val="1B1B1B"/>
          <w:szCs w:val="24"/>
          <w:shd w:val="clear" w:color="auto" w:fill="FFFFFF"/>
        </w:rPr>
        <w:t>7</w:t>
      </w:r>
      <w:r w:rsidRPr="00AD7EDD">
        <w:rPr>
          <w:rFonts w:cs="Times New Roman"/>
          <w:color w:val="1B1B1B"/>
          <w:szCs w:val="24"/>
          <w:shd w:val="clear" w:color="auto" w:fill="FFFFFF"/>
        </w:rPr>
        <w:t xml:space="preserve">, e58170. </w:t>
      </w:r>
      <w:hyperlink r:id="rId4" w:history="1">
        <w:r w:rsidRPr="00AD7EDD">
          <w:rPr>
            <w:rStyle w:val="Hyperlink"/>
            <w:rFonts w:cs="Times New Roman"/>
            <w:szCs w:val="24"/>
            <w:shd w:val="clear" w:color="auto" w:fill="FFFFFF"/>
          </w:rPr>
          <w:t>https://doi.org/10.2196/58170</w:t>
        </w:r>
      </w:hyperlink>
      <w:r w:rsidRPr="00AD7EDD">
        <w:rPr>
          <w:rFonts w:cs="Times New Roman"/>
          <w:color w:val="1B1B1B"/>
          <w:szCs w:val="24"/>
          <w:shd w:val="clear" w:color="auto" w:fill="FFFFFF"/>
        </w:rPr>
        <w:t xml:space="preserve"> </w:t>
      </w:r>
    </w:p>
    <w:p w14:paraId="1EEF2F12" w14:textId="77777777" w:rsidR="00EB3102" w:rsidRPr="00AD7EDD" w:rsidRDefault="00EB3102" w:rsidP="00EB3102">
      <w:pPr>
        <w:ind w:left="720" w:hanging="720"/>
        <w:rPr>
          <w:rFonts w:cs="Times New Roman"/>
          <w:color w:val="1B1B1B"/>
          <w:szCs w:val="24"/>
          <w:shd w:val="clear" w:color="auto" w:fill="FFFFFF"/>
        </w:rPr>
      </w:pPr>
      <w:r w:rsidRPr="00AD7EDD">
        <w:rPr>
          <w:rFonts w:cs="Times New Roman"/>
          <w:color w:val="1B1B1B"/>
          <w:szCs w:val="24"/>
          <w:shd w:val="clear" w:color="auto" w:fill="FFFFFF"/>
        </w:rPr>
        <w:t xml:space="preserve">Morris, M. E., </w:t>
      </w:r>
      <w:proofErr w:type="spellStart"/>
      <w:r w:rsidRPr="00AD7EDD">
        <w:rPr>
          <w:rFonts w:cs="Times New Roman"/>
          <w:color w:val="1B1B1B"/>
          <w:szCs w:val="24"/>
          <w:shd w:val="clear" w:color="auto" w:fill="FFFFFF"/>
        </w:rPr>
        <w:t>Brusco</w:t>
      </w:r>
      <w:proofErr w:type="spellEnd"/>
      <w:r w:rsidRPr="00AD7EDD">
        <w:rPr>
          <w:rFonts w:cs="Times New Roman"/>
          <w:color w:val="1B1B1B"/>
          <w:szCs w:val="24"/>
          <w:shd w:val="clear" w:color="auto" w:fill="FFFFFF"/>
        </w:rPr>
        <w:t xml:space="preserve">, N. K., Jones, J., Taylor, N. F., East, C. E., </w:t>
      </w:r>
      <w:proofErr w:type="spellStart"/>
      <w:r w:rsidRPr="00AD7EDD">
        <w:rPr>
          <w:rFonts w:cs="Times New Roman"/>
          <w:color w:val="1B1B1B"/>
          <w:szCs w:val="24"/>
          <w:shd w:val="clear" w:color="auto" w:fill="FFFFFF"/>
        </w:rPr>
        <w:t>Semciw</w:t>
      </w:r>
      <w:proofErr w:type="spellEnd"/>
      <w:r w:rsidRPr="00AD7EDD">
        <w:rPr>
          <w:rFonts w:cs="Times New Roman"/>
          <w:color w:val="1B1B1B"/>
          <w:szCs w:val="24"/>
          <w:shd w:val="clear" w:color="auto" w:fill="FFFFFF"/>
        </w:rPr>
        <w:t xml:space="preserve">, A. I., </w:t>
      </w:r>
      <w:proofErr w:type="spellStart"/>
      <w:r w:rsidRPr="00AD7EDD">
        <w:rPr>
          <w:rFonts w:cs="Times New Roman"/>
          <w:color w:val="1B1B1B"/>
          <w:szCs w:val="24"/>
          <w:shd w:val="clear" w:color="auto" w:fill="FFFFFF"/>
        </w:rPr>
        <w:t>Edvardsson</w:t>
      </w:r>
      <w:proofErr w:type="spellEnd"/>
      <w:r w:rsidRPr="00AD7EDD">
        <w:rPr>
          <w:rFonts w:cs="Times New Roman"/>
          <w:color w:val="1B1B1B"/>
          <w:szCs w:val="24"/>
          <w:shd w:val="clear" w:color="auto" w:fill="FFFFFF"/>
        </w:rPr>
        <w:t>, K., Thwaites, C., Bourke, S. L., Raza Khan, U., Fowler-Davis, S., &amp; Oldenburg, B. (2023). The widening gap between the digital capability of the care workforce and technology-enabled healthcare delivery: A nursing and allied health analysis. </w:t>
      </w:r>
      <w:r w:rsidRPr="00AD7EDD">
        <w:rPr>
          <w:rFonts w:cs="Times New Roman"/>
          <w:i/>
          <w:iCs/>
          <w:color w:val="1B1B1B"/>
          <w:szCs w:val="24"/>
          <w:shd w:val="clear" w:color="auto" w:fill="FFFFFF"/>
        </w:rPr>
        <w:t>Healthcare (Basel, Switzerland)</w:t>
      </w:r>
      <w:r w:rsidRPr="00AD7EDD">
        <w:rPr>
          <w:rFonts w:cs="Times New Roman"/>
          <w:color w:val="1B1B1B"/>
          <w:szCs w:val="24"/>
          <w:shd w:val="clear" w:color="auto" w:fill="FFFFFF"/>
        </w:rPr>
        <w:t>, </w:t>
      </w:r>
      <w:r w:rsidRPr="00AD7EDD">
        <w:rPr>
          <w:rFonts w:cs="Times New Roman"/>
          <w:i/>
          <w:iCs/>
          <w:color w:val="1B1B1B"/>
          <w:szCs w:val="24"/>
          <w:shd w:val="clear" w:color="auto" w:fill="FFFFFF"/>
        </w:rPr>
        <w:t>11</w:t>
      </w:r>
      <w:r w:rsidRPr="00AD7EDD">
        <w:rPr>
          <w:rFonts w:cs="Times New Roman"/>
          <w:color w:val="1B1B1B"/>
          <w:szCs w:val="24"/>
          <w:shd w:val="clear" w:color="auto" w:fill="FFFFFF"/>
        </w:rPr>
        <w:t xml:space="preserve">(7), 994. </w:t>
      </w:r>
      <w:hyperlink r:id="rId5" w:history="1">
        <w:r w:rsidRPr="00AD7EDD">
          <w:rPr>
            <w:rStyle w:val="Hyperlink"/>
            <w:rFonts w:cs="Times New Roman"/>
            <w:szCs w:val="24"/>
            <w:shd w:val="clear" w:color="auto" w:fill="FFFFFF"/>
          </w:rPr>
          <w:t>https://doi.org/10.3390/healthcare11070994</w:t>
        </w:r>
      </w:hyperlink>
      <w:r w:rsidRPr="00AD7EDD">
        <w:rPr>
          <w:rFonts w:cs="Times New Roman"/>
          <w:color w:val="1B1B1B"/>
          <w:szCs w:val="24"/>
          <w:shd w:val="clear" w:color="auto" w:fill="FFFFFF"/>
        </w:rPr>
        <w:t xml:space="preserve"> </w:t>
      </w:r>
    </w:p>
    <w:p w14:paraId="0267FB6A" w14:textId="6A24C26F" w:rsidR="00811798" w:rsidRDefault="00811798" w:rsidP="00811798"/>
    <w:p w14:paraId="2BFA4117" w14:textId="77777777" w:rsidR="00EB3102" w:rsidRDefault="00EB3102">
      <w:pPr>
        <w:rPr>
          <w:b/>
        </w:rPr>
      </w:pPr>
      <w:r>
        <w:rPr>
          <w:b/>
        </w:rPr>
        <w:br w:type="page"/>
      </w:r>
    </w:p>
    <w:p w14:paraId="1F440D9F" w14:textId="58ED8AFF" w:rsidR="00811798" w:rsidRDefault="00811798" w:rsidP="00811798">
      <w:pPr>
        <w:rPr>
          <w:b/>
        </w:rPr>
      </w:pPr>
      <w:r>
        <w:rPr>
          <w:b/>
        </w:rPr>
        <w:lastRenderedPageBreak/>
        <w:t>Hello Beth,</w:t>
      </w:r>
    </w:p>
    <w:p w14:paraId="28FCE3EE" w14:textId="4F46C4D3" w:rsidR="00811798" w:rsidRDefault="00811798" w:rsidP="00811798">
      <w:r>
        <w:t xml:space="preserve">Thank you for your insightful discussion. I particularly appreciated your policy recommendation on establishing interoperable systems to enhance access and improve nurses’ working conditions. As you aptly emphasized, fragmented and non-interoperable systems lead to significant redundancy, inefficiencies, and job dissatisfaction among nurses. I strongly agree about the importance of </w:t>
      </w:r>
      <w:r w:rsidR="00F42C3D">
        <w:t xml:space="preserve">engaging frontline care staff in the design and implementation to ensure the systems reflect the realities of bedside care. Interoperable systems could significantly contribute to reducing nurses’ workload and improving the continuity of care. Indeed, </w:t>
      </w:r>
      <w:proofErr w:type="spellStart"/>
      <w:r w:rsidR="00F42C3D">
        <w:t>Mohammadnejad</w:t>
      </w:r>
      <w:proofErr w:type="spellEnd"/>
      <w:r w:rsidR="00F42C3D">
        <w:t xml:space="preserve"> et al. (2023) observed that fragmented systems increased the time spent duplicating and locating information, detracting from direct patient care. Therefore, your observation that such systems simplify monotonous documentation carries significant weight. This is in the backdrop of the role of administrative burden in driving burnout among nurses. </w:t>
      </w:r>
      <w:r w:rsidR="00EB3102">
        <w:t>I also agree that AI has transformative power and could lead to further improvements</w:t>
      </w:r>
      <w:r w:rsidR="00EB3102">
        <w:t xml:space="preserve">. </w:t>
      </w:r>
      <w:r w:rsidR="00F42C3D">
        <w:t xml:space="preserve">For example, the literature points out to the application of AI-driven technologies in </w:t>
      </w:r>
      <w:r w:rsidR="00EB3102">
        <w:t>workforce management (Galiano et al., 2024). Through prescriptive and predictive models, these systems could aid in forecasting seasonal patterns, informing staffing level planning and real-time deployment or deployment of nurses to meet ward staffing needs (</w:t>
      </w:r>
      <w:r w:rsidR="00EB3102">
        <w:t>Moreno-Fergusson et al., 2021</w:t>
      </w:r>
      <w:r w:rsidR="00EB3102">
        <w:t xml:space="preserve">). </w:t>
      </w:r>
      <w:r w:rsidR="00F42C3D">
        <w:t xml:space="preserve">I really appreciated your observation that integrating these solutions requires policy-backed legislation and funding. Government mandates or incentives could improve consistent accessibility, contributing positively to equality in access and use. </w:t>
      </w:r>
      <w:r w:rsidR="00EB3102">
        <w:t>Your emphasis on interoperability resonates with the global calls for digital inclusivity as a way of advancing health equity.</w:t>
      </w:r>
    </w:p>
    <w:p w14:paraId="68F9AEBD" w14:textId="36F6A2C5" w:rsidR="00EB3102" w:rsidRDefault="00EB3102" w:rsidP="00EB3102">
      <w:pPr>
        <w:jc w:val="center"/>
        <w:rPr>
          <w:b/>
        </w:rPr>
      </w:pPr>
      <w:r>
        <w:rPr>
          <w:b/>
        </w:rPr>
        <w:t xml:space="preserve">References </w:t>
      </w:r>
    </w:p>
    <w:p w14:paraId="2ECF2D91" w14:textId="7F2E9F85" w:rsidR="00EB3102" w:rsidRDefault="00EB3102" w:rsidP="00EB3102">
      <w:pPr>
        <w:ind w:left="720" w:hanging="720"/>
        <w:rPr>
          <w:rStyle w:val="Hyperlink"/>
          <w:rFonts w:cs="Times New Roman"/>
          <w:szCs w:val="24"/>
          <w:shd w:val="clear" w:color="auto" w:fill="FFFFFF"/>
        </w:rPr>
      </w:pPr>
      <w:r w:rsidRPr="00AD7EDD">
        <w:rPr>
          <w:rFonts w:cs="Times New Roman"/>
          <w:color w:val="1B1B1B"/>
          <w:szCs w:val="24"/>
          <w:shd w:val="clear" w:color="auto" w:fill="FFFFFF"/>
        </w:rPr>
        <w:lastRenderedPageBreak/>
        <w:t xml:space="preserve">Galiano, M. A., Moreno Fergusson, M. E., Guerrero, W. J., </w:t>
      </w:r>
      <w:proofErr w:type="spellStart"/>
      <w:r w:rsidRPr="00AD7EDD">
        <w:rPr>
          <w:rFonts w:cs="Times New Roman"/>
          <w:color w:val="1B1B1B"/>
          <w:szCs w:val="24"/>
          <w:shd w:val="clear" w:color="auto" w:fill="FFFFFF"/>
        </w:rPr>
        <w:t>Muñóz</w:t>
      </w:r>
      <w:proofErr w:type="spellEnd"/>
      <w:r w:rsidRPr="00AD7EDD">
        <w:rPr>
          <w:rFonts w:cs="Times New Roman"/>
          <w:color w:val="1B1B1B"/>
          <w:szCs w:val="24"/>
          <w:shd w:val="clear" w:color="auto" w:fill="FFFFFF"/>
        </w:rPr>
        <w:t xml:space="preserve">, M. F., Ortiz </w:t>
      </w:r>
      <w:proofErr w:type="spellStart"/>
      <w:r w:rsidRPr="00AD7EDD">
        <w:rPr>
          <w:rFonts w:cs="Times New Roman"/>
          <w:color w:val="1B1B1B"/>
          <w:szCs w:val="24"/>
          <w:shd w:val="clear" w:color="auto" w:fill="FFFFFF"/>
        </w:rPr>
        <w:t>Basto</w:t>
      </w:r>
      <w:proofErr w:type="spellEnd"/>
      <w:r w:rsidRPr="00AD7EDD">
        <w:rPr>
          <w:rFonts w:cs="Times New Roman"/>
          <w:color w:val="1B1B1B"/>
          <w:szCs w:val="24"/>
          <w:shd w:val="clear" w:color="auto" w:fill="FFFFFF"/>
        </w:rPr>
        <w:t xml:space="preserve">, G. A., Cardenas Ramírez, J. S., Guevara Lozano, M., &amp; </w:t>
      </w:r>
      <w:proofErr w:type="spellStart"/>
      <w:r w:rsidRPr="00AD7EDD">
        <w:rPr>
          <w:rFonts w:cs="Times New Roman"/>
          <w:color w:val="1B1B1B"/>
          <w:szCs w:val="24"/>
          <w:shd w:val="clear" w:color="auto" w:fill="FFFFFF"/>
        </w:rPr>
        <w:t>Larraín</w:t>
      </w:r>
      <w:proofErr w:type="spellEnd"/>
      <w:r w:rsidRPr="00AD7EDD">
        <w:rPr>
          <w:rFonts w:cs="Times New Roman"/>
          <w:color w:val="1B1B1B"/>
          <w:szCs w:val="24"/>
          <w:shd w:val="clear" w:color="auto" w:fill="FFFFFF"/>
        </w:rPr>
        <w:t xml:space="preserve"> Sundt, A. (2024). Technological innovation for workload allocation in nursing care management: An integrative review. </w:t>
      </w:r>
      <w:r w:rsidRPr="00AD7EDD">
        <w:rPr>
          <w:rFonts w:cs="Times New Roman"/>
          <w:i/>
          <w:iCs/>
          <w:color w:val="1B1B1B"/>
          <w:szCs w:val="24"/>
          <w:shd w:val="clear" w:color="auto" w:fill="FFFFFF"/>
        </w:rPr>
        <w:t>F1000Research</w:t>
      </w:r>
      <w:r w:rsidRPr="00AD7EDD">
        <w:rPr>
          <w:rFonts w:cs="Times New Roman"/>
          <w:color w:val="1B1B1B"/>
          <w:szCs w:val="24"/>
          <w:shd w:val="clear" w:color="auto" w:fill="FFFFFF"/>
        </w:rPr>
        <w:t>, </w:t>
      </w:r>
      <w:r w:rsidRPr="00AD7EDD">
        <w:rPr>
          <w:rFonts w:cs="Times New Roman"/>
          <w:i/>
          <w:iCs/>
          <w:color w:val="1B1B1B"/>
          <w:szCs w:val="24"/>
          <w:shd w:val="clear" w:color="auto" w:fill="FFFFFF"/>
        </w:rPr>
        <w:t>12</w:t>
      </w:r>
      <w:r w:rsidRPr="00AD7EDD">
        <w:rPr>
          <w:rFonts w:cs="Times New Roman"/>
          <w:color w:val="1B1B1B"/>
          <w:szCs w:val="24"/>
          <w:shd w:val="clear" w:color="auto" w:fill="FFFFFF"/>
        </w:rPr>
        <w:t xml:space="preserve">, 104. </w:t>
      </w:r>
      <w:hyperlink r:id="rId6" w:history="1">
        <w:r w:rsidRPr="00AD7EDD">
          <w:rPr>
            <w:rStyle w:val="Hyperlink"/>
            <w:rFonts w:cs="Times New Roman"/>
            <w:szCs w:val="24"/>
            <w:shd w:val="clear" w:color="auto" w:fill="FFFFFF"/>
          </w:rPr>
          <w:t>https://doi.org/10.12688/f1000research.125421.3</w:t>
        </w:r>
      </w:hyperlink>
    </w:p>
    <w:p w14:paraId="18C11E36" w14:textId="77777777" w:rsidR="00EB3102" w:rsidRPr="00AD7EDD" w:rsidRDefault="00EB3102" w:rsidP="00EB3102">
      <w:pPr>
        <w:ind w:left="720" w:hanging="720"/>
        <w:rPr>
          <w:rFonts w:cs="Times New Roman"/>
          <w:color w:val="1B1B1B"/>
          <w:szCs w:val="24"/>
          <w:shd w:val="clear" w:color="auto" w:fill="FFFFFF"/>
        </w:rPr>
      </w:pPr>
      <w:proofErr w:type="spellStart"/>
      <w:r w:rsidRPr="00AD7EDD">
        <w:rPr>
          <w:rFonts w:cs="Times New Roman"/>
          <w:color w:val="1B1B1B"/>
          <w:szCs w:val="24"/>
          <w:shd w:val="clear" w:color="auto" w:fill="FFFFFF"/>
        </w:rPr>
        <w:t>Mohammadnejad</w:t>
      </w:r>
      <w:proofErr w:type="spellEnd"/>
      <w:r w:rsidRPr="00AD7EDD">
        <w:rPr>
          <w:rFonts w:cs="Times New Roman"/>
          <w:color w:val="1B1B1B"/>
          <w:szCs w:val="24"/>
          <w:shd w:val="clear" w:color="auto" w:fill="FFFFFF"/>
        </w:rPr>
        <w:t>, F., Freeman, S., Klassen-Ross, T., Hemingway, D., &amp; Banner, D. (2023). Impacts of technology use on the workload of registered nurses: A scoping review. </w:t>
      </w:r>
      <w:r w:rsidRPr="00AD7EDD">
        <w:rPr>
          <w:rFonts w:cs="Times New Roman"/>
          <w:i/>
          <w:iCs/>
          <w:color w:val="1B1B1B"/>
          <w:szCs w:val="24"/>
          <w:shd w:val="clear" w:color="auto" w:fill="FFFFFF"/>
        </w:rPr>
        <w:t>Journal of Rehabilitation and Assistive Technologies Engineering</w:t>
      </w:r>
      <w:r w:rsidRPr="00AD7EDD">
        <w:rPr>
          <w:rFonts w:cs="Times New Roman"/>
          <w:color w:val="1B1B1B"/>
          <w:szCs w:val="24"/>
          <w:shd w:val="clear" w:color="auto" w:fill="FFFFFF"/>
        </w:rPr>
        <w:t>, </w:t>
      </w:r>
      <w:r w:rsidRPr="00AD7EDD">
        <w:rPr>
          <w:rFonts w:cs="Times New Roman"/>
          <w:i/>
          <w:iCs/>
          <w:color w:val="1B1B1B"/>
          <w:szCs w:val="24"/>
          <w:shd w:val="clear" w:color="auto" w:fill="FFFFFF"/>
        </w:rPr>
        <w:t>10</w:t>
      </w:r>
      <w:r w:rsidRPr="00AD7EDD">
        <w:rPr>
          <w:rFonts w:cs="Times New Roman"/>
          <w:color w:val="1B1B1B"/>
          <w:szCs w:val="24"/>
          <w:shd w:val="clear" w:color="auto" w:fill="FFFFFF"/>
        </w:rPr>
        <w:t xml:space="preserve">, 20556683231180189. </w:t>
      </w:r>
      <w:hyperlink r:id="rId7" w:history="1">
        <w:r w:rsidRPr="00AD7EDD">
          <w:rPr>
            <w:rStyle w:val="Hyperlink"/>
            <w:rFonts w:cs="Times New Roman"/>
            <w:szCs w:val="24"/>
            <w:shd w:val="clear" w:color="auto" w:fill="FFFFFF"/>
          </w:rPr>
          <w:t>https://doi.org/10.1177/20556683231180189</w:t>
        </w:r>
      </w:hyperlink>
    </w:p>
    <w:p w14:paraId="3AAAA741" w14:textId="43B0B9A3" w:rsidR="00EB3102" w:rsidRPr="00EB3102" w:rsidRDefault="00EB3102" w:rsidP="00EB3102">
      <w:pPr>
        <w:ind w:left="720" w:hanging="720"/>
      </w:pPr>
      <w:r w:rsidRPr="00AD7EDD">
        <w:rPr>
          <w:rFonts w:cs="Times New Roman"/>
          <w:color w:val="1B1B1B"/>
          <w:szCs w:val="24"/>
          <w:shd w:val="clear" w:color="auto" w:fill="FFFFFF"/>
        </w:rPr>
        <w:t xml:space="preserve">Moreno-Fergusson, M. E., Guerrero Rueda, W. J., Ortiz </w:t>
      </w:r>
      <w:proofErr w:type="spellStart"/>
      <w:r w:rsidRPr="00AD7EDD">
        <w:rPr>
          <w:rFonts w:cs="Times New Roman"/>
          <w:color w:val="1B1B1B"/>
          <w:szCs w:val="24"/>
          <w:shd w:val="clear" w:color="auto" w:fill="FFFFFF"/>
        </w:rPr>
        <w:t>Basto</w:t>
      </w:r>
      <w:proofErr w:type="spellEnd"/>
      <w:r w:rsidRPr="00AD7EDD">
        <w:rPr>
          <w:rFonts w:cs="Times New Roman"/>
          <w:color w:val="1B1B1B"/>
          <w:szCs w:val="24"/>
          <w:shd w:val="clear" w:color="auto" w:fill="FFFFFF"/>
        </w:rPr>
        <w:t>, G. A., Arevalo Sandoval, I. A. L., &amp; Sanchez-Herrera, B. (2021). Analytics and lean health care to address nurse care management challenges for inpatients in emerging economies. </w:t>
      </w:r>
      <w:r w:rsidRPr="00AD7EDD">
        <w:rPr>
          <w:rFonts w:cs="Times New Roman"/>
          <w:i/>
          <w:iCs/>
          <w:color w:val="1B1B1B"/>
          <w:szCs w:val="24"/>
          <w:shd w:val="clear" w:color="auto" w:fill="FFFFFF"/>
        </w:rPr>
        <w:t>Journal of Nursing Scholarship: An Official Publication of Sigma Theta Tau International Honor Society of Nursing</w:t>
      </w:r>
      <w:r w:rsidRPr="00AD7EDD">
        <w:rPr>
          <w:rFonts w:cs="Times New Roman"/>
          <w:color w:val="1B1B1B"/>
          <w:szCs w:val="24"/>
          <w:shd w:val="clear" w:color="auto" w:fill="FFFFFF"/>
        </w:rPr>
        <w:t>, </w:t>
      </w:r>
      <w:r w:rsidRPr="00AD7EDD">
        <w:rPr>
          <w:rFonts w:cs="Times New Roman"/>
          <w:i/>
          <w:iCs/>
          <w:color w:val="1B1B1B"/>
          <w:szCs w:val="24"/>
          <w:shd w:val="clear" w:color="auto" w:fill="FFFFFF"/>
        </w:rPr>
        <w:t>53</w:t>
      </w:r>
      <w:r w:rsidRPr="00AD7EDD">
        <w:rPr>
          <w:rFonts w:cs="Times New Roman"/>
          <w:color w:val="1B1B1B"/>
          <w:szCs w:val="24"/>
          <w:shd w:val="clear" w:color="auto" w:fill="FFFFFF"/>
        </w:rPr>
        <w:t xml:space="preserve">(6), 803–814. </w:t>
      </w:r>
      <w:bookmarkStart w:id="0" w:name="_GoBack"/>
      <w:bookmarkEnd w:id="0"/>
      <w:r>
        <w:fldChar w:fldCharType="begin"/>
      </w:r>
      <w:r>
        <w:instrText xml:space="preserve"> HYPERLINK "https://doi.org/10.1111/jnu.12711" </w:instrText>
      </w:r>
      <w:r>
        <w:fldChar w:fldCharType="separate"/>
      </w:r>
      <w:r w:rsidRPr="00AD7EDD">
        <w:rPr>
          <w:rStyle w:val="Hyperlink"/>
          <w:rFonts w:cs="Times New Roman"/>
          <w:szCs w:val="24"/>
          <w:shd w:val="clear" w:color="auto" w:fill="FFFFFF"/>
        </w:rPr>
        <w:t>https://doi.org/10.1111/jnu.12711</w:t>
      </w:r>
      <w:r>
        <w:rPr>
          <w:rStyle w:val="Hyperlink"/>
          <w:rFonts w:cs="Times New Roman"/>
          <w:szCs w:val="24"/>
          <w:shd w:val="clear" w:color="auto" w:fill="FFFFFF"/>
        </w:rPr>
        <w:fldChar w:fldCharType="end"/>
      </w:r>
    </w:p>
    <w:sectPr w:rsidR="00EB3102" w:rsidRPr="00EB3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10"/>
    <w:rsid w:val="005906F1"/>
    <w:rsid w:val="007F3D10"/>
    <w:rsid w:val="00811798"/>
    <w:rsid w:val="00B251DC"/>
    <w:rsid w:val="00B91AED"/>
    <w:rsid w:val="00BE5D77"/>
    <w:rsid w:val="00EB3102"/>
    <w:rsid w:val="00ED0BD5"/>
    <w:rsid w:val="00F42C3D"/>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68B4"/>
  <w15:chartTrackingRefBased/>
  <w15:docId w15:val="{3ECA816E-FA96-4975-AF92-9869BF7B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1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205566832311801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688/f1000research.125421.3" TargetMode="External"/><Relationship Id="rId5" Type="http://schemas.openxmlformats.org/officeDocument/2006/relationships/hyperlink" Target="https://doi.org/10.3390/healthcare11070994" TargetMode="External"/><Relationship Id="rId4" Type="http://schemas.openxmlformats.org/officeDocument/2006/relationships/hyperlink" Target="https://doi.org/10.2196/5817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2025-08-16T02:39:00Z</dcterms:created>
  <dcterms:modified xsi:type="dcterms:W3CDTF">2025-08-16T03:59:00Z</dcterms:modified>
</cp:coreProperties>
</file>