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B2592" w14:textId="4CBE6B08" w:rsidR="009F619F" w:rsidRDefault="009F619F" w:rsidP="009F619F">
      <w:pPr>
        <w:pStyle w:val="NormalWeb"/>
        <w:spacing w:before="0" w:beforeAutospacing="0" w:after="0" w:afterAutospacing="0" w:line="480" w:lineRule="auto"/>
        <w:jc w:val="center"/>
        <w:rPr>
          <w:rStyle w:val="Strong"/>
        </w:rPr>
      </w:pPr>
      <w:r>
        <w:rPr>
          <w:rStyle w:val="Strong"/>
        </w:rPr>
        <w:t>Project Implementation Plan</w:t>
      </w:r>
    </w:p>
    <w:p w14:paraId="4E822C21" w14:textId="1CC43FB2" w:rsidR="003678C4" w:rsidRDefault="003678C4" w:rsidP="0040293F">
      <w:pPr>
        <w:pStyle w:val="NormalWeb"/>
        <w:spacing w:before="0" w:beforeAutospacing="0" w:after="0" w:afterAutospacing="0" w:line="480" w:lineRule="auto"/>
      </w:pPr>
      <w:r>
        <w:t>In staff members caring for patients with bipolar disorder (P), does the implementation of the teach-back method (I), compared to standard communication practices (C), improve their confidence and c</w:t>
      </w:r>
      <w:bookmarkStart w:id="0" w:name="_GoBack"/>
      <w:bookmarkEnd w:id="0"/>
      <w:r>
        <w:t>onviction in patient education and communication (O), over an 8–12-week period (T)</w:t>
      </w:r>
      <w:r>
        <w:t>?</w:t>
      </w:r>
    </w:p>
    <w:p w14:paraId="2426DD1E" w14:textId="64C59F11" w:rsidR="0040293F" w:rsidRDefault="003678C4" w:rsidP="0040293F">
      <w:pPr>
        <w:pStyle w:val="NormalWeb"/>
        <w:spacing w:before="0" w:beforeAutospacing="0" w:after="0" w:afterAutospacing="0" w:line="480" w:lineRule="auto"/>
        <w:ind w:firstLine="720"/>
      </w:pPr>
      <w:r>
        <w:t xml:space="preserve">During weeks 2–9, enrolled staff members will </w:t>
      </w:r>
      <w:r w:rsidR="0040293F">
        <w:t xml:space="preserve">be expected to </w:t>
      </w:r>
      <w:r>
        <w:t xml:space="preserve">consistently apply the teach-back method </w:t>
      </w:r>
      <w:r w:rsidR="00131139">
        <w:t>during when giving</w:t>
      </w:r>
      <w:r>
        <w:t xml:space="preserve"> medication </w:t>
      </w:r>
      <w:r w:rsidR="00131139">
        <w:t>instructions, planning for patient</w:t>
      </w:r>
      <w:r>
        <w:t xml:space="preserve"> discharge, </w:t>
      </w:r>
      <w:r w:rsidR="00131139">
        <w:t>or during</w:t>
      </w:r>
      <w:r>
        <w:t xml:space="preserve"> follow-up communicatio</w:t>
      </w:r>
      <w:r>
        <w:t>n</w:t>
      </w:r>
      <w:r>
        <w:t xml:space="preserve">. </w:t>
      </w:r>
      <w:r w:rsidR="00131139">
        <w:t>The project champion will organize w</w:t>
      </w:r>
      <w:r>
        <w:t>eekly</w:t>
      </w:r>
      <w:r w:rsidR="00131139">
        <w:t xml:space="preserve"> huddles every Monday morning for the nine weeks to allow</w:t>
      </w:r>
      <w:r>
        <w:t xml:space="preserve"> participants to share successes, </w:t>
      </w:r>
      <w:r w:rsidR="00131139">
        <w:t>explore</w:t>
      </w:r>
      <w:r>
        <w:t xml:space="preserve"> challenges,</w:t>
      </w:r>
      <w:r w:rsidR="00131139">
        <w:t xml:space="preserve"> and receive feedback or</w:t>
      </w:r>
      <w:r>
        <w:t xml:space="preserve"> reinforcement </w:t>
      </w:r>
      <w:r w:rsidR="00131139">
        <w:t>about</w:t>
      </w:r>
      <w:r>
        <w:t xml:space="preserve"> best practices</w:t>
      </w:r>
      <w:r w:rsidR="00131139">
        <w:t xml:space="preserve"> in using the teach-back method</w:t>
      </w:r>
      <w:r>
        <w:t xml:space="preserve">. I will attend all huddles to provide observation, formative evaluation, and coaching. </w:t>
      </w:r>
      <w:r w:rsidR="0040293F">
        <w:t xml:space="preserve">The activities are critical to informing necessary changes or refinements that may be required to ensure project success (Kaczmarek &amp; Romaniuk, 2020). </w:t>
      </w:r>
      <w:r>
        <w:t>I will also attend biweekly leadership meetings to update stakeholders</w:t>
      </w:r>
      <w:r w:rsidR="00131139">
        <w:t xml:space="preserve"> about project progress.</w:t>
      </w:r>
      <w:r>
        <w:t xml:space="preserve"> Additionally, printed AHRQ handouts will be distributed and displayed in the clinic to educate patients and families on the benefits of teach-back. </w:t>
      </w:r>
      <w:r w:rsidR="0040293F">
        <w:t>I will be available to provide o</w:t>
      </w:r>
      <w:r>
        <w:t xml:space="preserve">ngoing support </w:t>
      </w:r>
      <w:r w:rsidR="0040293F">
        <w:t>to the participants throughout the period.</w:t>
      </w:r>
    </w:p>
    <w:p w14:paraId="28BAB313" w14:textId="646850CE" w:rsidR="003678C4" w:rsidRDefault="003678C4" w:rsidP="0040293F">
      <w:pPr>
        <w:pStyle w:val="NormalWeb"/>
        <w:spacing w:before="0" w:beforeAutospacing="0" w:after="0" w:afterAutospacing="0" w:line="480" w:lineRule="auto"/>
        <w:ind w:firstLine="720"/>
      </w:pPr>
      <w:r>
        <w:t xml:space="preserve">I </w:t>
      </w:r>
      <w:r w:rsidR="0040293F">
        <w:t xml:space="preserve">have </w:t>
      </w:r>
      <w:r>
        <w:t>refined the implementation timeline by extending structured weekly huddles and leadership reporting to ensure stronger observational evaluation and real-time problem-solving. This change was informed by feedback emphasizing the importance of formative assessment to sustain engagement and monitor fidelity. I also added patient-facing educational handouts, aligning with AHRQ recommendations, to enhance transparency and reinforce staff efforts. The refinements strengthen the intervention’s sustainability while maintaining focus on improving staff confidence and conviction.</w:t>
      </w:r>
    </w:p>
    <w:p w14:paraId="0D71E58D" w14:textId="36B4E696" w:rsidR="003678C4" w:rsidRDefault="0040293F" w:rsidP="0040293F">
      <w:pPr>
        <w:jc w:val="center"/>
        <w:rPr>
          <w:b/>
        </w:rPr>
      </w:pPr>
      <w:r>
        <w:rPr>
          <w:b/>
        </w:rPr>
        <w:lastRenderedPageBreak/>
        <w:t>References</w:t>
      </w:r>
    </w:p>
    <w:p w14:paraId="54FEE328" w14:textId="33EF6543" w:rsidR="0040293F" w:rsidRPr="0040293F" w:rsidRDefault="0040293F" w:rsidP="0040293F">
      <w:pPr>
        <w:ind w:left="720" w:hanging="720"/>
        <w:rPr>
          <w:rFonts w:cs="Times New Roman"/>
          <w:szCs w:val="24"/>
        </w:rPr>
      </w:pPr>
      <w:r w:rsidRPr="0040293F">
        <w:rPr>
          <w:rFonts w:cs="Times New Roman"/>
          <w:color w:val="1B1B1B"/>
          <w:szCs w:val="24"/>
          <w:shd w:val="clear" w:color="auto" w:fill="FFFFFF"/>
        </w:rPr>
        <w:t>Kaczmarek, K., &amp; Romaniuk, P. (2020). The use of evaluation methods for the overall assessment of health policy: potential and limitations. </w:t>
      </w:r>
      <w:r w:rsidRPr="0040293F">
        <w:rPr>
          <w:rFonts w:cs="Times New Roman"/>
          <w:i/>
          <w:iCs/>
          <w:color w:val="1B1B1B"/>
          <w:szCs w:val="24"/>
          <w:shd w:val="clear" w:color="auto" w:fill="FFFFFF"/>
        </w:rPr>
        <w:t xml:space="preserve">Cost </w:t>
      </w:r>
      <w:r w:rsidRPr="0040293F">
        <w:rPr>
          <w:rFonts w:cs="Times New Roman"/>
          <w:i/>
          <w:iCs/>
          <w:color w:val="1B1B1B"/>
          <w:szCs w:val="24"/>
          <w:shd w:val="clear" w:color="auto" w:fill="FFFFFF"/>
        </w:rPr>
        <w:t xml:space="preserve">Effectiveness </w:t>
      </w:r>
      <w:r w:rsidRPr="0040293F">
        <w:rPr>
          <w:rFonts w:cs="Times New Roman"/>
          <w:i/>
          <w:iCs/>
          <w:color w:val="1B1B1B"/>
          <w:szCs w:val="24"/>
          <w:shd w:val="clear" w:color="auto" w:fill="FFFFFF"/>
        </w:rPr>
        <w:t xml:space="preserve">and </w:t>
      </w:r>
      <w:r w:rsidRPr="0040293F">
        <w:rPr>
          <w:rFonts w:cs="Times New Roman"/>
          <w:i/>
          <w:iCs/>
          <w:color w:val="1B1B1B"/>
          <w:szCs w:val="24"/>
          <w:shd w:val="clear" w:color="auto" w:fill="FFFFFF"/>
        </w:rPr>
        <w:t>Resource Allocation</w:t>
      </w:r>
      <w:r w:rsidRPr="0040293F">
        <w:rPr>
          <w:rFonts w:cs="Times New Roman"/>
          <w:i/>
          <w:iCs/>
          <w:color w:val="1B1B1B"/>
          <w:szCs w:val="24"/>
          <w:shd w:val="clear" w:color="auto" w:fill="FFFFFF"/>
        </w:rPr>
        <w:t>: C/E</w:t>
      </w:r>
      <w:r w:rsidRPr="0040293F">
        <w:rPr>
          <w:rFonts w:cs="Times New Roman"/>
          <w:color w:val="1B1B1B"/>
          <w:szCs w:val="24"/>
          <w:shd w:val="clear" w:color="auto" w:fill="FFFFFF"/>
        </w:rPr>
        <w:t>, </w:t>
      </w:r>
      <w:r w:rsidRPr="0040293F">
        <w:rPr>
          <w:rFonts w:cs="Times New Roman"/>
          <w:i/>
          <w:iCs/>
          <w:color w:val="1B1B1B"/>
          <w:szCs w:val="24"/>
          <w:shd w:val="clear" w:color="auto" w:fill="FFFFFF"/>
        </w:rPr>
        <w:t>18</w:t>
      </w:r>
      <w:r w:rsidRPr="0040293F">
        <w:rPr>
          <w:rFonts w:cs="Times New Roman"/>
          <w:color w:val="1B1B1B"/>
          <w:szCs w:val="24"/>
          <w:shd w:val="clear" w:color="auto" w:fill="FFFFFF"/>
        </w:rPr>
        <w:t xml:space="preserve">, 43. </w:t>
      </w:r>
      <w:hyperlink r:id="rId5" w:history="1">
        <w:r w:rsidRPr="0061357E">
          <w:rPr>
            <w:rStyle w:val="Hyperlink"/>
            <w:rFonts w:cs="Times New Roman"/>
            <w:szCs w:val="24"/>
            <w:shd w:val="clear" w:color="auto" w:fill="FFFFFF"/>
          </w:rPr>
          <w:t>https://doi.org/10.1186/s12962-020-00238-4</w:t>
        </w:r>
      </w:hyperlink>
      <w:r>
        <w:rPr>
          <w:rFonts w:cs="Times New Roman"/>
          <w:color w:val="1B1B1B"/>
          <w:szCs w:val="24"/>
          <w:shd w:val="clear" w:color="auto" w:fill="FFFFFF"/>
        </w:rPr>
        <w:t xml:space="preserve"> </w:t>
      </w:r>
    </w:p>
    <w:sectPr w:rsidR="0040293F" w:rsidRPr="00402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D362D"/>
    <w:multiLevelType w:val="multilevel"/>
    <w:tmpl w:val="36329DB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8C4"/>
    <w:rsid w:val="00131139"/>
    <w:rsid w:val="002A4693"/>
    <w:rsid w:val="003678C4"/>
    <w:rsid w:val="0040293F"/>
    <w:rsid w:val="005906F1"/>
    <w:rsid w:val="009F619F"/>
    <w:rsid w:val="00B251DC"/>
    <w:rsid w:val="00ED0BD5"/>
    <w:rsid w:val="00FC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282CB"/>
  <w15:chartTrackingRefBased/>
  <w15:docId w15:val="{1C9D641A-B368-4C60-AED0-94EF5869D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sz w:val="24"/>
        <w:lang w:val="en-GB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78C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678C4"/>
    <w:rPr>
      <w:b/>
      <w:bCs/>
    </w:rPr>
  </w:style>
  <w:style w:type="character" w:styleId="Hyperlink">
    <w:name w:val="Hyperlink"/>
    <w:basedOn w:val="DefaultParagraphFont"/>
    <w:uiPriority w:val="99"/>
    <w:unhideWhenUsed/>
    <w:rsid w:val="004029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6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186/s12962-020-00238-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2025-08-17T18:04:00Z</dcterms:created>
  <dcterms:modified xsi:type="dcterms:W3CDTF">2025-08-17T18:06:00Z</dcterms:modified>
</cp:coreProperties>
</file>