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B3745" w14:textId="7CEA14B2" w:rsidR="00ED0BD5" w:rsidRDefault="009C56D0" w:rsidP="009C56D0">
      <w:pPr>
        <w:jc w:val="center"/>
        <w:rPr>
          <w:b/>
        </w:rPr>
      </w:pPr>
      <w:bookmarkStart w:id="0" w:name="_GoBack"/>
      <w:bookmarkEnd w:id="0"/>
      <w:r>
        <w:rPr>
          <w:b/>
        </w:rPr>
        <w:t>Practice Readiness and Reflection</w:t>
      </w:r>
    </w:p>
    <w:p w14:paraId="3B28E900" w14:textId="18C104DC" w:rsidR="009C56D0" w:rsidRDefault="009C56D0" w:rsidP="009C56D0">
      <w:r>
        <w:tab/>
      </w:r>
      <w:r>
        <w:tab/>
        <w:t xml:space="preserve">The transformative journey throughout this course significantly challenged and reinforced my thinking about ethical considerations and project management in the implementation of QI </w:t>
      </w:r>
      <w:r w:rsidR="00D3202B">
        <w:t>projects</w:t>
      </w:r>
      <w:r>
        <w:t>.</w:t>
      </w:r>
      <w:r w:rsidR="00D3202B">
        <w:t xml:space="preserve"> For example, I acknowledged the importance of maintaining optimal confidentiality of participants information throughout the project. Exposing participants names and performance would be a breach of confidentiality, which is a counterproductive work behavior that could lead to ostracism (</w:t>
      </w:r>
      <w:proofErr w:type="spellStart"/>
      <w:r w:rsidR="00A54C67">
        <w:t>Elliethey</w:t>
      </w:r>
      <w:proofErr w:type="spellEnd"/>
      <w:r w:rsidR="00A54C67">
        <w:t xml:space="preserve"> et al., 2024</w:t>
      </w:r>
      <w:r w:rsidR="00D3202B">
        <w:t>). In turn, this could lead to workplace tensions and erode mutual respect and trust. Pertaining to project management, I appreciate</w:t>
      </w:r>
      <w:r w:rsidR="00A96D96">
        <w:t xml:space="preserve">d the importance of aligning the change process with </w:t>
      </w:r>
      <w:r w:rsidR="00D3202B">
        <w:t>evidence-based</w:t>
      </w:r>
      <w:r w:rsidR="00A96D96">
        <w:t xml:space="preserve"> practice</w:t>
      </w:r>
      <w:r w:rsidR="00D3202B">
        <w:t xml:space="preserve"> models</w:t>
      </w:r>
      <w:r w:rsidR="00A96D96">
        <w:t xml:space="preserve"> for knowledge translation. As highlighted by</w:t>
      </w:r>
      <w:r w:rsidR="00A54C67">
        <w:t xml:space="preserve"> Dusin et al. (2023)</w:t>
      </w:r>
      <w:r w:rsidR="00A96D96">
        <w:t xml:space="preserve">, EBP models guide </w:t>
      </w:r>
      <w:r w:rsidR="00A54C67">
        <w:t>the complex process of systematically applying evidence into clinical practice. Consistently, using a phased approach to the implementation of the proposed intervention would allow effective application and assessment of knowledge use in practice.</w:t>
      </w:r>
    </w:p>
    <w:p w14:paraId="2C7CA52A" w14:textId="2E8454FD" w:rsidR="00A54C67" w:rsidRDefault="00A54C67" w:rsidP="009C56D0">
      <w:r>
        <w:tab/>
        <w:t xml:space="preserve">The learning experiences from the course have further augmented my preparedness as a future advanced practice nurse. Serving as an APN extends beyond frontline care to leading change. With the knowledge acquired, I understand the role of APNs in advocating, championing, and leading transformative changes. The knowledge would be critical in planning and executing feasible quality improvements. In addition, the knowledge would allow prioritizing mutual respect, trust, and team welfare. For instance, understanding the effect of inadvertently exposing nurses’ performance information on team welfare would promote ongoing trust and mutual respect. The knowledge also serves as a foundation for planning change through a collaborative approach. While QI initiates are essential, their success depends significantly on staff buy-in, the absence of which would result in resistance. Using the </w:t>
      </w:r>
      <w:r>
        <w:lastRenderedPageBreak/>
        <w:t xml:space="preserve">knowledge acquired would position me as a change champion ready to contribute to quality and safety improvements. </w:t>
      </w:r>
    </w:p>
    <w:p w14:paraId="25BD4AC0" w14:textId="0589B90D" w:rsidR="00A54C67" w:rsidRDefault="00A54C67" w:rsidP="00A54C67">
      <w:pPr>
        <w:jc w:val="center"/>
        <w:rPr>
          <w:b/>
        </w:rPr>
      </w:pPr>
      <w:r>
        <w:rPr>
          <w:b/>
        </w:rPr>
        <w:t xml:space="preserve">References </w:t>
      </w:r>
    </w:p>
    <w:p w14:paraId="0F8CD056" w14:textId="77791E01" w:rsidR="00A54C67" w:rsidRPr="00A54C67" w:rsidRDefault="00A54C67" w:rsidP="00A54C67">
      <w:pPr>
        <w:ind w:left="720" w:hanging="720"/>
        <w:rPr>
          <w:rFonts w:cs="Times New Roman"/>
          <w:color w:val="1B1B1B"/>
          <w:szCs w:val="24"/>
          <w:shd w:val="clear" w:color="auto" w:fill="FFFFFF"/>
        </w:rPr>
      </w:pPr>
      <w:proofErr w:type="spellStart"/>
      <w:r w:rsidRPr="00A54C67">
        <w:rPr>
          <w:rFonts w:cs="Times New Roman"/>
          <w:color w:val="1B1B1B"/>
          <w:szCs w:val="24"/>
          <w:shd w:val="clear" w:color="auto" w:fill="FFFFFF"/>
        </w:rPr>
        <w:t>Elliethey</w:t>
      </w:r>
      <w:proofErr w:type="spellEnd"/>
      <w:r w:rsidRPr="00A54C67">
        <w:rPr>
          <w:rFonts w:cs="Times New Roman"/>
          <w:color w:val="1B1B1B"/>
          <w:szCs w:val="24"/>
          <w:shd w:val="clear" w:color="auto" w:fill="FFFFFF"/>
        </w:rPr>
        <w:t xml:space="preserve">, N. S., Aly </w:t>
      </w:r>
      <w:proofErr w:type="spellStart"/>
      <w:r w:rsidRPr="00A54C67">
        <w:rPr>
          <w:rFonts w:cs="Times New Roman"/>
          <w:color w:val="1B1B1B"/>
          <w:szCs w:val="24"/>
          <w:shd w:val="clear" w:color="auto" w:fill="FFFFFF"/>
        </w:rPr>
        <w:t>Abou</w:t>
      </w:r>
      <w:proofErr w:type="spellEnd"/>
      <w:r w:rsidRPr="00A54C67">
        <w:rPr>
          <w:rFonts w:cs="Times New Roman"/>
          <w:color w:val="1B1B1B"/>
          <w:szCs w:val="24"/>
          <w:shd w:val="clear" w:color="auto" w:fill="FFFFFF"/>
        </w:rPr>
        <w:t xml:space="preserve"> Hashish, E., &amp; Ahmed Mohamed </w:t>
      </w:r>
      <w:proofErr w:type="spellStart"/>
      <w:r w:rsidRPr="00A54C67">
        <w:rPr>
          <w:rFonts w:cs="Times New Roman"/>
          <w:color w:val="1B1B1B"/>
          <w:szCs w:val="24"/>
          <w:shd w:val="clear" w:color="auto" w:fill="FFFFFF"/>
        </w:rPr>
        <w:t>Elbassal</w:t>
      </w:r>
      <w:proofErr w:type="spellEnd"/>
      <w:r w:rsidRPr="00A54C67">
        <w:rPr>
          <w:rFonts w:cs="Times New Roman"/>
          <w:color w:val="1B1B1B"/>
          <w:szCs w:val="24"/>
          <w:shd w:val="clear" w:color="auto" w:fill="FFFFFF"/>
        </w:rPr>
        <w:t xml:space="preserve">, N. (2024). Work ethics and its relationship with workplace ostracism and counterproductive work </w:t>
      </w:r>
      <w:proofErr w:type="spellStart"/>
      <w:r w:rsidRPr="00A54C67">
        <w:rPr>
          <w:rFonts w:cs="Times New Roman"/>
          <w:color w:val="1B1B1B"/>
          <w:szCs w:val="24"/>
          <w:shd w:val="clear" w:color="auto" w:fill="FFFFFF"/>
        </w:rPr>
        <w:t>behaviours</w:t>
      </w:r>
      <w:proofErr w:type="spellEnd"/>
      <w:r w:rsidRPr="00A54C67">
        <w:rPr>
          <w:rFonts w:cs="Times New Roman"/>
          <w:color w:val="1B1B1B"/>
          <w:szCs w:val="24"/>
          <w:shd w:val="clear" w:color="auto" w:fill="FFFFFF"/>
        </w:rPr>
        <w:t xml:space="preserve"> among nurses: a structural equation model. </w:t>
      </w:r>
      <w:r w:rsidRPr="00A54C67">
        <w:rPr>
          <w:rFonts w:cs="Times New Roman"/>
          <w:i/>
          <w:iCs/>
          <w:color w:val="1B1B1B"/>
          <w:szCs w:val="24"/>
          <w:shd w:val="clear" w:color="auto" w:fill="FFFFFF"/>
        </w:rPr>
        <w:t xml:space="preserve">BMC </w:t>
      </w:r>
      <w:r w:rsidRPr="00A54C67">
        <w:rPr>
          <w:rFonts w:cs="Times New Roman"/>
          <w:i/>
          <w:iCs/>
          <w:color w:val="1B1B1B"/>
          <w:szCs w:val="24"/>
          <w:shd w:val="clear" w:color="auto" w:fill="FFFFFF"/>
        </w:rPr>
        <w:t>Nursing</w:t>
      </w:r>
      <w:r w:rsidRPr="00A54C67">
        <w:rPr>
          <w:rFonts w:cs="Times New Roman"/>
          <w:color w:val="1B1B1B"/>
          <w:szCs w:val="24"/>
          <w:shd w:val="clear" w:color="auto" w:fill="FFFFFF"/>
        </w:rPr>
        <w:t>, </w:t>
      </w:r>
      <w:r w:rsidRPr="00A54C67">
        <w:rPr>
          <w:rFonts w:cs="Times New Roman"/>
          <w:i/>
          <w:iCs/>
          <w:color w:val="1B1B1B"/>
          <w:szCs w:val="24"/>
          <w:shd w:val="clear" w:color="auto" w:fill="FFFFFF"/>
        </w:rPr>
        <w:t>23</w:t>
      </w:r>
      <w:r w:rsidRPr="00A54C67">
        <w:rPr>
          <w:rFonts w:cs="Times New Roman"/>
          <w:color w:val="1B1B1B"/>
          <w:szCs w:val="24"/>
          <w:shd w:val="clear" w:color="auto" w:fill="FFFFFF"/>
        </w:rPr>
        <w:t xml:space="preserve">(1), 126. </w:t>
      </w:r>
      <w:hyperlink r:id="rId4" w:history="1">
        <w:r w:rsidRPr="00A54C67">
          <w:rPr>
            <w:rStyle w:val="Hyperlink"/>
            <w:rFonts w:cs="Times New Roman"/>
            <w:szCs w:val="24"/>
            <w:shd w:val="clear" w:color="auto" w:fill="FFFFFF"/>
          </w:rPr>
          <w:t>https://doi.org/10.1186/s12912-024-01785-4</w:t>
        </w:r>
      </w:hyperlink>
      <w:r w:rsidRPr="00A54C67">
        <w:rPr>
          <w:rFonts w:cs="Times New Roman"/>
          <w:color w:val="1B1B1B"/>
          <w:szCs w:val="24"/>
          <w:shd w:val="clear" w:color="auto" w:fill="FFFFFF"/>
        </w:rPr>
        <w:t xml:space="preserve"> </w:t>
      </w:r>
    </w:p>
    <w:p w14:paraId="3EE66363" w14:textId="112BC50F" w:rsidR="00A54C67" w:rsidRPr="00A54C67" w:rsidRDefault="00A54C67" w:rsidP="00A54C67">
      <w:pPr>
        <w:ind w:left="720" w:hanging="720"/>
        <w:rPr>
          <w:rFonts w:cs="Times New Roman"/>
          <w:szCs w:val="24"/>
        </w:rPr>
      </w:pPr>
      <w:r w:rsidRPr="00A54C67">
        <w:rPr>
          <w:rFonts w:cs="Times New Roman"/>
          <w:color w:val="1B1B1B"/>
          <w:szCs w:val="24"/>
          <w:shd w:val="clear" w:color="auto" w:fill="FFFFFF"/>
        </w:rPr>
        <w:t xml:space="preserve">Dusin, J., </w:t>
      </w:r>
      <w:proofErr w:type="spellStart"/>
      <w:r w:rsidRPr="00A54C67">
        <w:rPr>
          <w:rFonts w:cs="Times New Roman"/>
          <w:color w:val="1B1B1B"/>
          <w:szCs w:val="24"/>
          <w:shd w:val="clear" w:color="auto" w:fill="FFFFFF"/>
        </w:rPr>
        <w:t>Melanson</w:t>
      </w:r>
      <w:proofErr w:type="spellEnd"/>
      <w:r w:rsidRPr="00A54C67">
        <w:rPr>
          <w:rFonts w:cs="Times New Roman"/>
          <w:color w:val="1B1B1B"/>
          <w:szCs w:val="24"/>
          <w:shd w:val="clear" w:color="auto" w:fill="FFFFFF"/>
        </w:rPr>
        <w:t xml:space="preserve">, A., &amp; </w:t>
      </w:r>
      <w:proofErr w:type="spellStart"/>
      <w:r w:rsidRPr="00A54C67">
        <w:rPr>
          <w:rFonts w:cs="Times New Roman"/>
          <w:color w:val="1B1B1B"/>
          <w:szCs w:val="24"/>
          <w:shd w:val="clear" w:color="auto" w:fill="FFFFFF"/>
        </w:rPr>
        <w:t>Mische</w:t>
      </w:r>
      <w:proofErr w:type="spellEnd"/>
      <w:r w:rsidRPr="00A54C67">
        <w:rPr>
          <w:rFonts w:cs="Times New Roman"/>
          <w:color w:val="1B1B1B"/>
          <w:szCs w:val="24"/>
          <w:shd w:val="clear" w:color="auto" w:fill="FFFFFF"/>
        </w:rPr>
        <w:t>-Lawson, L. (2023). Evidence-based practice models and frameworks in the healthcare setting: a scoping review. </w:t>
      </w:r>
      <w:r w:rsidRPr="00A54C67">
        <w:rPr>
          <w:rFonts w:cs="Times New Roman"/>
          <w:i/>
          <w:iCs/>
          <w:color w:val="1B1B1B"/>
          <w:szCs w:val="24"/>
          <w:shd w:val="clear" w:color="auto" w:fill="FFFFFF"/>
        </w:rPr>
        <w:t xml:space="preserve">BMJ </w:t>
      </w:r>
      <w:r w:rsidRPr="00A54C67">
        <w:rPr>
          <w:rFonts w:cs="Times New Roman"/>
          <w:i/>
          <w:iCs/>
          <w:color w:val="1B1B1B"/>
          <w:szCs w:val="24"/>
          <w:shd w:val="clear" w:color="auto" w:fill="FFFFFF"/>
        </w:rPr>
        <w:t>Open</w:t>
      </w:r>
      <w:r w:rsidRPr="00A54C67">
        <w:rPr>
          <w:rFonts w:cs="Times New Roman"/>
          <w:color w:val="1B1B1B"/>
          <w:szCs w:val="24"/>
          <w:shd w:val="clear" w:color="auto" w:fill="FFFFFF"/>
        </w:rPr>
        <w:t>, </w:t>
      </w:r>
      <w:r w:rsidRPr="00A54C67">
        <w:rPr>
          <w:rFonts w:cs="Times New Roman"/>
          <w:i/>
          <w:iCs/>
          <w:color w:val="1B1B1B"/>
          <w:szCs w:val="24"/>
          <w:shd w:val="clear" w:color="auto" w:fill="FFFFFF"/>
        </w:rPr>
        <w:t>13</w:t>
      </w:r>
      <w:r w:rsidRPr="00A54C67">
        <w:rPr>
          <w:rFonts w:cs="Times New Roman"/>
          <w:color w:val="1B1B1B"/>
          <w:szCs w:val="24"/>
          <w:shd w:val="clear" w:color="auto" w:fill="FFFFFF"/>
        </w:rPr>
        <w:t xml:space="preserve">(5), e071188. </w:t>
      </w:r>
      <w:hyperlink r:id="rId5" w:history="1">
        <w:r w:rsidRPr="00A54C67">
          <w:rPr>
            <w:rStyle w:val="Hyperlink"/>
            <w:rFonts w:cs="Times New Roman"/>
            <w:szCs w:val="24"/>
            <w:shd w:val="clear" w:color="auto" w:fill="FFFFFF"/>
          </w:rPr>
          <w:t>https://doi.org/10.1136/bmjopen-2022-071188</w:t>
        </w:r>
      </w:hyperlink>
      <w:r w:rsidRPr="00A54C67">
        <w:rPr>
          <w:rFonts w:cs="Times New Roman"/>
          <w:color w:val="1B1B1B"/>
          <w:szCs w:val="24"/>
          <w:shd w:val="clear" w:color="auto" w:fill="FFFFFF"/>
        </w:rPr>
        <w:t xml:space="preserve"> </w:t>
      </w:r>
    </w:p>
    <w:sectPr w:rsidR="00A54C67" w:rsidRPr="00A54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AA"/>
    <w:rsid w:val="004F79AA"/>
    <w:rsid w:val="005906F1"/>
    <w:rsid w:val="008F5C9A"/>
    <w:rsid w:val="00997951"/>
    <w:rsid w:val="009C56D0"/>
    <w:rsid w:val="00A54C67"/>
    <w:rsid w:val="00A96D96"/>
    <w:rsid w:val="00B251DC"/>
    <w:rsid w:val="00D3202B"/>
    <w:rsid w:val="00ED0BD5"/>
    <w:rsid w:val="00FC7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3D05E"/>
  <w15:chartTrackingRefBased/>
  <w15:docId w15:val="{5FE1220A-A3C5-4EAC-8A33-60C77D37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sz w:val="24"/>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3">
    <w:name w:val="heading 3"/>
    <w:basedOn w:val="Normal"/>
    <w:link w:val="Heading3Char"/>
    <w:uiPriority w:val="9"/>
    <w:qFormat/>
    <w:rsid w:val="004F79AA"/>
    <w:pPr>
      <w:spacing w:before="100" w:beforeAutospacing="1" w:after="100" w:afterAutospacing="1" w:line="240" w:lineRule="auto"/>
      <w:outlineLvl w:val="2"/>
    </w:pPr>
    <w:rPr>
      <w:rFonts w:eastAsia="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79AA"/>
    <w:rPr>
      <w:rFonts w:eastAsia="Times New Roman" w:cs="Times New Roman"/>
      <w:b/>
      <w:bCs/>
      <w:sz w:val="27"/>
      <w:szCs w:val="27"/>
      <w:lang w:eastAsia="en-GB"/>
    </w:rPr>
  </w:style>
  <w:style w:type="paragraph" w:styleId="NormalWeb">
    <w:name w:val="Normal (Web)"/>
    <w:basedOn w:val="Normal"/>
    <w:uiPriority w:val="99"/>
    <w:semiHidden/>
    <w:unhideWhenUsed/>
    <w:rsid w:val="004F79AA"/>
    <w:pPr>
      <w:spacing w:before="100" w:beforeAutospacing="1" w:after="100" w:afterAutospacing="1" w:line="240" w:lineRule="auto"/>
    </w:pPr>
    <w:rPr>
      <w:rFonts w:eastAsia="Times New Roman" w:cs="Times New Roman"/>
      <w:szCs w:val="24"/>
      <w:lang w:val="en-GB" w:eastAsia="en-GB"/>
    </w:rPr>
  </w:style>
  <w:style w:type="character" w:styleId="Strong">
    <w:name w:val="Strong"/>
    <w:basedOn w:val="DefaultParagraphFont"/>
    <w:uiPriority w:val="22"/>
    <w:qFormat/>
    <w:rsid w:val="004F79AA"/>
    <w:rPr>
      <w:b/>
      <w:bCs/>
    </w:rPr>
  </w:style>
  <w:style w:type="character" w:styleId="Hyperlink">
    <w:name w:val="Hyperlink"/>
    <w:basedOn w:val="DefaultParagraphFont"/>
    <w:uiPriority w:val="99"/>
    <w:unhideWhenUsed/>
    <w:rsid w:val="00D3202B"/>
    <w:rPr>
      <w:color w:val="0563C1" w:themeColor="hyperlink"/>
      <w:u w:val="single"/>
    </w:rPr>
  </w:style>
  <w:style w:type="character" w:styleId="UnresolvedMention">
    <w:name w:val="Unresolved Mention"/>
    <w:basedOn w:val="DefaultParagraphFont"/>
    <w:uiPriority w:val="99"/>
    <w:semiHidden/>
    <w:unhideWhenUsed/>
    <w:rsid w:val="00D32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136/bmjopen-2022-071188" TargetMode="External"/><Relationship Id="rId4" Type="http://schemas.openxmlformats.org/officeDocument/2006/relationships/hyperlink" Target="https://doi.org/10.1186/s12912-024-0178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2025-08-18T23:09:00Z</dcterms:created>
  <dcterms:modified xsi:type="dcterms:W3CDTF">2025-08-18T23:09:00Z</dcterms:modified>
</cp:coreProperties>
</file>