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C5B4" w14:textId="77777777" w:rsidR="001933F7" w:rsidRDefault="001933F7" w:rsidP="00D32DDD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59E58901" w14:textId="77777777" w:rsidR="001933F7" w:rsidRDefault="001933F7" w:rsidP="00D32DDD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1E6D761A" w14:textId="77777777" w:rsidR="001933F7" w:rsidRDefault="001933F7" w:rsidP="00D32DDD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254A083C" w14:textId="77777777" w:rsidR="001933F7" w:rsidRDefault="001933F7" w:rsidP="00D32DDD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595A9D7B" w14:textId="685879EB" w:rsidR="00867AF9" w:rsidRDefault="009920E1" w:rsidP="00D32DDD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E1074D">
        <w:rPr>
          <w:rFonts w:ascii="Times New Roman" w:hAnsi="Times New Roman" w:cs="Times New Roman"/>
          <w:b/>
          <w:bCs/>
        </w:rPr>
        <w:t>Assessment 2:</w:t>
      </w:r>
      <w:r w:rsidR="00F02C8E" w:rsidRPr="00E1074D">
        <w:rPr>
          <w:rFonts w:ascii="Times New Roman" w:hAnsi="Times New Roman" w:cs="Times New Roman"/>
          <w:b/>
          <w:bCs/>
        </w:rPr>
        <w:t xml:space="preserve"> </w:t>
      </w:r>
      <w:r w:rsidRPr="00E1074D">
        <w:rPr>
          <w:rFonts w:ascii="Times New Roman" w:hAnsi="Times New Roman" w:cs="Times New Roman"/>
          <w:b/>
          <w:bCs/>
        </w:rPr>
        <w:t xml:space="preserve">Protected Health Information </w:t>
      </w:r>
      <w:r w:rsidR="00F02C8E" w:rsidRPr="00E1074D">
        <w:rPr>
          <w:rFonts w:ascii="Times New Roman" w:hAnsi="Times New Roman" w:cs="Times New Roman"/>
          <w:b/>
          <w:bCs/>
        </w:rPr>
        <w:t>(PHI)</w:t>
      </w:r>
    </w:p>
    <w:p w14:paraId="15407653" w14:textId="77777777" w:rsidR="001933F7" w:rsidRDefault="001933F7" w:rsidP="00D32DDD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1F5656C2" w14:textId="77777777" w:rsidR="005B55CF" w:rsidRPr="005B55CF" w:rsidRDefault="005B55CF" w:rsidP="005B55CF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5B55CF">
        <w:rPr>
          <w:rFonts w:ascii="Times New Roman" w:hAnsi="Times New Roman" w:cs="Times New Roman"/>
        </w:rPr>
        <w:t>Name</w:t>
      </w:r>
    </w:p>
    <w:p w14:paraId="4E4B097F" w14:textId="77777777" w:rsidR="005B55CF" w:rsidRPr="005B55CF" w:rsidRDefault="005B55CF" w:rsidP="005B55CF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5B55CF">
        <w:rPr>
          <w:rFonts w:ascii="Times New Roman" w:hAnsi="Times New Roman" w:cs="Times New Roman"/>
        </w:rPr>
        <w:t>Institution</w:t>
      </w:r>
    </w:p>
    <w:p w14:paraId="2FB82FBE" w14:textId="77777777" w:rsidR="005B55CF" w:rsidRPr="005B55CF" w:rsidRDefault="005B55CF" w:rsidP="005B55CF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5B55CF">
        <w:rPr>
          <w:rFonts w:ascii="Times New Roman" w:hAnsi="Times New Roman" w:cs="Times New Roman"/>
        </w:rPr>
        <w:t>Course</w:t>
      </w:r>
    </w:p>
    <w:p w14:paraId="480C675C" w14:textId="77777777" w:rsidR="005B55CF" w:rsidRPr="005B55CF" w:rsidRDefault="005B55CF" w:rsidP="005B55CF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5B55CF">
        <w:rPr>
          <w:rFonts w:ascii="Times New Roman" w:hAnsi="Times New Roman" w:cs="Times New Roman"/>
        </w:rPr>
        <w:t>Instructor</w:t>
      </w:r>
    </w:p>
    <w:p w14:paraId="7EF9D1BE" w14:textId="1EE61E5F" w:rsidR="001933F7" w:rsidRDefault="005B55CF" w:rsidP="005B55CF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5B55CF">
        <w:rPr>
          <w:rFonts w:ascii="Times New Roman" w:hAnsi="Times New Roman" w:cs="Times New Roman"/>
        </w:rPr>
        <w:t>Date</w:t>
      </w:r>
    </w:p>
    <w:p w14:paraId="2FF589B8" w14:textId="77777777" w:rsidR="005B55CF" w:rsidRDefault="005B55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CD7C8BC" w14:textId="48D50A36" w:rsidR="005B55CF" w:rsidRPr="005B55CF" w:rsidRDefault="005B55CF" w:rsidP="005B55CF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E1074D">
        <w:rPr>
          <w:rFonts w:ascii="Times New Roman" w:hAnsi="Times New Roman" w:cs="Times New Roman"/>
          <w:b/>
          <w:bCs/>
        </w:rPr>
        <w:lastRenderedPageBreak/>
        <w:t>Protected Health Information (PHI)</w:t>
      </w:r>
    </w:p>
    <w:p w14:paraId="3D570FA7" w14:textId="341E0160" w:rsidR="00B03F69" w:rsidRDefault="00C63089" w:rsidP="001933F7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E1074D">
        <w:rPr>
          <w:rFonts w:ascii="Times New Roman" w:hAnsi="Times New Roman" w:cs="Times New Roman"/>
        </w:rPr>
        <w:t>The paper is an interprofessional staff update on HIPAA and proper use of social media in healthcare. The topic of choice is protected health information (PHI)</w:t>
      </w:r>
      <w:r w:rsidR="00E3374E">
        <w:rPr>
          <w:rFonts w:ascii="Times New Roman" w:hAnsi="Times New Roman" w:cs="Times New Roman"/>
        </w:rPr>
        <w:t>.</w:t>
      </w:r>
      <w:r w:rsidR="001933F7">
        <w:rPr>
          <w:rFonts w:ascii="Times New Roman" w:hAnsi="Times New Roman" w:cs="Times New Roman"/>
        </w:rPr>
        <w:t xml:space="preserve"> </w:t>
      </w:r>
      <w:r w:rsidR="00E3374E">
        <w:rPr>
          <w:rFonts w:ascii="Times New Roman" w:hAnsi="Times New Roman" w:cs="Times New Roman"/>
        </w:rPr>
        <w:t>According to</w:t>
      </w:r>
      <w:r w:rsidR="00F57D9F" w:rsidRPr="00E1074D">
        <w:rPr>
          <w:rFonts w:ascii="Times New Roman" w:hAnsi="Times New Roman" w:cs="Times New Roman"/>
        </w:rPr>
        <w:t xml:space="preserve"> </w:t>
      </w:r>
      <w:r w:rsidR="00E3374E">
        <w:rPr>
          <w:rFonts w:ascii="Times New Roman" w:hAnsi="Times New Roman" w:cs="Times New Roman"/>
        </w:rPr>
        <w:t>“</w:t>
      </w:r>
      <w:r w:rsidR="00F57D9F" w:rsidRPr="00E1074D">
        <w:rPr>
          <w:rFonts w:ascii="Times New Roman" w:hAnsi="Times New Roman" w:cs="Times New Roman"/>
        </w:rPr>
        <w:t>the Health Insurance Portability and Accountability Act (HIPAA)</w:t>
      </w:r>
      <w:r w:rsidR="001933F7">
        <w:rPr>
          <w:rFonts w:ascii="Times New Roman" w:hAnsi="Times New Roman" w:cs="Times New Roman"/>
        </w:rPr>
        <w:t>”</w:t>
      </w:r>
      <w:r w:rsidR="00E3374E">
        <w:rPr>
          <w:rFonts w:ascii="Times New Roman" w:hAnsi="Times New Roman" w:cs="Times New Roman"/>
        </w:rPr>
        <w:t>, PHI</w:t>
      </w:r>
      <w:r w:rsidR="00F57D9F" w:rsidRPr="00E1074D">
        <w:rPr>
          <w:rFonts w:ascii="Times New Roman" w:hAnsi="Times New Roman" w:cs="Times New Roman"/>
        </w:rPr>
        <w:t xml:space="preserve"> refers to any health information tha</w:t>
      </w:r>
      <w:r w:rsidR="0065009C">
        <w:rPr>
          <w:rFonts w:ascii="Times New Roman" w:hAnsi="Times New Roman" w:cs="Times New Roman"/>
        </w:rPr>
        <w:t>t</w:t>
      </w:r>
      <w:r w:rsidR="00F57D9F" w:rsidRPr="00E1074D">
        <w:rPr>
          <w:rFonts w:ascii="Times New Roman" w:hAnsi="Times New Roman" w:cs="Times New Roman"/>
        </w:rPr>
        <w:t xml:space="preserve"> can be used to identify a person </w:t>
      </w:r>
      <w:r w:rsidR="004C3D18" w:rsidRPr="00E1074D">
        <w:rPr>
          <w:rFonts w:ascii="Times New Roman" w:hAnsi="Times New Roman" w:cs="Times New Roman"/>
        </w:rPr>
        <w:t>possessing of or transmitted by covered entity or business entities relating to patient health information</w:t>
      </w:r>
      <w:r w:rsidR="00E1074D" w:rsidRPr="00E1074D">
        <w:rPr>
          <w:rFonts w:ascii="Times New Roman" w:hAnsi="Times New Roman" w:cs="Times New Roman"/>
        </w:rPr>
        <w:t>, such as demographic information through paper or electronic transmission (</w:t>
      </w:r>
      <w:r w:rsidR="0065009C" w:rsidRPr="0065009C">
        <w:rPr>
          <w:rFonts w:ascii="Times New Roman" w:hAnsi="Times New Roman" w:cs="Times New Roman"/>
        </w:rPr>
        <w:t>Isola</w:t>
      </w:r>
      <w:r w:rsidR="0065009C">
        <w:rPr>
          <w:rFonts w:ascii="Times New Roman" w:hAnsi="Times New Roman" w:cs="Times New Roman"/>
        </w:rPr>
        <w:t xml:space="preserve"> </w:t>
      </w:r>
      <w:r w:rsidR="0065009C" w:rsidRPr="0065009C">
        <w:rPr>
          <w:rFonts w:ascii="Times New Roman" w:hAnsi="Times New Roman" w:cs="Times New Roman"/>
        </w:rPr>
        <w:t>&amp; Al Khalili, 2023</w:t>
      </w:r>
      <w:r w:rsidR="00E1074D" w:rsidRPr="00E1074D">
        <w:rPr>
          <w:rFonts w:ascii="Times New Roman" w:hAnsi="Times New Roman" w:cs="Times New Roman"/>
        </w:rPr>
        <w:t xml:space="preserve">). </w:t>
      </w:r>
      <w:r w:rsidR="003E6ADC">
        <w:rPr>
          <w:rFonts w:ascii="Times New Roman" w:hAnsi="Times New Roman" w:cs="Times New Roman"/>
        </w:rPr>
        <w:t xml:space="preserve">PHI involves individual identifiers, past, present and future mental or physical condition or health payments and health care provided to the patient. </w:t>
      </w:r>
      <w:r w:rsidR="008776F9">
        <w:rPr>
          <w:rFonts w:ascii="Times New Roman" w:hAnsi="Times New Roman" w:cs="Times New Roman"/>
        </w:rPr>
        <w:t>Under the 1996</w:t>
      </w:r>
      <w:r w:rsidR="00F02C8E" w:rsidRPr="00E1074D">
        <w:rPr>
          <w:rFonts w:ascii="Times New Roman" w:hAnsi="Times New Roman" w:cs="Times New Roman"/>
        </w:rPr>
        <w:t xml:space="preserve"> HIPAA </w:t>
      </w:r>
      <w:r w:rsidR="008776F9">
        <w:rPr>
          <w:rFonts w:ascii="Times New Roman" w:hAnsi="Times New Roman" w:cs="Times New Roman"/>
        </w:rPr>
        <w:t>Act, confidentiality systems were established within the healthcare to protect PHI privacy</w:t>
      </w:r>
      <w:r w:rsidR="000850FF">
        <w:rPr>
          <w:rFonts w:ascii="Times New Roman" w:hAnsi="Times New Roman" w:cs="Times New Roman"/>
        </w:rPr>
        <w:t xml:space="preserve"> to limit </w:t>
      </w:r>
      <w:r w:rsidR="007672FE">
        <w:rPr>
          <w:rFonts w:ascii="Times New Roman" w:hAnsi="Times New Roman" w:cs="Times New Roman"/>
        </w:rPr>
        <w:t>use of information with a “need to know” and impose penalties for noncompliance to regulations related to confidentiality (</w:t>
      </w:r>
      <w:r w:rsidR="0065009C" w:rsidRPr="0065009C">
        <w:rPr>
          <w:rFonts w:ascii="Times New Roman" w:hAnsi="Times New Roman" w:cs="Times New Roman"/>
        </w:rPr>
        <w:t>Isola</w:t>
      </w:r>
      <w:r w:rsidR="0065009C">
        <w:rPr>
          <w:rFonts w:ascii="Times New Roman" w:hAnsi="Times New Roman" w:cs="Times New Roman"/>
        </w:rPr>
        <w:t xml:space="preserve"> </w:t>
      </w:r>
      <w:r w:rsidR="0065009C" w:rsidRPr="0065009C">
        <w:rPr>
          <w:rFonts w:ascii="Times New Roman" w:hAnsi="Times New Roman" w:cs="Times New Roman"/>
        </w:rPr>
        <w:t>&amp; Al Khalili, 2023</w:t>
      </w:r>
      <w:r w:rsidR="007672FE">
        <w:rPr>
          <w:rFonts w:ascii="Times New Roman" w:hAnsi="Times New Roman" w:cs="Times New Roman"/>
        </w:rPr>
        <w:t>).</w:t>
      </w:r>
      <w:r w:rsidR="00FC2953">
        <w:rPr>
          <w:rFonts w:ascii="Times New Roman" w:hAnsi="Times New Roman" w:cs="Times New Roman"/>
        </w:rPr>
        <w:t xml:space="preserve"> </w:t>
      </w:r>
    </w:p>
    <w:p w14:paraId="41C710A0" w14:textId="5AFD8A0B" w:rsidR="00B438BF" w:rsidRPr="00FB242C" w:rsidRDefault="00FB242C" w:rsidP="00D32DDD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FB242C">
        <w:rPr>
          <w:rFonts w:ascii="Times New Roman" w:hAnsi="Times New Roman" w:cs="Times New Roman"/>
          <w:b/>
          <w:bCs/>
        </w:rPr>
        <w:t>Privacy, Security, And Confidentiality</w:t>
      </w:r>
    </w:p>
    <w:p w14:paraId="0B7978F6" w14:textId="77777777" w:rsidR="006B7802" w:rsidRDefault="00FC2953" w:rsidP="00D32DDD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Privacy </w:t>
      </w:r>
      <w:r w:rsidR="00367033">
        <w:rPr>
          <w:rFonts w:ascii="Times New Roman" w:hAnsi="Times New Roman" w:cs="Times New Roman"/>
        </w:rPr>
        <w:t xml:space="preserve">is the patient rights in determining or how and when one can share personal health information. Privacy </w:t>
      </w:r>
      <w:r>
        <w:rPr>
          <w:rFonts w:ascii="Times New Roman" w:hAnsi="Times New Roman" w:cs="Times New Roman"/>
        </w:rPr>
        <w:t>rule needs patients to sign consent for use or disclosing personal infor</w:t>
      </w:r>
      <w:r w:rsidR="001A3A94">
        <w:rPr>
          <w:rFonts w:ascii="Times New Roman" w:hAnsi="Times New Roman" w:cs="Times New Roman"/>
        </w:rPr>
        <w:t>mation</w:t>
      </w:r>
      <w:r w:rsidR="000A3B88">
        <w:rPr>
          <w:rFonts w:ascii="Times New Roman" w:hAnsi="Times New Roman" w:cs="Times New Roman"/>
        </w:rPr>
        <w:t xml:space="preserve">. </w:t>
      </w:r>
      <w:r w:rsidR="001A3A94">
        <w:rPr>
          <w:rFonts w:ascii="Times New Roman" w:hAnsi="Times New Roman" w:cs="Times New Roman"/>
        </w:rPr>
        <w:t xml:space="preserve">Security </w:t>
      </w:r>
      <w:r w:rsidR="00230D35">
        <w:rPr>
          <w:rFonts w:ascii="Times New Roman" w:hAnsi="Times New Roman" w:cs="Times New Roman"/>
        </w:rPr>
        <w:t>is the assessment of patient information based on allowed and restriction for only authorized individuals</w:t>
      </w:r>
      <w:r w:rsidR="0065009C">
        <w:rPr>
          <w:rFonts w:ascii="Times New Roman" w:hAnsi="Times New Roman" w:cs="Times New Roman"/>
        </w:rPr>
        <w:t xml:space="preserve"> (</w:t>
      </w:r>
      <w:proofErr w:type="spellStart"/>
      <w:r w:rsidR="003B3E60" w:rsidRPr="00ED65D9">
        <w:rPr>
          <w:rFonts w:ascii="Times New Roman" w:hAnsi="Times New Roman" w:cs="Times New Roman"/>
        </w:rPr>
        <w:t>Edemekong</w:t>
      </w:r>
      <w:proofErr w:type="spellEnd"/>
      <w:r w:rsidR="003B3E60">
        <w:rPr>
          <w:rFonts w:ascii="Times New Roman" w:hAnsi="Times New Roman" w:cs="Times New Roman"/>
        </w:rPr>
        <w:t xml:space="preserve"> et al., 2024</w:t>
      </w:r>
      <w:r w:rsidR="0065009C">
        <w:rPr>
          <w:rFonts w:ascii="Times New Roman" w:hAnsi="Times New Roman" w:cs="Times New Roman"/>
        </w:rPr>
        <w:t>)</w:t>
      </w:r>
      <w:r w:rsidR="00230D35">
        <w:rPr>
          <w:rFonts w:ascii="Times New Roman" w:hAnsi="Times New Roman" w:cs="Times New Roman"/>
        </w:rPr>
        <w:t xml:space="preserve">. The security </w:t>
      </w:r>
      <w:r w:rsidR="001A3A94">
        <w:rPr>
          <w:rFonts w:ascii="Times New Roman" w:hAnsi="Times New Roman" w:cs="Times New Roman"/>
        </w:rPr>
        <w:t xml:space="preserve">of electronic </w:t>
      </w:r>
      <w:r w:rsidR="002D5ABA">
        <w:rPr>
          <w:rFonts w:ascii="Times New Roman" w:hAnsi="Times New Roman" w:cs="Times New Roman"/>
        </w:rPr>
        <w:t>PHI protects confidentia</w:t>
      </w:r>
      <w:r w:rsidR="00D75477">
        <w:rPr>
          <w:rFonts w:ascii="Times New Roman" w:hAnsi="Times New Roman" w:cs="Times New Roman"/>
        </w:rPr>
        <w:t>lity of sensitive information and ensure appropriate accessibility of health-associated entities</w:t>
      </w:r>
      <w:r w:rsidR="00D80BE5">
        <w:rPr>
          <w:rFonts w:ascii="Times New Roman" w:hAnsi="Times New Roman" w:cs="Times New Roman"/>
        </w:rPr>
        <w:t>, including administrative, physical and technical rules</w:t>
      </w:r>
      <w:r w:rsidR="00D75477">
        <w:rPr>
          <w:rFonts w:ascii="Times New Roman" w:hAnsi="Times New Roman" w:cs="Times New Roman"/>
        </w:rPr>
        <w:t>.</w:t>
      </w:r>
      <w:r w:rsidR="00071ED2">
        <w:rPr>
          <w:rFonts w:ascii="Times New Roman" w:hAnsi="Times New Roman" w:cs="Times New Roman"/>
        </w:rPr>
        <w:t xml:space="preserve"> </w:t>
      </w:r>
      <w:r w:rsidR="00904588">
        <w:rPr>
          <w:rFonts w:ascii="Times New Roman" w:hAnsi="Times New Roman" w:cs="Times New Roman"/>
        </w:rPr>
        <w:t xml:space="preserve">Confidentiality refers to restriction of unauthorized entities in accessing or sharing </w:t>
      </w:r>
      <w:r w:rsidR="007B681F">
        <w:rPr>
          <w:rFonts w:ascii="Times New Roman" w:hAnsi="Times New Roman" w:cs="Times New Roman"/>
        </w:rPr>
        <w:t>p</w:t>
      </w:r>
      <w:r w:rsidR="00B438BF">
        <w:rPr>
          <w:rFonts w:ascii="Times New Roman" w:hAnsi="Times New Roman" w:cs="Times New Roman"/>
        </w:rPr>
        <w:t>atient information</w:t>
      </w:r>
      <w:r w:rsidR="007B681F">
        <w:rPr>
          <w:rFonts w:ascii="Times New Roman" w:hAnsi="Times New Roman" w:cs="Times New Roman"/>
        </w:rPr>
        <w:t xml:space="preserve">. </w:t>
      </w:r>
    </w:p>
    <w:p w14:paraId="1C074EB1" w14:textId="462863D7" w:rsidR="005F39A6" w:rsidRPr="005F39A6" w:rsidRDefault="005F39A6" w:rsidP="00D32DD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5F39A6">
        <w:rPr>
          <w:rFonts w:ascii="Times New Roman" w:hAnsi="Times New Roman" w:cs="Times New Roman"/>
          <w:b/>
          <w:bCs/>
        </w:rPr>
        <w:t>HIPAA Essentials</w:t>
      </w:r>
    </w:p>
    <w:p w14:paraId="6FA61E0E" w14:textId="6F542E19" w:rsidR="00F02C8E" w:rsidRDefault="00BB10B8" w:rsidP="00D32DDD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implementation of HIPAA, the privacy rule was created. </w:t>
      </w:r>
      <w:r w:rsidR="00F01816">
        <w:rPr>
          <w:rFonts w:ascii="Times New Roman" w:hAnsi="Times New Roman" w:cs="Times New Roman"/>
        </w:rPr>
        <w:t xml:space="preserve">The rule requires patients to sign consent for utilization and disclosure of personal information. The second rule focuses </w:t>
      </w:r>
      <w:r w:rsidR="00C06CD6">
        <w:rPr>
          <w:rFonts w:ascii="Times New Roman" w:hAnsi="Times New Roman" w:cs="Times New Roman"/>
        </w:rPr>
        <w:t xml:space="preserve">security highlighting administrative, technical and physical rules to protect PHI, where health </w:t>
      </w:r>
      <w:r w:rsidR="00C06CD6">
        <w:rPr>
          <w:rFonts w:ascii="Times New Roman" w:hAnsi="Times New Roman" w:cs="Times New Roman"/>
        </w:rPr>
        <w:lastRenderedPageBreak/>
        <w:t xml:space="preserve">providers should engage in electronic, written, or verbal communication should </w:t>
      </w:r>
      <w:r w:rsidR="00CE16D0">
        <w:rPr>
          <w:rFonts w:ascii="Times New Roman" w:hAnsi="Times New Roman" w:cs="Times New Roman"/>
        </w:rPr>
        <w:t>remain confidential in sharing information, including patient names, age, demographic and occupation</w:t>
      </w:r>
      <w:r w:rsidR="00F14661">
        <w:rPr>
          <w:rFonts w:ascii="Times New Roman" w:hAnsi="Times New Roman" w:cs="Times New Roman"/>
        </w:rPr>
        <w:t xml:space="preserve"> </w:t>
      </w:r>
      <w:r w:rsidR="00F14661">
        <w:rPr>
          <w:rFonts w:ascii="Times New Roman" w:hAnsi="Times New Roman" w:cs="Times New Roman"/>
        </w:rPr>
        <w:t>(</w:t>
      </w:r>
      <w:proofErr w:type="spellStart"/>
      <w:r w:rsidR="00F14661" w:rsidRPr="00ED65D9">
        <w:rPr>
          <w:rFonts w:ascii="Times New Roman" w:hAnsi="Times New Roman" w:cs="Times New Roman"/>
        </w:rPr>
        <w:t>Edemekong</w:t>
      </w:r>
      <w:proofErr w:type="spellEnd"/>
      <w:r w:rsidR="00F14661">
        <w:rPr>
          <w:rFonts w:ascii="Times New Roman" w:hAnsi="Times New Roman" w:cs="Times New Roman"/>
        </w:rPr>
        <w:t xml:space="preserve"> et al., 2024).</w:t>
      </w:r>
      <w:r w:rsidR="00F14661">
        <w:rPr>
          <w:rFonts w:ascii="Times New Roman" w:hAnsi="Times New Roman" w:cs="Times New Roman"/>
        </w:rPr>
        <w:t xml:space="preserve"> Besides, HIPAA</w:t>
      </w:r>
      <w:r w:rsidR="00D431F1">
        <w:rPr>
          <w:rFonts w:ascii="Times New Roman" w:hAnsi="Times New Roman" w:cs="Times New Roman"/>
        </w:rPr>
        <w:t>’</w:t>
      </w:r>
      <w:r w:rsidR="00F14661">
        <w:rPr>
          <w:rFonts w:ascii="Times New Roman" w:hAnsi="Times New Roman" w:cs="Times New Roman"/>
        </w:rPr>
        <w:t>s rule mandate health providers to use uniq</w:t>
      </w:r>
      <w:r w:rsidR="00E73ED7">
        <w:rPr>
          <w:rFonts w:ascii="Times New Roman" w:hAnsi="Times New Roman" w:cs="Times New Roman"/>
        </w:rPr>
        <w:t xml:space="preserve">ue identifiers to identify patients. </w:t>
      </w:r>
    </w:p>
    <w:p w14:paraId="1E2F4296" w14:textId="7910ABAA" w:rsidR="005F39A6" w:rsidRPr="005F39A6" w:rsidRDefault="005F39A6" w:rsidP="00D32DD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5F39A6">
        <w:rPr>
          <w:rFonts w:ascii="Times New Roman" w:hAnsi="Times New Roman" w:cs="Times New Roman"/>
          <w:b/>
          <w:bCs/>
        </w:rPr>
        <w:t>Concerns</w:t>
      </w:r>
    </w:p>
    <w:p w14:paraId="7CE3281E" w14:textId="26B11671" w:rsidR="00E73ED7" w:rsidRPr="00E1074D" w:rsidRDefault="005F39A6" w:rsidP="00D32DDD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e</w:t>
      </w:r>
      <w:r w:rsidR="00E73ED7">
        <w:rPr>
          <w:rFonts w:ascii="Times New Roman" w:hAnsi="Times New Roman" w:cs="Times New Roman"/>
        </w:rPr>
        <w:t xml:space="preserve">xample of privacy concerns </w:t>
      </w:r>
      <w:r>
        <w:rPr>
          <w:rFonts w:ascii="Times New Roman" w:hAnsi="Times New Roman" w:cs="Times New Roman"/>
        </w:rPr>
        <w:t>occurs</w:t>
      </w:r>
      <w:r w:rsidR="002714A7">
        <w:rPr>
          <w:rFonts w:ascii="Times New Roman" w:hAnsi="Times New Roman" w:cs="Times New Roman"/>
        </w:rPr>
        <w:t xml:space="preserve"> in correctional facilities through inappropriate disclosure of PHI leading to inmates assaulting fellow counterparts with health </w:t>
      </w:r>
      <w:r w:rsidR="00D431F1">
        <w:rPr>
          <w:rFonts w:ascii="Times New Roman" w:hAnsi="Times New Roman" w:cs="Times New Roman"/>
        </w:rPr>
        <w:t>conditions</w:t>
      </w:r>
      <w:r w:rsidR="002714A7">
        <w:rPr>
          <w:rFonts w:ascii="Times New Roman" w:hAnsi="Times New Roman" w:cs="Times New Roman"/>
        </w:rPr>
        <w:t xml:space="preserve"> or face social stigma. </w:t>
      </w:r>
      <w:r w:rsidR="00D431F1">
        <w:rPr>
          <w:rFonts w:ascii="Times New Roman" w:hAnsi="Times New Roman" w:cs="Times New Roman"/>
        </w:rPr>
        <w:t>Secondly, security breaches in electronic health record or lack of protection of PHI</w:t>
      </w:r>
      <w:r w:rsidR="002943A8">
        <w:rPr>
          <w:rFonts w:ascii="Times New Roman" w:hAnsi="Times New Roman" w:cs="Times New Roman"/>
        </w:rPr>
        <w:t xml:space="preserve"> may lead to accessibility to unauthorized individuals leading to legal implication</w:t>
      </w:r>
      <w:r w:rsidR="007B76D7">
        <w:rPr>
          <w:rFonts w:ascii="Times New Roman" w:hAnsi="Times New Roman" w:cs="Times New Roman"/>
        </w:rPr>
        <w:t>s or disaster in recovery of data</w:t>
      </w:r>
      <w:r w:rsidR="008346A6">
        <w:rPr>
          <w:rFonts w:ascii="Times New Roman" w:hAnsi="Times New Roman" w:cs="Times New Roman"/>
        </w:rPr>
        <w:t xml:space="preserve"> (</w:t>
      </w:r>
      <w:proofErr w:type="spellStart"/>
      <w:r w:rsidR="006B7802" w:rsidRPr="00ED65D9">
        <w:rPr>
          <w:rFonts w:ascii="Times New Roman" w:hAnsi="Times New Roman" w:cs="Times New Roman"/>
        </w:rPr>
        <w:t>Edemekong</w:t>
      </w:r>
      <w:proofErr w:type="spellEnd"/>
      <w:r w:rsidR="006B7802">
        <w:rPr>
          <w:rFonts w:ascii="Times New Roman" w:hAnsi="Times New Roman" w:cs="Times New Roman"/>
        </w:rPr>
        <w:t xml:space="preserve"> et al., 2024</w:t>
      </w:r>
      <w:r w:rsidR="008346A6">
        <w:rPr>
          <w:rFonts w:ascii="Times New Roman" w:hAnsi="Times New Roman" w:cs="Times New Roman"/>
        </w:rPr>
        <w:t>)</w:t>
      </w:r>
      <w:r w:rsidR="007F7086">
        <w:rPr>
          <w:rFonts w:ascii="Times New Roman" w:hAnsi="Times New Roman" w:cs="Times New Roman"/>
        </w:rPr>
        <w:t xml:space="preserve">. Violations of </w:t>
      </w:r>
      <w:r w:rsidR="002B3F22">
        <w:rPr>
          <w:rFonts w:ascii="Times New Roman" w:hAnsi="Times New Roman" w:cs="Times New Roman"/>
        </w:rPr>
        <w:t>unique identifier rules by HIPAA may lead to civil monetary penalties and hearings</w:t>
      </w:r>
      <w:r w:rsidR="008346A6">
        <w:rPr>
          <w:rFonts w:ascii="Times New Roman" w:hAnsi="Times New Roman" w:cs="Times New Roman"/>
        </w:rPr>
        <w:t xml:space="preserve"> and organizations should establish corrective actions. </w:t>
      </w:r>
    </w:p>
    <w:p w14:paraId="58CCFA72" w14:textId="3FD8173F" w:rsidR="00F02C8E" w:rsidRDefault="002A7105" w:rsidP="00D32DD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5F39A6">
        <w:rPr>
          <w:rFonts w:ascii="Times New Roman" w:hAnsi="Times New Roman" w:cs="Times New Roman"/>
          <w:b/>
          <w:bCs/>
        </w:rPr>
        <w:t>The Importance of Interdisciplinary Collaboration</w:t>
      </w:r>
    </w:p>
    <w:p w14:paraId="2EA0600A" w14:textId="6E7881D1" w:rsidR="002A7105" w:rsidRPr="00E1074D" w:rsidRDefault="002A7105" w:rsidP="00D32DDD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such, interdisciplinary collaboration </w:t>
      </w:r>
      <w:r>
        <w:rPr>
          <w:rFonts w:ascii="Times New Roman" w:hAnsi="Times New Roman" w:cs="Times New Roman"/>
        </w:rPr>
        <w:t>assists in</w:t>
      </w:r>
      <w:r>
        <w:rPr>
          <w:rFonts w:ascii="Times New Roman" w:hAnsi="Times New Roman" w:cs="Times New Roman"/>
        </w:rPr>
        <w:t xml:space="preserve"> protect</w:t>
      </w:r>
      <w:r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sensitive electronic </w:t>
      </w:r>
      <w:r>
        <w:rPr>
          <w:rFonts w:ascii="Times New Roman" w:hAnsi="Times New Roman" w:cs="Times New Roman"/>
        </w:rPr>
        <w:t xml:space="preserve">PHI </w:t>
      </w:r>
      <w:r w:rsidR="00E556B9">
        <w:rPr>
          <w:rFonts w:ascii="Times New Roman" w:hAnsi="Times New Roman" w:cs="Times New Roman"/>
        </w:rPr>
        <w:t>as a professional mandate and moral obligation on patient privacy, and confidentiality</w:t>
      </w:r>
      <w:r w:rsidR="007F3CDA">
        <w:rPr>
          <w:rFonts w:ascii="Times New Roman" w:hAnsi="Times New Roman" w:cs="Times New Roman"/>
        </w:rPr>
        <w:t xml:space="preserve"> through identifying PHI, recognizing boundaries involved, and reporting breaches to appropriate authorities </w:t>
      </w:r>
      <w:r w:rsidR="00053045">
        <w:rPr>
          <w:rFonts w:ascii="Times New Roman" w:hAnsi="Times New Roman" w:cs="Times New Roman"/>
        </w:rPr>
        <w:t>(</w:t>
      </w:r>
      <w:r w:rsidR="00053045" w:rsidRPr="0065009C">
        <w:rPr>
          <w:rFonts w:ascii="Times New Roman" w:hAnsi="Times New Roman" w:cs="Times New Roman"/>
        </w:rPr>
        <w:t>Isola</w:t>
      </w:r>
      <w:r w:rsidR="00053045">
        <w:rPr>
          <w:rFonts w:ascii="Times New Roman" w:hAnsi="Times New Roman" w:cs="Times New Roman"/>
        </w:rPr>
        <w:t xml:space="preserve"> </w:t>
      </w:r>
      <w:r w:rsidR="00053045" w:rsidRPr="0065009C">
        <w:rPr>
          <w:rFonts w:ascii="Times New Roman" w:hAnsi="Times New Roman" w:cs="Times New Roman"/>
        </w:rPr>
        <w:t>&amp; Al Khalili, 2023</w:t>
      </w:r>
      <w:r w:rsidR="00053045">
        <w:rPr>
          <w:rFonts w:ascii="Times New Roman" w:hAnsi="Times New Roman" w:cs="Times New Roman"/>
        </w:rPr>
        <w:t>).</w:t>
      </w:r>
    </w:p>
    <w:p w14:paraId="671BBFF7" w14:textId="49752335" w:rsidR="002A7105" w:rsidRPr="00811660" w:rsidRDefault="00811660" w:rsidP="00D32DDD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811660">
        <w:rPr>
          <w:rFonts w:ascii="Times New Roman" w:hAnsi="Times New Roman" w:cs="Times New Roman"/>
          <w:b/>
          <w:bCs/>
        </w:rPr>
        <w:t xml:space="preserve">Social Media Usage And </w:t>
      </w:r>
      <w:r w:rsidRPr="00811660">
        <w:rPr>
          <w:rFonts w:ascii="Times New Roman" w:hAnsi="Times New Roman" w:cs="Times New Roman"/>
          <w:b/>
          <w:bCs/>
        </w:rPr>
        <w:t>PHI</w:t>
      </w:r>
    </w:p>
    <w:p w14:paraId="07854E9E" w14:textId="18D0041B" w:rsidR="00167F3D" w:rsidRDefault="00704130" w:rsidP="00D32DDD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media is crucial res</w:t>
      </w:r>
      <w:r w:rsidR="00F17774">
        <w:rPr>
          <w:rFonts w:ascii="Times New Roman" w:hAnsi="Times New Roman" w:cs="Times New Roman"/>
        </w:rPr>
        <w:t>ource in learning medical care, but one should pay attention to HIPAA.</w:t>
      </w:r>
      <w:r w:rsidR="00FE5D89">
        <w:rPr>
          <w:rFonts w:ascii="Times New Roman" w:hAnsi="Times New Roman" w:cs="Times New Roman"/>
        </w:rPr>
        <w:t xml:space="preserve"> Health practitioners should keep off patient’s tidbits</w:t>
      </w:r>
      <w:r w:rsidR="00E1730D">
        <w:rPr>
          <w:rFonts w:ascii="Times New Roman" w:hAnsi="Times New Roman" w:cs="Times New Roman"/>
        </w:rPr>
        <w:t>,</w:t>
      </w:r>
      <w:r w:rsidR="00FE5D89">
        <w:rPr>
          <w:rFonts w:ascii="Times New Roman" w:hAnsi="Times New Roman" w:cs="Times New Roman"/>
        </w:rPr>
        <w:t xml:space="preserve"> such as </w:t>
      </w:r>
      <w:proofErr w:type="spellStart"/>
      <w:r w:rsidR="00FE5D89">
        <w:rPr>
          <w:rFonts w:ascii="Times New Roman" w:hAnsi="Times New Roman" w:cs="Times New Roman"/>
        </w:rPr>
        <w:t>tatoo</w:t>
      </w:r>
      <w:proofErr w:type="spellEnd"/>
      <w:r w:rsidR="00FE5D89">
        <w:rPr>
          <w:rFonts w:ascii="Times New Roman" w:hAnsi="Times New Roman" w:cs="Times New Roman"/>
        </w:rPr>
        <w:t xml:space="preserve"> photos </w:t>
      </w:r>
      <w:r w:rsidR="00D438FF">
        <w:rPr>
          <w:rFonts w:ascii="Times New Roman" w:hAnsi="Times New Roman" w:cs="Times New Roman"/>
        </w:rPr>
        <w:t>from social media unless they have a valid authorization from a patient. For instance, a nurse in Texas</w:t>
      </w:r>
      <w:r w:rsidR="00877B60">
        <w:rPr>
          <w:rFonts w:ascii="Times New Roman" w:hAnsi="Times New Roman" w:cs="Times New Roman"/>
        </w:rPr>
        <w:t xml:space="preserve"> responded to a patient’s negative review on Yelp by disclosing patient name and health condition leadin</w:t>
      </w:r>
      <w:r w:rsidR="00E1730D">
        <w:rPr>
          <w:rFonts w:ascii="Times New Roman" w:hAnsi="Times New Roman" w:cs="Times New Roman"/>
        </w:rPr>
        <w:t>g</w:t>
      </w:r>
      <w:r w:rsidR="009A0903">
        <w:rPr>
          <w:rFonts w:ascii="Times New Roman" w:hAnsi="Times New Roman" w:cs="Times New Roman"/>
        </w:rPr>
        <w:t xml:space="preserve"> to a</w:t>
      </w:r>
      <w:r w:rsidR="00E1730D">
        <w:rPr>
          <w:rFonts w:ascii="Times New Roman" w:hAnsi="Times New Roman" w:cs="Times New Roman"/>
        </w:rPr>
        <w:t xml:space="preserve"> fine of $10,000 for disclosure without consent (</w:t>
      </w:r>
      <w:r w:rsidR="00FC7154" w:rsidRPr="00FC7154">
        <w:rPr>
          <w:rFonts w:ascii="Times New Roman" w:hAnsi="Times New Roman" w:cs="Times New Roman"/>
        </w:rPr>
        <w:t>Hennessy</w:t>
      </w:r>
      <w:r w:rsidR="00FC7154">
        <w:rPr>
          <w:rFonts w:ascii="Times New Roman" w:hAnsi="Times New Roman" w:cs="Times New Roman"/>
        </w:rPr>
        <w:t xml:space="preserve"> et al., 2023</w:t>
      </w:r>
      <w:r w:rsidR="00E1730D">
        <w:rPr>
          <w:rFonts w:ascii="Times New Roman" w:hAnsi="Times New Roman" w:cs="Times New Roman"/>
        </w:rPr>
        <w:t xml:space="preserve">). </w:t>
      </w:r>
    </w:p>
    <w:p w14:paraId="7A460888" w14:textId="7B479FF2" w:rsidR="00F02C8E" w:rsidRDefault="006E16D5" w:rsidP="00D32DDD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Healthcare professionals should avoid paid marketing campaigns and stardom due to risks</w:t>
      </w:r>
      <w:r w:rsidR="00C42E2C">
        <w:rPr>
          <w:rFonts w:ascii="Times New Roman" w:hAnsi="Times New Roman" w:cs="Times New Roman"/>
        </w:rPr>
        <w:t xml:space="preserve"> and sa</w:t>
      </w:r>
      <w:r w:rsidR="009A0903">
        <w:rPr>
          <w:rFonts w:ascii="Times New Roman" w:hAnsi="Times New Roman" w:cs="Times New Roman"/>
        </w:rPr>
        <w:t>nctions including employment termination, penalties and mandatory attendance to confidentiality courses</w:t>
      </w:r>
      <w:r w:rsidR="00167F3D">
        <w:rPr>
          <w:rFonts w:ascii="Times New Roman" w:hAnsi="Times New Roman" w:cs="Times New Roman"/>
        </w:rPr>
        <w:t>.</w:t>
      </w:r>
    </w:p>
    <w:p w14:paraId="1A238AD6" w14:textId="2FAD57FC" w:rsidR="00167F3D" w:rsidRPr="00E1074D" w:rsidRDefault="00167F3D" w:rsidP="00D32DDD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</w:t>
      </w:r>
      <w:r w:rsidR="00FC7154">
        <w:rPr>
          <w:rFonts w:ascii="Times New Roman" w:hAnsi="Times New Roman" w:cs="Times New Roman"/>
        </w:rPr>
        <w:t>evidence-based</w:t>
      </w:r>
      <w:r>
        <w:rPr>
          <w:rFonts w:ascii="Times New Roman" w:hAnsi="Times New Roman" w:cs="Times New Roman"/>
        </w:rPr>
        <w:t xml:space="preserve"> strategies for organizations involves developing and maintaining policies related to social media</w:t>
      </w:r>
      <w:r w:rsidR="006C01F0">
        <w:rPr>
          <w:rFonts w:ascii="Times New Roman" w:hAnsi="Times New Roman" w:cs="Times New Roman"/>
        </w:rPr>
        <w:t xml:space="preserve"> as an effective approach to address unprofessional conduct. Secondly, it is crucial to update policies that acknowledge </w:t>
      </w:r>
      <w:r w:rsidR="008D75DB">
        <w:rPr>
          <w:rFonts w:ascii="Times New Roman" w:hAnsi="Times New Roman" w:cs="Times New Roman"/>
        </w:rPr>
        <w:t>significance of social media and clear guidance or statement on entity’s expectations and culture on professionalism</w:t>
      </w:r>
      <w:r w:rsidR="00D32DDD">
        <w:rPr>
          <w:rFonts w:ascii="Times New Roman" w:hAnsi="Times New Roman" w:cs="Times New Roman"/>
        </w:rPr>
        <w:t xml:space="preserve"> </w:t>
      </w:r>
      <w:r w:rsidR="00D32DDD">
        <w:rPr>
          <w:rFonts w:ascii="Times New Roman" w:hAnsi="Times New Roman" w:cs="Times New Roman"/>
        </w:rPr>
        <w:t>(</w:t>
      </w:r>
      <w:r w:rsidR="00D32DDD" w:rsidRPr="00FC7154">
        <w:rPr>
          <w:rFonts w:ascii="Times New Roman" w:hAnsi="Times New Roman" w:cs="Times New Roman"/>
        </w:rPr>
        <w:t>Hennessy</w:t>
      </w:r>
      <w:r w:rsidR="00D32DDD">
        <w:rPr>
          <w:rFonts w:ascii="Times New Roman" w:hAnsi="Times New Roman" w:cs="Times New Roman"/>
        </w:rPr>
        <w:t xml:space="preserve"> et al., 2023).</w:t>
      </w:r>
    </w:p>
    <w:p w14:paraId="4C428E64" w14:textId="77777777" w:rsidR="00E3374E" w:rsidRDefault="00E337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7938250" w14:textId="50FB1ADE" w:rsidR="00E3374E" w:rsidRPr="00D32DDD" w:rsidRDefault="00E3374E" w:rsidP="00E3374E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</w:rPr>
      </w:pPr>
      <w:r w:rsidRPr="00D32DDD">
        <w:rPr>
          <w:rFonts w:ascii="Times New Roman" w:hAnsi="Times New Roman" w:cs="Times New Roman"/>
          <w:b/>
          <w:bCs/>
        </w:rPr>
        <w:lastRenderedPageBreak/>
        <w:t>References</w:t>
      </w:r>
    </w:p>
    <w:p w14:paraId="3AEF082A" w14:textId="77777777" w:rsidR="00D32DDD" w:rsidRPr="00E1074D" w:rsidRDefault="00D32DDD" w:rsidP="00D32DDD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proofErr w:type="spellStart"/>
      <w:r w:rsidRPr="00ED65D9">
        <w:rPr>
          <w:rFonts w:ascii="Times New Roman" w:hAnsi="Times New Roman" w:cs="Times New Roman"/>
        </w:rPr>
        <w:t>Edemekong</w:t>
      </w:r>
      <w:proofErr w:type="spellEnd"/>
      <w:r w:rsidRPr="00ED65D9">
        <w:rPr>
          <w:rFonts w:ascii="Times New Roman" w:hAnsi="Times New Roman" w:cs="Times New Roman"/>
        </w:rPr>
        <w:t xml:space="preserve">, P., </w:t>
      </w:r>
      <w:proofErr w:type="spellStart"/>
      <w:r w:rsidRPr="00ED65D9">
        <w:rPr>
          <w:rFonts w:ascii="Times New Roman" w:hAnsi="Times New Roman" w:cs="Times New Roman"/>
        </w:rPr>
        <w:t>Annamaraju</w:t>
      </w:r>
      <w:proofErr w:type="spellEnd"/>
      <w:r w:rsidRPr="00ED65D9">
        <w:rPr>
          <w:rFonts w:ascii="Times New Roman" w:hAnsi="Times New Roman" w:cs="Times New Roman"/>
        </w:rPr>
        <w:t>, P., Afzal, M., &amp; Haydel, M. (2024). Health insurance portability and accountability act (HIPAA) compliance. </w:t>
      </w:r>
      <w:proofErr w:type="spellStart"/>
      <w:r w:rsidRPr="00ED65D9">
        <w:rPr>
          <w:rFonts w:ascii="Times New Roman" w:hAnsi="Times New Roman" w:cs="Times New Roman"/>
          <w:i/>
          <w:iCs/>
        </w:rPr>
        <w:t>StatPearls</w:t>
      </w:r>
      <w:proofErr w:type="spellEnd"/>
      <w:r w:rsidRPr="00ED65D9">
        <w:rPr>
          <w:rFonts w:ascii="Times New Roman" w:hAnsi="Times New Roman" w:cs="Times New Roman"/>
        </w:rPr>
        <w:t>.</w:t>
      </w:r>
      <w:r w:rsidRPr="00ED65D9">
        <w:t xml:space="preserve"> </w:t>
      </w:r>
      <w:hyperlink r:id="rId7" w:history="1">
        <w:r w:rsidRPr="003D3A9A">
          <w:rPr>
            <w:rStyle w:val="Hyperlink"/>
            <w:rFonts w:ascii="Times New Roman" w:hAnsi="Times New Roman" w:cs="Times New Roman"/>
          </w:rPr>
          <w:t>https://www.ncbi.nlm.nih.gov/books/NBK500019/</w:t>
        </w:r>
      </w:hyperlink>
      <w:r>
        <w:rPr>
          <w:rFonts w:ascii="Times New Roman" w:hAnsi="Times New Roman" w:cs="Times New Roman"/>
        </w:rPr>
        <w:t xml:space="preserve"> </w:t>
      </w:r>
    </w:p>
    <w:p w14:paraId="7F1904ED" w14:textId="77777777" w:rsidR="00D32DDD" w:rsidRDefault="00D32DDD" w:rsidP="00D32DDD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bookmarkStart w:id="0" w:name="_Hlk206765249"/>
      <w:r w:rsidRPr="00FC7154">
        <w:rPr>
          <w:rFonts w:ascii="Times New Roman" w:hAnsi="Times New Roman" w:cs="Times New Roman"/>
        </w:rPr>
        <w:t xml:space="preserve">Hennessy, M., Story, J., &amp; </w:t>
      </w:r>
      <w:proofErr w:type="spellStart"/>
      <w:r w:rsidRPr="00FC7154">
        <w:rPr>
          <w:rFonts w:ascii="Times New Roman" w:hAnsi="Times New Roman" w:cs="Times New Roman"/>
        </w:rPr>
        <w:t>Enko</w:t>
      </w:r>
      <w:proofErr w:type="spellEnd"/>
      <w:r w:rsidRPr="00FC7154">
        <w:rPr>
          <w:rFonts w:ascii="Times New Roman" w:hAnsi="Times New Roman" w:cs="Times New Roman"/>
        </w:rPr>
        <w:t>, P. (2023). Lessons Learned: Avoiding Risks When Using Social Media. </w:t>
      </w:r>
      <w:r w:rsidRPr="00FC7154">
        <w:rPr>
          <w:rFonts w:ascii="Times New Roman" w:hAnsi="Times New Roman" w:cs="Times New Roman"/>
          <w:i/>
          <w:iCs/>
        </w:rPr>
        <w:t>Missouri medicine</w:t>
      </w:r>
      <w:r w:rsidRPr="00FC7154">
        <w:rPr>
          <w:rFonts w:ascii="Times New Roman" w:hAnsi="Times New Roman" w:cs="Times New Roman"/>
        </w:rPr>
        <w:t>, </w:t>
      </w:r>
      <w:r w:rsidRPr="00FC7154">
        <w:rPr>
          <w:rFonts w:ascii="Times New Roman" w:hAnsi="Times New Roman" w:cs="Times New Roman"/>
          <w:i/>
          <w:iCs/>
        </w:rPr>
        <w:t>120</w:t>
      </w:r>
      <w:r w:rsidRPr="00FC7154">
        <w:rPr>
          <w:rFonts w:ascii="Times New Roman" w:hAnsi="Times New Roman" w:cs="Times New Roman"/>
        </w:rPr>
        <w:t>(5), 345–348.</w:t>
      </w:r>
      <w:r w:rsidRPr="00FC7154">
        <w:t xml:space="preserve"> </w:t>
      </w:r>
      <w:hyperlink r:id="rId8" w:history="1">
        <w:r w:rsidRPr="003D3A9A">
          <w:rPr>
            <w:rStyle w:val="Hyperlink"/>
            <w:rFonts w:ascii="Times New Roman" w:hAnsi="Times New Roman" w:cs="Times New Roman"/>
          </w:rPr>
          <w:t>https://pmc.ncbi.nlm.nih.gov/articles/PMC10569390/</w:t>
        </w:r>
      </w:hyperlink>
      <w:r>
        <w:rPr>
          <w:rFonts w:ascii="Times New Roman" w:hAnsi="Times New Roman" w:cs="Times New Roman"/>
        </w:rPr>
        <w:t xml:space="preserve"> </w:t>
      </w:r>
    </w:p>
    <w:p w14:paraId="7DDEF7D9" w14:textId="77777777" w:rsidR="00D32DDD" w:rsidRDefault="00D32DDD" w:rsidP="00D32DDD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7B681F">
        <w:rPr>
          <w:rFonts w:ascii="Times New Roman" w:hAnsi="Times New Roman" w:cs="Times New Roman"/>
        </w:rPr>
        <w:t>Isola, S., &amp; Al Khalili, Y. (2023</w:t>
      </w:r>
      <w:bookmarkEnd w:id="0"/>
      <w:r w:rsidRPr="007B681F">
        <w:rPr>
          <w:rFonts w:ascii="Times New Roman" w:hAnsi="Times New Roman" w:cs="Times New Roman"/>
        </w:rPr>
        <w:t>). Protected health information. In </w:t>
      </w:r>
      <w:proofErr w:type="spellStart"/>
      <w:r w:rsidRPr="00ED65D9">
        <w:rPr>
          <w:rFonts w:ascii="Times New Roman" w:hAnsi="Times New Roman" w:cs="Times New Roman"/>
        </w:rPr>
        <w:t>StatPearls</w:t>
      </w:r>
      <w:proofErr w:type="spellEnd"/>
      <w:r w:rsidRPr="00ED65D9">
        <w:rPr>
          <w:rFonts w:ascii="Times New Roman" w:hAnsi="Times New Roman" w:cs="Times New Roman"/>
        </w:rPr>
        <w:t xml:space="preserve"> [Internet].</w:t>
      </w:r>
      <w:r w:rsidRPr="007B681F">
        <w:rPr>
          <w:rFonts w:ascii="Times New Roman" w:hAnsi="Times New Roman" w:cs="Times New Roman"/>
        </w:rPr>
        <w:t xml:space="preserve"> </w:t>
      </w:r>
      <w:proofErr w:type="spellStart"/>
      <w:r w:rsidRPr="00ED65D9">
        <w:rPr>
          <w:rFonts w:ascii="Times New Roman" w:hAnsi="Times New Roman" w:cs="Times New Roman"/>
          <w:i/>
          <w:iCs/>
        </w:rPr>
        <w:t>StatPearls</w:t>
      </w:r>
      <w:proofErr w:type="spellEnd"/>
      <w:r w:rsidRPr="00ED65D9">
        <w:rPr>
          <w:rFonts w:ascii="Times New Roman" w:hAnsi="Times New Roman" w:cs="Times New Roman"/>
          <w:i/>
          <w:iCs/>
        </w:rPr>
        <w:t xml:space="preserve"> Publishing.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3D3A9A">
          <w:rPr>
            <w:rStyle w:val="Hyperlink"/>
            <w:rFonts w:ascii="Times New Roman" w:hAnsi="Times New Roman" w:cs="Times New Roman"/>
          </w:rPr>
          <w:t>https://www.ncbi.nlm.nih.gov/books/NBK553131/</w:t>
        </w:r>
      </w:hyperlink>
      <w:r>
        <w:rPr>
          <w:rFonts w:ascii="Times New Roman" w:hAnsi="Times New Roman" w:cs="Times New Roman"/>
        </w:rPr>
        <w:t xml:space="preserve"> </w:t>
      </w:r>
    </w:p>
    <w:sectPr w:rsidR="00D32DD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8668" w14:textId="77777777" w:rsidR="005E1D14" w:rsidRDefault="005E1D14" w:rsidP="001933F7">
      <w:pPr>
        <w:spacing w:after="0" w:line="240" w:lineRule="auto"/>
      </w:pPr>
      <w:r>
        <w:separator/>
      </w:r>
    </w:p>
  </w:endnote>
  <w:endnote w:type="continuationSeparator" w:id="0">
    <w:p w14:paraId="58BB5E06" w14:textId="77777777" w:rsidR="005E1D14" w:rsidRDefault="005E1D14" w:rsidP="0019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AE58" w14:textId="77777777" w:rsidR="005E1D14" w:rsidRDefault="005E1D14" w:rsidP="001933F7">
      <w:pPr>
        <w:spacing w:after="0" w:line="240" w:lineRule="auto"/>
      </w:pPr>
      <w:r>
        <w:separator/>
      </w:r>
    </w:p>
  </w:footnote>
  <w:footnote w:type="continuationSeparator" w:id="0">
    <w:p w14:paraId="5E2982FB" w14:textId="77777777" w:rsidR="005E1D14" w:rsidRDefault="005E1D14" w:rsidP="0019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3563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BD938A7" w14:textId="303D1690" w:rsidR="001933F7" w:rsidRPr="001933F7" w:rsidRDefault="001933F7">
        <w:pPr>
          <w:pStyle w:val="Header"/>
          <w:jc w:val="right"/>
          <w:rPr>
            <w:rFonts w:ascii="Times New Roman" w:hAnsi="Times New Roman" w:cs="Times New Roman"/>
          </w:rPr>
        </w:pPr>
        <w:r w:rsidRPr="001933F7">
          <w:rPr>
            <w:rFonts w:ascii="Times New Roman" w:hAnsi="Times New Roman" w:cs="Times New Roman"/>
          </w:rPr>
          <w:fldChar w:fldCharType="begin"/>
        </w:r>
        <w:r w:rsidRPr="001933F7">
          <w:rPr>
            <w:rFonts w:ascii="Times New Roman" w:hAnsi="Times New Roman" w:cs="Times New Roman"/>
          </w:rPr>
          <w:instrText xml:space="preserve"> PAGE   \* MERGEFORMAT </w:instrText>
        </w:r>
        <w:r w:rsidRPr="001933F7">
          <w:rPr>
            <w:rFonts w:ascii="Times New Roman" w:hAnsi="Times New Roman" w:cs="Times New Roman"/>
          </w:rPr>
          <w:fldChar w:fldCharType="separate"/>
        </w:r>
        <w:r w:rsidRPr="001933F7">
          <w:rPr>
            <w:rFonts w:ascii="Times New Roman" w:hAnsi="Times New Roman" w:cs="Times New Roman"/>
            <w:noProof/>
          </w:rPr>
          <w:t>2</w:t>
        </w:r>
        <w:r w:rsidRPr="001933F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41005F5" w14:textId="77777777" w:rsidR="001933F7" w:rsidRDefault="00193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A6F"/>
    <w:multiLevelType w:val="multilevel"/>
    <w:tmpl w:val="A94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E0BD8"/>
    <w:multiLevelType w:val="multilevel"/>
    <w:tmpl w:val="1E72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E3246"/>
    <w:multiLevelType w:val="multilevel"/>
    <w:tmpl w:val="CD56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14B96"/>
    <w:multiLevelType w:val="multilevel"/>
    <w:tmpl w:val="18DC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F6D89"/>
    <w:multiLevelType w:val="multilevel"/>
    <w:tmpl w:val="04BE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B7EFF"/>
    <w:multiLevelType w:val="multilevel"/>
    <w:tmpl w:val="C738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62894"/>
    <w:multiLevelType w:val="multilevel"/>
    <w:tmpl w:val="E06C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24C48"/>
    <w:multiLevelType w:val="multilevel"/>
    <w:tmpl w:val="7544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3062F"/>
    <w:multiLevelType w:val="multilevel"/>
    <w:tmpl w:val="C1C4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79B6"/>
    <w:multiLevelType w:val="multilevel"/>
    <w:tmpl w:val="1BF6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C212A"/>
    <w:multiLevelType w:val="multilevel"/>
    <w:tmpl w:val="FDC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C97C26"/>
    <w:multiLevelType w:val="multilevel"/>
    <w:tmpl w:val="42F0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14D73"/>
    <w:multiLevelType w:val="multilevel"/>
    <w:tmpl w:val="D13A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2E5CC4"/>
    <w:multiLevelType w:val="multilevel"/>
    <w:tmpl w:val="0BF6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212963">
    <w:abstractNumId w:val="3"/>
  </w:num>
  <w:num w:numId="2" w16cid:durableId="1840995699">
    <w:abstractNumId w:val="2"/>
  </w:num>
  <w:num w:numId="3" w16cid:durableId="1623924949">
    <w:abstractNumId w:val="0"/>
  </w:num>
  <w:num w:numId="4" w16cid:durableId="331296330">
    <w:abstractNumId w:val="8"/>
  </w:num>
  <w:num w:numId="5" w16cid:durableId="1043553525">
    <w:abstractNumId w:val="6"/>
  </w:num>
  <w:num w:numId="6" w16cid:durableId="1266352756">
    <w:abstractNumId w:val="12"/>
  </w:num>
  <w:num w:numId="7" w16cid:durableId="149954884">
    <w:abstractNumId w:val="10"/>
  </w:num>
  <w:num w:numId="8" w16cid:durableId="1017075048">
    <w:abstractNumId w:val="9"/>
  </w:num>
  <w:num w:numId="9" w16cid:durableId="790245212">
    <w:abstractNumId w:val="11"/>
  </w:num>
  <w:num w:numId="10" w16cid:durableId="1522816226">
    <w:abstractNumId w:val="4"/>
  </w:num>
  <w:num w:numId="11" w16cid:durableId="609705179">
    <w:abstractNumId w:val="7"/>
  </w:num>
  <w:num w:numId="12" w16cid:durableId="1859155785">
    <w:abstractNumId w:val="1"/>
  </w:num>
  <w:num w:numId="13" w16cid:durableId="326831107">
    <w:abstractNumId w:val="13"/>
  </w:num>
  <w:num w:numId="14" w16cid:durableId="1211378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8E"/>
    <w:rsid w:val="000035C9"/>
    <w:rsid w:val="00053045"/>
    <w:rsid w:val="00071ED2"/>
    <w:rsid w:val="000850FF"/>
    <w:rsid w:val="000A3B88"/>
    <w:rsid w:val="0012363B"/>
    <w:rsid w:val="00167F3D"/>
    <w:rsid w:val="001933F7"/>
    <w:rsid w:val="001A3A94"/>
    <w:rsid w:val="001C122E"/>
    <w:rsid w:val="001C626F"/>
    <w:rsid w:val="00230D35"/>
    <w:rsid w:val="002714A7"/>
    <w:rsid w:val="002943A8"/>
    <w:rsid w:val="002A7105"/>
    <w:rsid w:val="002B3F22"/>
    <w:rsid w:val="002D5ABA"/>
    <w:rsid w:val="00351919"/>
    <w:rsid w:val="00367033"/>
    <w:rsid w:val="003B3E60"/>
    <w:rsid w:val="003B449F"/>
    <w:rsid w:val="003E6ADC"/>
    <w:rsid w:val="004C3D18"/>
    <w:rsid w:val="00540DC9"/>
    <w:rsid w:val="00582DD0"/>
    <w:rsid w:val="005B55CF"/>
    <w:rsid w:val="005E1D14"/>
    <w:rsid w:val="005F39A6"/>
    <w:rsid w:val="0065009C"/>
    <w:rsid w:val="006B7802"/>
    <w:rsid w:val="006C01F0"/>
    <w:rsid w:val="006E16D5"/>
    <w:rsid w:val="00704130"/>
    <w:rsid w:val="007672FE"/>
    <w:rsid w:val="007B681F"/>
    <w:rsid w:val="007B76D7"/>
    <w:rsid w:val="007F3CDA"/>
    <w:rsid w:val="007F7086"/>
    <w:rsid w:val="00811660"/>
    <w:rsid w:val="008346A6"/>
    <w:rsid w:val="0085450A"/>
    <w:rsid w:val="00867AF9"/>
    <w:rsid w:val="00871F6E"/>
    <w:rsid w:val="008776F9"/>
    <w:rsid w:val="00877B60"/>
    <w:rsid w:val="008D75DB"/>
    <w:rsid w:val="00904588"/>
    <w:rsid w:val="009920E1"/>
    <w:rsid w:val="009A0903"/>
    <w:rsid w:val="00A479EF"/>
    <w:rsid w:val="00A94D3D"/>
    <w:rsid w:val="00B03F69"/>
    <w:rsid w:val="00B438BF"/>
    <w:rsid w:val="00B603A4"/>
    <w:rsid w:val="00B757AD"/>
    <w:rsid w:val="00BB10B8"/>
    <w:rsid w:val="00C06CD6"/>
    <w:rsid w:val="00C42E2C"/>
    <w:rsid w:val="00C63089"/>
    <w:rsid w:val="00C74B9D"/>
    <w:rsid w:val="00C96FE1"/>
    <w:rsid w:val="00CE16D0"/>
    <w:rsid w:val="00D32DDD"/>
    <w:rsid w:val="00D431F1"/>
    <w:rsid w:val="00D438FF"/>
    <w:rsid w:val="00D75477"/>
    <w:rsid w:val="00D80BE5"/>
    <w:rsid w:val="00D860B8"/>
    <w:rsid w:val="00E1074D"/>
    <w:rsid w:val="00E1730D"/>
    <w:rsid w:val="00E3374E"/>
    <w:rsid w:val="00E556B9"/>
    <w:rsid w:val="00E73ED7"/>
    <w:rsid w:val="00ED65D9"/>
    <w:rsid w:val="00F01816"/>
    <w:rsid w:val="00F02C8E"/>
    <w:rsid w:val="00F14661"/>
    <w:rsid w:val="00F17774"/>
    <w:rsid w:val="00F57D9F"/>
    <w:rsid w:val="00FB242C"/>
    <w:rsid w:val="00FC2953"/>
    <w:rsid w:val="00FC7154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C4C9"/>
  <w15:chartTrackingRefBased/>
  <w15:docId w15:val="{E725648F-212D-4C30-8C37-EF980429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C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2C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C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3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3F7"/>
  </w:style>
  <w:style w:type="paragraph" w:styleId="Footer">
    <w:name w:val="footer"/>
    <w:basedOn w:val="Normal"/>
    <w:link w:val="FooterChar"/>
    <w:uiPriority w:val="99"/>
    <w:unhideWhenUsed/>
    <w:rsid w:val="00193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1056939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books/NBK50001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55313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folarin awojinrin</dc:creator>
  <cp:keywords/>
  <dc:description/>
  <cp:lastModifiedBy>Dell</cp:lastModifiedBy>
  <cp:revision>2</cp:revision>
  <dcterms:created xsi:type="dcterms:W3CDTF">2025-08-18T21:35:00Z</dcterms:created>
  <dcterms:modified xsi:type="dcterms:W3CDTF">2025-08-22T12:18:00Z</dcterms:modified>
</cp:coreProperties>
</file>