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C60A" w14:textId="253A4D9A" w:rsidR="007F5C73" w:rsidRPr="00C005D7" w:rsidRDefault="007F5C73" w:rsidP="00C005D7">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b/>
          <w:bCs/>
        </w:rPr>
      </w:pPr>
      <w:r w:rsidRPr="00C005D7">
        <w:rPr>
          <w:rFonts w:ascii="Times New Roman" w:hAnsi="Times New Roman" w:cs="Times New Roman"/>
          <w:b/>
          <w:bCs/>
        </w:rPr>
        <w:t>The DNP Practice Change Project: The Data Collection and Analysis Plan</w:t>
      </w:r>
    </w:p>
    <w:p w14:paraId="2894BCB7" w14:textId="77777777" w:rsidR="007F5C73" w:rsidRDefault="007F5C73" w:rsidP="007F5C73">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State your practice question in PICOT format.</w:t>
      </w:r>
    </w:p>
    <w:p w14:paraId="6D188EA5" w14:textId="77777777" w:rsidR="007F5C73" w:rsidRPr="00E46782" w:rsidRDefault="007F5C73" w:rsidP="007F5C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P- Among staff members providing care to patients with bipolar disorder</w:t>
      </w:r>
    </w:p>
    <w:p w14:paraId="62254BCC" w14:textId="77777777" w:rsidR="007F5C73" w:rsidRPr="00E46782" w:rsidRDefault="007F5C73" w:rsidP="007F5C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I – How does the implementation of the teach back method</w:t>
      </w:r>
    </w:p>
    <w:p w14:paraId="4BD9B4B0" w14:textId="77777777" w:rsidR="007F5C73" w:rsidRPr="00E46782" w:rsidRDefault="007F5C73" w:rsidP="007F5C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C – Compared to standard educational practices</w:t>
      </w:r>
    </w:p>
    <w:p w14:paraId="79F5AD22" w14:textId="77777777" w:rsidR="007F5C73" w:rsidRPr="00E46782" w:rsidRDefault="007F5C73" w:rsidP="007F5C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60FFF274" w14:textId="77777777" w:rsidR="007F5C73" w:rsidRPr="00E46782" w:rsidRDefault="007F5C73" w:rsidP="007F5C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T – Over an intervention period of 8-11 weeks</w:t>
      </w:r>
    </w:p>
    <w:p w14:paraId="560524C8" w14:textId="77777777" w:rsidR="007F5C73" w:rsidRDefault="007F5C73" w:rsidP="007F5C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59ED8812" w14:textId="0278C0D1" w:rsidR="00C005D7" w:rsidRDefault="00C005D7" w:rsidP="00C005D7">
      <w:pPr>
        <w:pStyle w:val="ListParagraph"/>
        <w:numPr>
          <w:ilvl w:val="0"/>
          <w:numId w:val="1"/>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Describe the plan you will have in place to maintain confidentiality of participants data, both regarding the data you will collect as well as how you will protect their identity.</w:t>
      </w:r>
    </w:p>
    <w:p w14:paraId="7B712EA8" w14:textId="4F3D33B0" w:rsidR="00C005D7" w:rsidRPr="00C005D7" w:rsidRDefault="00C005D7" w:rsidP="00E3445C">
      <w:pPr>
        <w:spacing w:before="100" w:beforeAutospacing="1" w:after="100" w:afterAutospacing="1" w:line="480" w:lineRule="auto"/>
        <w:ind w:firstLine="360"/>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All collected data will be de-identified and assigned unique codes to remove any personal identifiers. This means that no names or identifiable information will appear in the final</w:t>
      </w:r>
      <w:r w:rsidR="000C6CE2">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 xml:space="preserve">report or data set. </w:t>
      </w:r>
      <w:r w:rsidR="000C6CE2">
        <w:rPr>
          <w:rFonts w:ascii="Times New Roman" w:eastAsia="Times New Roman" w:hAnsi="Times New Roman" w:cs="Times New Roman"/>
          <w:kern w:val="0"/>
          <w:shd w:val="clear" w:color="auto" w:fill="FFFFFF"/>
          <w14:ligatures w14:val="none"/>
        </w:rPr>
        <w:t xml:space="preserve">Data will be stored in an encrypted and password-protected flash drive, which will only be accessible to the DNP project manager and the practicum preceptor. </w:t>
      </w:r>
      <w:r w:rsidR="00496A7F">
        <w:rPr>
          <w:rFonts w:ascii="Times New Roman" w:eastAsia="Times New Roman" w:hAnsi="Times New Roman" w:cs="Times New Roman"/>
          <w:kern w:val="0"/>
          <w:shd w:val="clear" w:color="auto" w:fill="FFFFFF"/>
          <w14:ligatures w14:val="none"/>
        </w:rPr>
        <w:t xml:space="preserve">If physical documents are used, they will be stored in a locked cabinet and shredded after electronic entry. </w:t>
      </w:r>
      <w:r w:rsidR="00F82218">
        <w:rPr>
          <w:rFonts w:ascii="Times New Roman" w:eastAsia="Times New Roman" w:hAnsi="Times New Roman" w:cs="Times New Roman"/>
          <w:kern w:val="0"/>
          <w:shd w:val="clear" w:color="auto" w:fill="FFFFFF"/>
          <w14:ligatures w14:val="none"/>
        </w:rPr>
        <w:t xml:space="preserve">Finally, the </w:t>
      </w:r>
      <w:r w:rsidR="00F82218">
        <w:rPr>
          <w:rFonts w:ascii="Times New Roman" w:eastAsia="Times New Roman" w:hAnsi="Times New Roman" w:cs="Times New Roman"/>
          <w:kern w:val="0"/>
          <w:shd w:val="clear" w:color="auto" w:fill="FFFFFF"/>
          <w14:ligatures w14:val="none"/>
        </w:rPr>
        <w:lastRenderedPageBreak/>
        <w:t>results will be reported in aggregate form to ensure that individual responses cannot be traced back to any participant</w:t>
      </w:r>
      <w:r w:rsidR="00FE387F">
        <w:rPr>
          <w:rFonts w:ascii="Times New Roman" w:eastAsia="Times New Roman" w:hAnsi="Times New Roman" w:cs="Times New Roman"/>
          <w:kern w:val="0"/>
          <w:shd w:val="clear" w:color="auto" w:fill="FFFFFF"/>
          <w14:ligatures w14:val="none"/>
        </w:rPr>
        <w:t xml:space="preserve"> (</w:t>
      </w:r>
      <w:r w:rsidR="004E7A97" w:rsidRPr="00E246A8">
        <w:rPr>
          <w:rFonts w:ascii="Times New Roman" w:eastAsia="Times New Roman" w:hAnsi="Times New Roman" w:cs="Times New Roman"/>
          <w:kern w:val="0"/>
          <w:shd w:val="clear" w:color="auto" w:fill="FFFFFF"/>
          <w14:ligatures w14:val="none"/>
        </w:rPr>
        <w:t>American Nurses Association</w:t>
      </w:r>
      <w:r w:rsidR="004E7A97">
        <w:rPr>
          <w:rFonts w:ascii="Times New Roman" w:eastAsia="Times New Roman" w:hAnsi="Times New Roman" w:cs="Times New Roman"/>
          <w:kern w:val="0"/>
          <w:shd w:val="clear" w:color="auto" w:fill="FFFFFF"/>
          <w14:ligatures w14:val="none"/>
        </w:rPr>
        <w:t>, 2025</w:t>
      </w:r>
      <w:r w:rsidR="00FE387F">
        <w:rPr>
          <w:rFonts w:ascii="Times New Roman" w:eastAsia="Times New Roman" w:hAnsi="Times New Roman" w:cs="Times New Roman"/>
          <w:kern w:val="0"/>
          <w:shd w:val="clear" w:color="auto" w:fill="FFFFFF"/>
          <w14:ligatures w14:val="none"/>
        </w:rPr>
        <w:t>)</w:t>
      </w:r>
      <w:r w:rsidR="00F82218">
        <w:rPr>
          <w:rFonts w:ascii="Times New Roman" w:eastAsia="Times New Roman" w:hAnsi="Times New Roman" w:cs="Times New Roman"/>
          <w:kern w:val="0"/>
          <w:shd w:val="clear" w:color="auto" w:fill="FFFFFF"/>
          <w14:ligatures w14:val="none"/>
        </w:rPr>
        <w:t>.</w:t>
      </w:r>
    </w:p>
    <w:p w14:paraId="5930348C" w14:textId="3A49F30F" w:rsidR="00C005D7" w:rsidRDefault="00C005D7" w:rsidP="00C005D7">
      <w:pPr>
        <w:pStyle w:val="ListParagraph"/>
        <w:numPr>
          <w:ilvl w:val="0"/>
          <w:numId w:val="1"/>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Explain the safeguards you will have in place to protect the data over time.</w:t>
      </w:r>
    </w:p>
    <w:p w14:paraId="25EF30E5" w14:textId="2A055FFD" w:rsidR="00E3445C" w:rsidRPr="00E3445C" w:rsidRDefault="00E3445C" w:rsidP="006716B4">
      <w:pPr>
        <w:spacing w:before="100" w:beforeAutospacing="1" w:after="100" w:afterAutospacing="1" w:line="480" w:lineRule="auto"/>
        <w:ind w:firstLine="360"/>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As previously mentioned, all information will be stored on an encrypted flash drive kept in a secure cabinet or locked drawer at the practicum site. This will ensure that data is safeguarded over time and</w:t>
      </w:r>
      <w:r w:rsidR="006716B4">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only authorized personnel</w:t>
      </w:r>
      <w:r w:rsidR="006716B4">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 xml:space="preserve">will have access. </w:t>
      </w:r>
      <w:r w:rsidR="009E69F9">
        <w:rPr>
          <w:rFonts w:ascii="Times New Roman" w:eastAsia="Times New Roman" w:hAnsi="Times New Roman" w:cs="Times New Roman"/>
          <w:kern w:val="0"/>
          <w:shd w:val="clear" w:color="auto" w:fill="FFFFFF"/>
          <w14:ligatures w14:val="none"/>
        </w:rPr>
        <w:t>The practice is also consistent with ethical research guidelines which advocate for protecting data from loss or unauthorized access over time (</w:t>
      </w:r>
      <w:r w:rsidR="009E69F9">
        <w:rPr>
          <w:rFonts w:ascii="Times New Roman" w:eastAsia="Times New Roman" w:hAnsi="Times New Roman" w:cs="Times New Roman"/>
          <w:kern w:val="0"/>
          <w:shd w:val="clear" w:color="auto" w:fill="FFFFFF"/>
          <w14:ligatures w14:val="none"/>
        </w:rPr>
        <w:t>U.S Department of Health and Human Services</w:t>
      </w:r>
      <w:r w:rsidR="009E69F9">
        <w:rPr>
          <w:rFonts w:ascii="Times New Roman" w:eastAsia="Times New Roman" w:hAnsi="Times New Roman" w:cs="Times New Roman"/>
          <w:kern w:val="0"/>
          <w:shd w:val="clear" w:color="auto" w:fill="FFFFFF"/>
          <w14:ligatures w14:val="none"/>
        </w:rPr>
        <w:t xml:space="preserve">, 2025). </w:t>
      </w:r>
      <w:r w:rsidR="006716B4">
        <w:rPr>
          <w:rFonts w:ascii="Times New Roman" w:eastAsia="Times New Roman" w:hAnsi="Times New Roman" w:cs="Times New Roman"/>
          <w:kern w:val="0"/>
          <w:shd w:val="clear" w:color="auto" w:fill="FFFFFF"/>
          <w14:ligatures w14:val="none"/>
        </w:rPr>
        <w:t>These safeguards ensure that data remains protected from unauthorized access or breaches</w:t>
      </w:r>
      <w:r w:rsidR="002F0981">
        <w:rPr>
          <w:rFonts w:ascii="Times New Roman" w:eastAsia="Times New Roman" w:hAnsi="Times New Roman" w:cs="Times New Roman"/>
          <w:kern w:val="0"/>
          <w:shd w:val="clear" w:color="auto" w:fill="FFFFFF"/>
          <w14:ligatures w14:val="none"/>
        </w:rPr>
        <w:t xml:space="preserve">, as </w:t>
      </w:r>
      <w:r w:rsidR="00231D8B" w:rsidRPr="002F0981">
        <w:rPr>
          <w:rFonts w:ascii="Times New Roman" w:eastAsia="Times New Roman" w:hAnsi="Times New Roman" w:cs="Times New Roman"/>
          <w:kern w:val="0"/>
          <w:shd w:val="clear" w:color="auto" w:fill="FFFFFF"/>
          <w14:ligatures w14:val="none"/>
        </w:rPr>
        <w:t>LoBiondo-Wood</w:t>
      </w:r>
      <w:r w:rsidR="00231D8B">
        <w:rPr>
          <w:rFonts w:ascii="Times New Roman" w:eastAsia="Times New Roman" w:hAnsi="Times New Roman" w:cs="Times New Roman"/>
          <w:kern w:val="0"/>
          <w:shd w:val="clear" w:color="auto" w:fill="FFFFFF"/>
          <w14:ligatures w14:val="none"/>
        </w:rPr>
        <w:t xml:space="preserve"> &amp; </w:t>
      </w:r>
      <w:r w:rsidR="00F40FC4" w:rsidRPr="002F0981">
        <w:rPr>
          <w:rFonts w:ascii="Times New Roman" w:eastAsia="Times New Roman" w:hAnsi="Times New Roman" w:cs="Times New Roman"/>
          <w:kern w:val="0"/>
          <w:shd w:val="clear" w:color="auto" w:fill="FFFFFF"/>
          <w14:ligatures w14:val="none"/>
        </w:rPr>
        <w:t>Haber</w:t>
      </w:r>
      <w:r w:rsidR="00F40FC4">
        <w:rPr>
          <w:rFonts w:ascii="Times New Roman" w:eastAsia="Times New Roman" w:hAnsi="Times New Roman" w:cs="Times New Roman"/>
          <w:kern w:val="0"/>
          <w:shd w:val="clear" w:color="auto" w:fill="FFFFFF"/>
          <w14:ligatures w14:val="none"/>
        </w:rPr>
        <w:t xml:space="preserve"> </w:t>
      </w:r>
      <w:r w:rsidR="002F0981">
        <w:rPr>
          <w:rFonts w:ascii="Times New Roman" w:eastAsia="Times New Roman" w:hAnsi="Times New Roman" w:cs="Times New Roman"/>
          <w:kern w:val="0"/>
          <w:shd w:val="clear" w:color="auto" w:fill="FFFFFF"/>
          <w14:ligatures w14:val="none"/>
        </w:rPr>
        <w:t>(</w:t>
      </w:r>
      <w:r w:rsidR="00F40FC4">
        <w:rPr>
          <w:rFonts w:ascii="Times New Roman" w:eastAsia="Times New Roman" w:hAnsi="Times New Roman" w:cs="Times New Roman"/>
          <w:kern w:val="0"/>
          <w:shd w:val="clear" w:color="auto" w:fill="FFFFFF"/>
          <w14:ligatures w14:val="none"/>
        </w:rPr>
        <w:t>2021</w:t>
      </w:r>
      <w:r w:rsidR="002F0981">
        <w:rPr>
          <w:rFonts w:ascii="Times New Roman" w:eastAsia="Times New Roman" w:hAnsi="Times New Roman" w:cs="Times New Roman"/>
          <w:kern w:val="0"/>
          <w:shd w:val="clear" w:color="auto" w:fill="FFFFFF"/>
          <w14:ligatures w14:val="none"/>
        </w:rPr>
        <w:t>) suggest,</w:t>
      </w:r>
      <w:r w:rsidR="006716B4">
        <w:rPr>
          <w:rFonts w:ascii="Times New Roman" w:eastAsia="Times New Roman" w:hAnsi="Times New Roman" w:cs="Times New Roman"/>
          <w:kern w:val="0"/>
          <w:shd w:val="clear" w:color="auto" w:fill="FFFFFF"/>
          <w14:ligatures w14:val="none"/>
        </w:rPr>
        <w:t xml:space="preserve"> during the 7-year period</w:t>
      </w:r>
      <w:r w:rsidR="00F55AF1">
        <w:rPr>
          <w:rFonts w:ascii="Times New Roman" w:eastAsia="Times New Roman" w:hAnsi="Times New Roman" w:cs="Times New Roman"/>
          <w:kern w:val="0"/>
          <w:shd w:val="clear" w:color="auto" w:fill="FFFFFF"/>
          <w14:ligatures w14:val="none"/>
        </w:rPr>
        <w:t xml:space="preserve"> </w:t>
      </w:r>
      <w:r w:rsidR="006716B4">
        <w:rPr>
          <w:rFonts w:ascii="Times New Roman" w:eastAsia="Times New Roman" w:hAnsi="Times New Roman" w:cs="Times New Roman"/>
          <w:kern w:val="0"/>
          <w:shd w:val="clear" w:color="auto" w:fill="FFFFFF"/>
          <w14:ligatures w14:val="none"/>
        </w:rPr>
        <w:t xml:space="preserve">of retention.  </w:t>
      </w:r>
    </w:p>
    <w:p w14:paraId="341C3C81" w14:textId="69453246" w:rsidR="00C005D7" w:rsidRDefault="00C005D7" w:rsidP="00C005D7">
      <w:pPr>
        <w:pStyle w:val="ListParagraph"/>
        <w:numPr>
          <w:ilvl w:val="0"/>
          <w:numId w:val="1"/>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How long will you maintain the data and what will be done with the data after this period?</w:t>
      </w:r>
    </w:p>
    <w:p w14:paraId="08C62548" w14:textId="23369440" w:rsidR="00F55AF1" w:rsidRDefault="00F55AF1" w:rsidP="00D55E7A">
      <w:pPr>
        <w:spacing w:before="100" w:beforeAutospacing="1" w:after="100" w:afterAutospacing="1" w:line="480" w:lineRule="auto"/>
        <w:ind w:firstLine="360"/>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 xml:space="preserve">The collected data will be securely maintained for a period of seven years following standard institutional and ethical guidelines. The encrypted flash drive will remain in a secure and locked location during the period. Further, at the end of the 7-year retention, </w:t>
      </w:r>
      <w:r w:rsidR="00DB6B37">
        <w:rPr>
          <w:rFonts w:ascii="Times New Roman" w:eastAsia="Times New Roman" w:hAnsi="Times New Roman" w:cs="Times New Roman"/>
          <w:kern w:val="0"/>
          <w:shd w:val="clear" w:color="auto" w:fill="FFFFFF"/>
          <w14:ligatures w14:val="none"/>
        </w:rPr>
        <w:t>the data will be permanently deleted from the flash drive and the flash drive will be physically destroyed to prevent</w:t>
      </w:r>
      <w:r w:rsidR="00D55E7A">
        <w:rPr>
          <w:rFonts w:ascii="Times New Roman" w:eastAsia="Times New Roman" w:hAnsi="Times New Roman" w:cs="Times New Roman"/>
          <w:kern w:val="0"/>
          <w:shd w:val="clear" w:color="auto" w:fill="FFFFFF"/>
          <w14:ligatures w14:val="none"/>
        </w:rPr>
        <w:t xml:space="preserve"> </w:t>
      </w:r>
      <w:r w:rsidR="00DB6B37">
        <w:rPr>
          <w:rFonts w:ascii="Times New Roman" w:eastAsia="Times New Roman" w:hAnsi="Times New Roman" w:cs="Times New Roman"/>
          <w:kern w:val="0"/>
          <w:shd w:val="clear" w:color="auto" w:fill="FFFFFF"/>
          <w14:ligatures w14:val="none"/>
        </w:rPr>
        <w:t xml:space="preserve">potential recovery. </w:t>
      </w:r>
      <w:r w:rsidR="00D55E7A">
        <w:rPr>
          <w:rFonts w:ascii="Times New Roman" w:eastAsia="Times New Roman" w:hAnsi="Times New Roman" w:cs="Times New Roman"/>
          <w:kern w:val="0"/>
          <w:shd w:val="clear" w:color="auto" w:fill="FFFFFF"/>
          <w14:ligatures w14:val="none"/>
        </w:rPr>
        <w:t xml:space="preserve">This will ensure responsible disposal of participant data and long-term confidentiality. </w:t>
      </w:r>
    </w:p>
    <w:p w14:paraId="0D851202" w14:textId="77777777" w:rsidR="000003AD" w:rsidRDefault="000003AD" w:rsidP="002F0981">
      <w:pPr>
        <w:spacing w:before="100" w:beforeAutospacing="1" w:after="100" w:afterAutospacing="1" w:line="480" w:lineRule="auto"/>
        <w:ind w:firstLine="360"/>
        <w:jc w:val="center"/>
        <w:rPr>
          <w:rFonts w:ascii="Times New Roman" w:eastAsia="Times New Roman" w:hAnsi="Times New Roman" w:cs="Times New Roman"/>
          <w:b/>
          <w:bCs/>
          <w:kern w:val="0"/>
          <w:shd w:val="clear" w:color="auto" w:fill="FFFFFF"/>
          <w14:ligatures w14:val="none"/>
        </w:rPr>
      </w:pPr>
    </w:p>
    <w:p w14:paraId="1E946959" w14:textId="77777777" w:rsidR="000003AD" w:rsidRDefault="000003AD" w:rsidP="00703D1B">
      <w:pPr>
        <w:spacing w:before="100" w:beforeAutospacing="1" w:after="100" w:afterAutospacing="1" w:line="480" w:lineRule="auto"/>
        <w:rPr>
          <w:rFonts w:ascii="Times New Roman" w:eastAsia="Times New Roman" w:hAnsi="Times New Roman" w:cs="Times New Roman"/>
          <w:b/>
          <w:bCs/>
          <w:kern w:val="0"/>
          <w:shd w:val="clear" w:color="auto" w:fill="FFFFFF"/>
          <w14:ligatures w14:val="none"/>
        </w:rPr>
      </w:pPr>
    </w:p>
    <w:p w14:paraId="43090FA7" w14:textId="337EB28C" w:rsidR="002F0981" w:rsidRDefault="002F0981" w:rsidP="002F0981">
      <w:pPr>
        <w:spacing w:before="100" w:beforeAutospacing="1" w:after="100" w:afterAutospacing="1" w:line="480" w:lineRule="auto"/>
        <w:ind w:firstLine="360"/>
        <w:jc w:val="center"/>
        <w:rPr>
          <w:rFonts w:ascii="Times New Roman" w:eastAsia="Times New Roman" w:hAnsi="Times New Roman" w:cs="Times New Roman"/>
          <w:b/>
          <w:bCs/>
          <w:kern w:val="0"/>
          <w:shd w:val="clear" w:color="auto" w:fill="FFFFFF"/>
          <w14:ligatures w14:val="none"/>
        </w:rPr>
      </w:pPr>
      <w:r w:rsidRPr="002F0981">
        <w:rPr>
          <w:rFonts w:ascii="Times New Roman" w:eastAsia="Times New Roman" w:hAnsi="Times New Roman" w:cs="Times New Roman"/>
          <w:b/>
          <w:bCs/>
          <w:kern w:val="0"/>
          <w:shd w:val="clear" w:color="auto" w:fill="FFFFFF"/>
          <w14:ligatures w14:val="none"/>
        </w:rPr>
        <w:lastRenderedPageBreak/>
        <w:t>References</w:t>
      </w:r>
    </w:p>
    <w:p w14:paraId="38956594" w14:textId="77777777" w:rsidR="00E246A8" w:rsidRDefault="00FE387F" w:rsidP="00FE387F">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246A8">
        <w:rPr>
          <w:rFonts w:ascii="Times New Roman" w:eastAsia="Times New Roman" w:hAnsi="Times New Roman" w:cs="Times New Roman"/>
          <w:kern w:val="0"/>
          <w:shd w:val="clear" w:color="auto" w:fill="FFFFFF"/>
          <w14:ligatures w14:val="none"/>
        </w:rPr>
        <w:t xml:space="preserve">American Nurses Association. (2025). </w:t>
      </w:r>
      <w:r w:rsidR="00D05E96" w:rsidRPr="00E246A8">
        <w:rPr>
          <w:rFonts w:ascii="Times New Roman" w:eastAsia="Times New Roman" w:hAnsi="Times New Roman" w:cs="Times New Roman"/>
          <w:kern w:val="0"/>
          <w:shd w:val="clear" w:color="auto" w:fill="FFFFFF"/>
          <w14:ligatures w14:val="none"/>
        </w:rPr>
        <w:t xml:space="preserve">Code of ethics for nurses with interpretive statements. </w:t>
      </w:r>
    </w:p>
    <w:p w14:paraId="4250E7C1" w14:textId="029210A6" w:rsidR="00FE387F" w:rsidRPr="00E246A8" w:rsidRDefault="00D05E96" w:rsidP="00E246A8">
      <w:pPr>
        <w:spacing w:before="100" w:beforeAutospacing="1" w:after="100" w:afterAutospacing="1" w:line="480" w:lineRule="auto"/>
        <w:ind w:firstLine="720"/>
        <w:rPr>
          <w:rFonts w:ascii="Times New Roman" w:eastAsia="Times New Roman" w:hAnsi="Times New Roman" w:cs="Times New Roman"/>
          <w:kern w:val="0"/>
          <w:shd w:val="clear" w:color="auto" w:fill="FFFFFF"/>
          <w14:ligatures w14:val="none"/>
        </w:rPr>
      </w:pPr>
      <w:r w:rsidRPr="00E246A8">
        <w:rPr>
          <w:rFonts w:ascii="Times New Roman" w:eastAsia="Times New Roman" w:hAnsi="Times New Roman" w:cs="Times New Roman"/>
          <w:kern w:val="0"/>
          <w:shd w:val="clear" w:color="auto" w:fill="FFFFFF"/>
          <w14:ligatures w14:val="none"/>
        </w:rPr>
        <w:t>American Nurses Association.</w:t>
      </w:r>
      <w:r w:rsidRPr="00E246A8">
        <w:rPr>
          <w:rFonts w:ascii="Times New Roman" w:eastAsia="Times New Roman" w:hAnsi="Times New Roman" w:cs="Times New Roman"/>
          <w:kern w:val="0"/>
          <w:shd w:val="clear" w:color="auto" w:fill="FFFFFF"/>
          <w14:ligatures w14:val="none"/>
        </w:rPr>
        <w:t xml:space="preserve"> Retrieved from</w:t>
      </w:r>
      <w:r w:rsidR="00C805F2" w:rsidRPr="00E246A8">
        <w:t xml:space="preserve"> </w:t>
      </w:r>
      <w:hyperlink r:id="rId5" w:history="1">
        <w:r w:rsidR="00E246A8" w:rsidRPr="005B255E">
          <w:rPr>
            <w:rStyle w:val="Hyperlink"/>
            <w:rFonts w:ascii="Times New Roman" w:eastAsia="Times New Roman" w:hAnsi="Times New Roman" w:cs="Times New Roman"/>
            <w:kern w:val="0"/>
            <w:shd w:val="clear" w:color="auto" w:fill="FFFFFF"/>
            <w14:ligatures w14:val="none"/>
          </w:rPr>
          <w:t>https://codeofethics.ana.org/provisions</w:t>
        </w:r>
      </w:hyperlink>
      <w:r w:rsidR="00E246A8">
        <w:rPr>
          <w:rFonts w:ascii="Times New Roman" w:eastAsia="Times New Roman" w:hAnsi="Times New Roman" w:cs="Times New Roman"/>
          <w:kern w:val="0"/>
          <w:shd w:val="clear" w:color="auto" w:fill="FFFFFF"/>
          <w14:ligatures w14:val="none"/>
        </w:rPr>
        <w:t xml:space="preserve"> </w:t>
      </w:r>
    </w:p>
    <w:p w14:paraId="3E15A194" w14:textId="77777777" w:rsidR="00066A11" w:rsidRDefault="002F0981" w:rsidP="002F0981">
      <w:pPr>
        <w:spacing w:before="100" w:beforeAutospacing="1" w:after="100" w:afterAutospacing="1" w:line="480" w:lineRule="auto"/>
        <w:rPr>
          <w:rFonts w:ascii="Times New Roman" w:eastAsia="Times New Roman" w:hAnsi="Times New Roman" w:cs="Times New Roman"/>
          <w:i/>
          <w:iCs/>
          <w:kern w:val="0"/>
          <w:shd w:val="clear" w:color="auto" w:fill="FFFFFF"/>
          <w14:ligatures w14:val="none"/>
        </w:rPr>
      </w:pPr>
      <w:r w:rsidRPr="002F0981">
        <w:rPr>
          <w:rFonts w:ascii="Times New Roman" w:eastAsia="Times New Roman" w:hAnsi="Times New Roman" w:cs="Times New Roman"/>
          <w:kern w:val="0"/>
          <w:shd w:val="clear" w:color="auto" w:fill="FFFFFF"/>
          <w14:ligatures w14:val="none"/>
        </w:rPr>
        <w:t>LoBiondo-Wood, G., &amp; Haber, J. (2021). </w:t>
      </w:r>
      <w:r w:rsidRPr="002F0981">
        <w:rPr>
          <w:rFonts w:ascii="Times New Roman" w:eastAsia="Times New Roman" w:hAnsi="Times New Roman" w:cs="Times New Roman"/>
          <w:i/>
          <w:iCs/>
          <w:kern w:val="0"/>
          <w:shd w:val="clear" w:color="auto" w:fill="FFFFFF"/>
          <w14:ligatures w14:val="none"/>
        </w:rPr>
        <w:t>Nursing research E-book: methods and critical</w:t>
      </w:r>
    </w:p>
    <w:p w14:paraId="5047D894" w14:textId="11D98EA5" w:rsidR="002F0981" w:rsidRDefault="002F0981" w:rsidP="00066A11">
      <w:pPr>
        <w:spacing w:before="100" w:beforeAutospacing="1" w:after="100" w:afterAutospacing="1" w:line="480" w:lineRule="auto"/>
        <w:ind w:left="720" w:firstLine="60"/>
        <w:rPr>
          <w:rFonts w:ascii="Times New Roman" w:eastAsia="Times New Roman" w:hAnsi="Times New Roman" w:cs="Times New Roman"/>
          <w:kern w:val="0"/>
          <w:shd w:val="clear" w:color="auto" w:fill="FFFFFF"/>
          <w14:ligatures w14:val="none"/>
        </w:rPr>
      </w:pPr>
      <w:r w:rsidRPr="002F0981">
        <w:rPr>
          <w:rFonts w:ascii="Times New Roman" w:eastAsia="Times New Roman" w:hAnsi="Times New Roman" w:cs="Times New Roman"/>
          <w:i/>
          <w:iCs/>
          <w:kern w:val="0"/>
          <w:shd w:val="clear" w:color="auto" w:fill="FFFFFF"/>
          <w14:ligatures w14:val="none"/>
        </w:rPr>
        <w:t>appraisal for evidence-based practice</w:t>
      </w:r>
      <w:r w:rsidRPr="002F0981">
        <w:rPr>
          <w:rFonts w:ascii="Times New Roman" w:eastAsia="Times New Roman" w:hAnsi="Times New Roman" w:cs="Times New Roman"/>
          <w:kern w:val="0"/>
          <w:shd w:val="clear" w:color="auto" w:fill="FFFFFF"/>
          <w14:ligatures w14:val="none"/>
        </w:rPr>
        <w:t>. Elsevier Health Sciences.</w:t>
      </w:r>
      <w:r>
        <w:rPr>
          <w:rFonts w:ascii="Times New Roman" w:eastAsia="Times New Roman" w:hAnsi="Times New Roman" w:cs="Times New Roman"/>
          <w:kern w:val="0"/>
          <w:shd w:val="clear" w:color="auto" w:fill="FFFFFF"/>
          <w14:ligatures w14:val="none"/>
        </w:rPr>
        <w:t xml:space="preserve"> </w:t>
      </w:r>
      <w:hyperlink r:id="rId6" w:history="1">
        <w:r w:rsidR="00231D8B" w:rsidRPr="005B255E">
          <w:rPr>
            <w:rStyle w:val="Hyperlink"/>
            <w:rFonts w:ascii="Times New Roman" w:eastAsia="Times New Roman" w:hAnsi="Times New Roman" w:cs="Times New Roman"/>
            <w:kern w:val="0"/>
            <w:shd w:val="clear" w:color="auto" w:fill="FFFFFF"/>
            <w14:ligatures w14:val="none"/>
          </w:rPr>
          <w:t>https://oysconmelibrary01.wordpress.com/wp-content/uploads/2016/09/study-guide-for-nursing-research-methods-and-critical-apprai.pdf</w:t>
        </w:r>
      </w:hyperlink>
      <w:r>
        <w:rPr>
          <w:rFonts w:ascii="Times New Roman" w:eastAsia="Times New Roman" w:hAnsi="Times New Roman" w:cs="Times New Roman"/>
          <w:kern w:val="0"/>
          <w:shd w:val="clear" w:color="auto" w:fill="FFFFFF"/>
          <w14:ligatures w14:val="none"/>
        </w:rPr>
        <w:t xml:space="preserve"> </w:t>
      </w:r>
    </w:p>
    <w:p w14:paraId="638B0240" w14:textId="77777777" w:rsidR="00D11B30" w:rsidRDefault="000003AD" w:rsidP="000003A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 xml:space="preserve">U.S Department of Health and Human Services. (February 11, 2025). </w:t>
      </w:r>
      <w:r w:rsidR="00742FCE">
        <w:rPr>
          <w:rFonts w:ascii="Times New Roman" w:eastAsia="Times New Roman" w:hAnsi="Times New Roman" w:cs="Times New Roman"/>
          <w:kern w:val="0"/>
          <w:shd w:val="clear" w:color="auto" w:fill="FFFFFF"/>
          <w14:ligatures w14:val="none"/>
        </w:rPr>
        <w:t xml:space="preserve">45 CFR 46: Protection of </w:t>
      </w:r>
    </w:p>
    <w:p w14:paraId="3C1F4B94" w14:textId="422C10E7" w:rsidR="000003AD" w:rsidRPr="000003AD" w:rsidRDefault="00742FCE" w:rsidP="00D11B30">
      <w:pPr>
        <w:spacing w:before="100" w:beforeAutospacing="1" w:after="100" w:afterAutospacing="1" w:line="480" w:lineRule="auto"/>
        <w:ind w:left="720"/>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 xml:space="preserve">Human Subjects. Retrieved from </w:t>
      </w:r>
      <w:hyperlink r:id="rId7" w:history="1">
        <w:r w:rsidR="009E69F9" w:rsidRPr="005B255E">
          <w:rPr>
            <w:rStyle w:val="Hyperlink"/>
            <w:rFonts w:ascii="Times New Roman" w:eastAsia="Times New Roman" w:hAnsi="Times New Roman" w:cs="Times New Roman"/>
            <w:kern w:val="0"/>
            <w:shd w:val="clear" w:color="auto" w:fill="FFFFFF"/>
            <w14:ligatures w14:val="none"/>
          </w:rPr>
          <w:t>https://www.hhs.gov/ohrp/regulations-and-policy/regulations/45-cfr-46/index.html</w:t>
        </w:r>
      </w:hyperlink>
      <w:r w:rsidR="00394572">
        <w:rPr>
          <w:rFonts w:ascii="Times New Roman" w:eastAsia="Times New Roman" w:hAnsi="Times New Roman" w:cs="Times New Roman"/>
          <w:kern w:val="0"/>
          <w:shd w:val="clear" w:color="auto" w:fill="FFFFFF"/>
          <w14:ligatures w14:val="none"/>
        </w:rPr>
        <w:t xml:space="preserve"> </w:t>
      </w:r>
    </w:p>
    <w:p w14:paraId="195B677D" w14:textId="77777777" w:rsidR="00BA701B" w:rsidRDefault="00BA701B"/>
    <w:sectPr w:rsidR="00BA7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34209"/>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11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73"/>
    <w:rsid w:val="000003AD"/>
    <w:rsid w:val="00066A11"/>
    <w:rsid w:val="000C6CE2"/>
    <w:rsid w:val="00231D8B"/>
    <w:rsid w:val="002F0981"/>
    <w:rsid w:val="00394572"/>
    <w:rsid w:val="00496A7F"/>
    <w:rsid w:val="004E7A97"/>
    <w:rsid w:val="00630E57"/>
    <w:rsid w:val="00664DF8"/>
    <w:rsid w:val="006716B4"/>
    <w:rsid w:val="00703D1B"/>
    <w:rsid w:val="00742FCE"/>
    <w:rsid w:val="00795E45"/>
    <w:rsid w:val="007F5C73"/>
    <w:rsid w:val="008564AC"/>
    <w:rsid w:val="009E69F9"/>
    <w:rsid w:val="00BA701B"/>
    <w:rsid w:val="00C005D7"/>
    <w:rsid w:val="00C06951"/>
    <w:rsid w:val="00C805F2"/>
    <w:rsid w:val="00D05E96"/>
    <w:rsid w:val="00D11B30"/>
    <w:rsid w:val="00D55E7A"/>
    <w:rsid w:val="00DB6B37"/>
    <w:rsid w:val="00E246A8"/>
    <w:rsid w:val="00E3445C"/>
    <w:rsid w:val="00EC1265"/>
    <w:rsid w:val="00F13F62"/>
    <w:rsid w:val="00F40FC4"/>
    <w:rsid w:val="00F55AF1"/>
    <w:rsid w:val="00F82218"/>
    <w:rsid w:val="00FE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9E07"/>
  <w15:chartTrackingRefBased/>
  <w15:docId w15:val="{55984A63-8B89-43CC-8E86-7FBA67EE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73"/>
  </w:style>
  <w:style w:type="paragraph" w:styleId="Heading1">
    <w:name w:val="heading 1"/>
    <w:basedOn w:val="Normal"/>
    <w:next w:val="Normal"/>
    <w:link w:val="Heading1Char"/>
    <w:uiPriority w:val="9"/>
    <w:qFormat/>
    <w:rsid w:val="007F5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C73"/>
    <w:rPr>
      <w:rFonts w:eastAsiaTheme="majorEastAsia" w:cstheme="majorBidi"/>
      <w:color w:val="272727" w:themeColor="text1" w:themeTint="D8"/>
    </w:rPr>
  </w:style>
  <w:style w:type="paragraph" w:styleId="Title">
    <w:name w:val="Title"/>
    <w:basedOn w:val="Normal"/>
    <w:next w:val="Normal"/>
    <w:link w:val="TitleChar"/>
    <w:uiPriority w:val="10"/>
    <w:qFormat/>
    <w:rsid w:val="007F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C73"/>
    <w:pPr>
      <w:spacing w:before="160"/>
      <w:jc w:val="center"/>
    </w:pPr>
    <w:rPr>
      <w:i/>
      <w:iCs/>
      <w:color w:val="404040" w:themeColor="text1" w:themeTint="BF"/>
    </w:rPr>
  </w:style>
  <w:style w:type="character" w:customStyle="1" w:styleId="QuoteChar">
    <w:name w:val="Quote Char"/>
    <w:basedOn w:val="DefaultParagraphFont"/>
    <w:link w:val="Quote"/>
    <w:uiPriority w:val="29"/>
    <w:rsid w:val="007F5C73"/>
    <w:rPr>
      <w:i/>
      <w:iCs/>
      <w:color w:val="404040" w:themeColor="text1" w:themeTint="BF"/>
    </w:rPr>
  </w:style>
  <w:style w:type="paragraph" w:styleId="ListParagraph">
    <w:name w:val="List Paragraph"/>
    <w:basedOn w:val="Normal"/>
    <w:uiPriority w:val="34"/>
    <w:qFormat/>
    <w:rsid w:val="007F5C73"/>
    <w:pPr>
      <w:ind w:left="720"/>
      <w:contextualSpacing/>
    </w:pPr>
  </w:style>
  <w:style w:type="character" w:styleId="IntenseEmphasis">
    <w:name w:val="Intense Emphasis"/>
    <w:basedOn w:val="DefaultParagraphFont"/>
    <w:uiPriority w:val="21"/>
    <w:qFormat/>
    <w:rsid w:val="007F5C73"/>
    <w:rPr>
      <w:i/>
      <w:iCs/>
      <w:color w:val="2F5496" w:themeColor="accent1" w:themeShade="BF"/>
    </w:rPr>
  </w:style>
  <w:style w:type="paragraph" w:styleId="IntenseQuote">
    <w:name w:val="Intense Quote"/>
    <w:basedOn w:val="Normal"/>
    <w:next w:val="Normal"/>
    <w:link w:val="IntenseQuoteChar"/>
    <w:uiPriority w:val="30"/>
    <w:qFormat/>
    <w:rsid w:val="007F5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C73"/>
    <w:rPr>
      <w:i/>
      <w:iCs/>
      <w:color w:val="2F5496" w:themeColor="accent1" w:themeShade="BF"/>
    </w:rPr>
  </w:style>
  <w:style w:type="character" w:styleId="IntenseReference">
    <w:name w:val="Intense Reference"/>
    <w:basedOn w:val="DefaultParagraphFont"/>
    <w:uiPriority w:val="32"/>
    <w:qFormat/>
    <w:rsid w:val="007F5C73"/>
    <w:rPr>
      <w:b/>
      <w:bCs/>
      <w:smallCaps/>
      <w:color w:val="2F5496" w:themeColor="accent1" w:themeShade="BF"/>
      <w:spacing w:val="5"/>
    </w:rPr>
  </w:style>
  <w:style w:type="character" w:styleId="Hyperlink">
    <w:name w:val="Hyperlink"/>
    <w:basedOn w:val="DefaultParagraphFont"/>
    <w:uiPriority w:val="99"/>
    <w:unhideWhenUsed/>
    <w:rsid w:val="002F0981"/>
    <w:rPr>
      <w:color w:val="0563C1" w:themeColor="hyperlink"/>
      <w:u w:val="single"/>
    </w:rPr>
  </w:style>
  <w:style w:type="character" w:styleId="UnresolvedMention">
    <w:name w:val="Unresolved Mention"/>
    <w:basedOn w:val="DefaultParagraphFont"/>
    <w:uiPriority w:val="99"/>
    <w:semiHidden/>
    <w:unhideWhenUsed/>
    <w:rsid w:val="002F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ohrp/regulations-and-policy/regulations/45-cfr-46/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ysconmelibrary01.wordpress.com/wp-content/uploads/2016/09/study-guide-for-nursing-research-methods-and-critical-apprai.pdf" TargetMode="External"/><Relationship Id="rId5" Type="http://schemas.openxmlformats.org/officeDocument/2006/relationships/hyperlink" Target="https://codeofethics.ana.org/provis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2025-07-21T10:13:00Z</dcterms:created>
  <dcterms:modified xsi:type="dcterms:W3CDTF">2025-07-21T10:48:00Z</dcterms:modified>
</cp:coreProperties>
</file>