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1416F" w14:textId="77777777" w:rsidR="0073298A" w:rsidRPr="007F6E1C" w:rsidRDefault="0073298A" w:rsidP="0073298A">
      <w:pPr>
        <w:rPr>
          <w:rFonts w:eastAsia="Times New Roman" w:cs="Times New Roman"/>
          <w:b/>
          <w:szCs w:val="24"/>
          <w:lang w:eastAsia="en-GB"/>
        </w:rPr>
      </w:pPr>
      <w:r w:rsidRPr="007F6E1C">
        <w:rPr>
          <w:rFonts w:eastAsia="Times New Roman" w:cs="Times New Roman"/>
          <w:b/>
          <w:szCs w:val="24"/>
          <w:lang w:eastAsia="en-GB"/>
        </w:rPr>
        <w:t>Hello Beth,</w:t>
      </w:r>
    </w:p>
    <w:p w14:paraId="1D16D486" w14:textId="77777777" w:rsidR="00FA3A82" w:rsidRDefault="0073298A" w:rsidP="003431BE">
      <w:pPr>
        <w:ind w:firstLine="720"/>
        <w:rPr>
          <w:rFonts w:eastAsia="Times New Roman" w:cs="Times New Roman"/>
          <w:szCs w:val="24"/>
          <w:lang w:eastAsia="en-GB"/>
        </w:rPr>
      </w:pPr>
      <w:r w:rsidRPr="00FA3A82">
        <w:rPr>
          <w:rFonts w:eastAsia="Times New Roman" w:cs="Times New Roman"/>
          <w:szCs w:val="24"/>
          <w:lang w:eastAsia="en-GB"/>
        </w:rPr>
        <w:t xml:space="preserve">Thank you for </w:t>
      </w:r>
      <w:r w:rsidRPr="00FA3A82">
        <w:rPr>
          <w:rFonts w:eastAsia="Times New Roman" w:cs="Times New Roman"/>
          <w:szCs w:val="24"/>
          <w:lang w:eastAsia="en-GB"/>
        </w:rPr>
        <w:t xml:space="preserve">your </w:t>
      </w:r>
      <w:r w:rsidRPr="00FA3A82">
        <w:rPr>
          <w:rFonts w:eastAsia="Times New Roman" w:cs="Times New Roman"/>
          <w:szCs w:val="24"/>
          <w:lang w:eastAsia="en-GB"/>
        </w:rPr>
        <w:t xml:space="preserve">insightful </w:t>
      </w:r>
      <w:r w:rsidRPr="00FA3A82">
        <w:rPr>
          <w:rFonts w:eastAsia="Times New Roman" w:cs="Times New Roman"/>
          <w:szCs w:val="24"/>
          <w:lang w:eastAsia="en-GB"/>
        </w:rPr>
        <w:t xml:space="preserve">critique of The Checklist Manifesto. </w:t>
      </w:r>
      <w:r w:rsidRPr="00FA3A82">
        <w:rPr>
          <w:rFonts w:eastAsia="Times New Roman" w:cs="Times New Roman"/>
          <w:szCs w:val="24"/>
          <w:lang w:eastAsia="en-GB"/>
        </w:rPr>
        <w:t xml:space="preserve">I appreciate your observation that </w:t>
      </w:r>
      <w:r w:rsidRPr="00FA3A82">
        <w:rPr>
          <w:rFonts w:eastAsia="Times New Roman" w:cs="Times New Roman"/>
          <w:szCs w:val="24"/>
          <w:lang w:eastAsia="en-GB"/>
        </w:rPr>
        <w:t>checklists</w:t>
      </w:r>
      <w:r w:rsidRPr="00FA3A82">
        <w:rPr>
          <w:rFonts w:eastAsia="Times New Roman" w:cs="Times New Roman"/>
          <w:szCs w:val="24"/>
          <w:lang w:eastAsia="en-GB"/>
        </w:rPr>
        <w:t xml:space="preserve"> serve as</w:t>
      </w:r>
      <w:r w:rsidRPr="00FA3A82">
        <w:rPr>
          <w:rFonts w:eastAsia="Times New Roman" w:cs="Times New Roman"/>
          <w:szCs w:val="24"/>
          <w:lang w:eastAsia="en-GB"/>
        </w:rPr>
        <w:t xml:space="preserve"> a </w:t>
      </w:r>
      <w:r w:rsidRPr="00FA3A82">
        <w:rPr>
          <w:rFonts w:eastAsia="Times New Roman" w:cs="Times New Roman"/>
          <w:szCs w:val="24"/>
          <w:lang w:eastAsia="en-GB"/>
        </w:rPr>
        <w:t>“</w:t>
      </w:r>
      <w:r w:rsidRPr="00FA3A82">
        <w:rPr>
          <w:rFonts w:eastAsia="Times New Roman" w:cs="Times New Roman"/>
          <w:szCs w:val="24"/>
          <w:lang w:eastAsia="en-GB"/>
        </w:rPr>
        <w:t>reasoning net</w:t>
      </w:r>
      <w:r w:rsidRPr="00FA3A82">
        <w:rPr>
          <w:rFonts w:eastAsia="Times New Roman" w:cs="Times New Roman"/>
          <w:szCs w:val="24"/>
          <w:lang w:eastAsia="en-GB"/>
        </w:rPr>
        <w:t>” in addressing human limitations</w:t>
      </w:r>
      <w:r w:rsidRPr="00FA3A82">
        <w:rPr>
          <w:rFonts w:eastAsia="Times New Roman" w:cs="Times New Roman"/>
          <w:szCs w:val="24"/>
          <w:lang w:eastAsia="en-GB"/>
        </w:rPr>
        <w:t xml:space="preserve">. It </w:t>
      </w:r>
      <w:r w:rsidRPr="00FA3A82">
        <w:rPr>
          <w:rFonts w:eastAsia="Times New Roman" w:cs="Times New Roman"/>
          <w:szCs w:val="24"/>
          <w:lang w:eastAsia="en-GB"/>
        </w:rPr>
        <w:t>reflects</w:t>
      </w:r>
      <w:r w:rsidRPr="00FA3A82">
        <w:rPr>
          <w:rFonts w:eastAsia="Times New Roman" w:cs="Times New Roman"/>
          <w:szCs w:val="24"/>
          <w:lang w:eastAsia="en-GB"/>
        </w:rPr>
        <w:t xml:space="preserve"> Dr. Gawande</w:t>
      </w:r>
      <w:r w:rsidR="00ED330F" w:rsidRPr="00FA3A82">
        <w:rPr>
          <w:rFonts w:eastAsia="Times New Roman" w:cs="Times New Roman"/>
          <w:szCs w:val="24"/>
          <w:lang w:eastAsia="en-GB"/>
        </w:rPr>
        <w:t xml:space="preserve">’s primary argument that the intricacies of modern medicine require more than experienced practitioners. </w:t>
      </w:r>
      <w:r w:rsidR="00FA3A82" w:rsidRPr="00FA3A82">
        <w:rPr>
          <w:rFonts w:eastAsia="Times New Roman" w:cs="Times New Roman"/>
          <w:szCs w:val="24"/>
          <w:lang w:eastAsia="en-GB"/>
        </w:rPr>
        <w:t xml:space="preserve">I acknowledge that mistakes such as wrong </w:t>
      </w:r>
      <w:r w:rsidR="00FA3A82">
        <w:rPr>
          <w:rFonts w:eastAsia="Times New Roman" w:cs="Times New Roman"/>
          <w:szCs w:val="24"/>
          <w:lang w:eastAsia="en-GB"/>
        </w:rPr>
        <w:t>s</w:t>
      </w:r>
      <w:r w:rsidR="00FA3A82" w:rsidRPr="00FA3A82">
        <w:rPr>
          <w:rFonts w:eastAsia="Times New Roman" w:cs="Times New Roman"/>
          <w:szCs w:val="24"/>
          <w:lang w:eastAsia="en-GB"/>
        </w:rPr>
        <w:t xml:space="preserve">urgical sites, instruments, and pre-surgery anesthesia </w:t>
      </w:r>
      <w:r w:rsidR="00FA3A82">
        <w:rPr>
          <w:rFonts w:eastAsia="Times New Roman" w:cs="Times New Roman"/>
          <w:szCs w:val="24"/>
          <w:lang w:eastAsia="en-GB"/>
        </w:rPr>
        <w:t>are prevalent in many practices because of human errors or omissions. I agree that checklists can catch details that clinicians may overlook.</w:t>
      </w:r>
    </w:p>
    <w:p w14:paraId="5BFB713D" w14:textId="10ABC853" w:rsidR="00D93776" w:rsidRDefault="00FA3A82" w:rsidP="00D93776">
      <w:pPr>
        <w:ind w:firstLine="720"/>
        <w:rPr>
          <w:rFonts w:eastAsia="Times New Roman" w:cs="Times New Roman"/>
          <w:szCs w:val="24"/>
          <w:lang w:eastAsia="en-GB"/>
        </w:rPr>
      </w:pPr>
      <w:r>
        <w:rPr>
          <w:rFonts w:eastAsia="Times New Roman" w:cs="Times New Roman"/>
          <w:szCs w:val="24"/>
          <w:lang w:eastAsia="en-GB"/>
        </w:rPr>
        <w:t xml:space="preserve">Your mentioning of the </w:t>
      </w:r>
      <w:r w:rsidR="0073298A" w:rsidRPr="00FA3A82">
        <w:rPr>
          <w:rFonts w:eastAsia="Times New Roman" w:cs="Times New Roman"/>
          <w:szCs w:val="24"/>
          <w:lang w:eastAsia="en-GB"/>
        </w:rPr>
        <w:t>three pauses in the WHO checklist</w:t>
      </w:r>
      <w:r>
        <w:rPr>
          <w:rFonts w:eastAsia="Times New Roman" w:cs="Times New Roman"/>
          <w:szCs w:val="24"/>
          <w:lang w:eastAsia="en-GB"/>
        </w:rPr>
        <w:t xml:space="preserve"> brought additional insights into the importance of checklists. The</w:t>
      </w:r>
      <w:r w:rsidR="0073298A" w:rsidRPr="00FA3A82">
        <w:rPr>
          <w:rFonts w:eastAsia="Times New Roman" w:cs="Times New Roman"/>
          <w:szCs w:val="24"/>
          <w:lang w:eastAsia="en-GB"/>
        </w:rPr>
        <w:t xml:space="preserve"> thought pauses </w:t>
      </w:r>
      <w:r>
        <w:rPr>
          <w:rFonts w:eastAsia="Times New Roman" w:cs="Times New Roman"/>
          <w:szCs w:val="24"/>
          <w:lang w:eastAsia="en-GB"/>
        </w:rPr>
        <w:t xml:space="preserve">enable reflections in high-stakes situations where attention to detail </w:t>
      </w:r>
      <w:r w:rsidR="00560C17">
        <w:rPr>
          <w:rFonts w:eastAsia="Times New Roman" w:cs="Times New Roman"/>
          <w:szCs w:val="24"/>
          <w:lang w:eastAsia="en-GB"/>
        </w:rPr>
        <w:t>and a shared mental model are</w:t>
      </w:r>
      <w:r>
        <w:rPr>
          <w:rFonts w:eastAsia="Times New Roman" w:cs="Times New Roman"/>
          <w:szCs w:val="24"/>
          <w:lang w:eastAsia="en-GB"/>
        </w:rPr>
        <w:t xml:space="preserve"> required</w:t>
      </w:r>
      <w:r w:rsidR="00560C17">
        <w:rPr>
          <w:rFonts w:eastAsia="Times New Roman" w:cs="Times New Roman"/>
          <w:szCs w:val="24"/>
          <w:lang w:eastAsia="en-GB"/>
        </w:rPr>
        <w:t xml:space="preserve"> (</w:t>
      </w:r>
      <w:proofErr w:type="spellStart"/>
      <w:r w:rsidR="00560C17">
        <w:rPr>
          <w:rFonts w:eastAsia="Times New Roman" w:cs="Times New Roman"/>
          <w:szCs w:val="24"/>
          <w:lang w:eastAsia="en-GB"/>
        </w:rPr>
        <w:t>Bete</w:t>
      </w:r>
      <w:proofErr w:type="spellEnd"/>
      <w:r w:rsidR="00560C17">
        <w:rPr>
          <w:rFonts w:eastAsia="Times New Roman" w:cs="Times New Roman"/>
          <w:szCs w:val="24"/>
          <w:lang w:eastAsia="en-GB"/>
        </w:rPr>
        <w:t xml:space="preserve"> et al., 2023)</w:t>
      </w:r>
      <w:r>
        <w:rPr>
          <w:rFonts w:eastAsia="Times New Roman" w:cs="Times New Roman"/>
          <w:szCs w:val="24"/>
          <w:lang w:eastAsia="en-GB"/>
        </w:rPr>
        <w:t xml:space="preserve">. </w:t>
      </w:r>
      <w:r w:rsidR="0073298A" w:rsidRPr="00FA3A82">
        <w:rPr>
          <w:rFonts w:eastAsia="Times New Roman" w:cs="Times New Roman"/>
          <w:szCs w:val="24"/>
          <w:lang w:eastAsia="en-GB"/>
        </w:rPr>
        <w:t xml:space="preserve">Your explanation </w:t>
      </w:r>
      <w:r w:rsidR="009B6E0E">
        <w:rPr>
          <w:rFonts w:eastAsia="Times New Roman" w:cs="Times New Roman"/>
          <w:szCs w:val="24"/>
          <w:lang w:eastAsia="en-GB"/>
        </w:rPr>
        <w:t>prompted</w:t>
      </w:r>
      <w:r w:rsidR="0073298A" w:rsidRPr="00FA3A82">
        <w:rPr>
          <w:rFonts w:eastAsia="Times New Roman" w:cs="Times New Roman"/>
          <w:szCs w:val="24"/>
          <w:lang w:eastAsia="en-GB"/>
        </w:rPr>
        <w:t xml:space="preserve"> me to </w:t>
      </w:r>
      <w:r w:rsidR="009B6E0E">
        <w:rPr>
          <w:rFonts w:eastAsia="Times New Roman" w:cs="Times New Roman"/>
          <w:szCs w:val="24"/>
          <w:lang w:eastAsia="en-GB"/>
        </w:rPr>
        <w:t xml:space="preserve">further investigate the </w:t>
      </w:r>
      <w:r w:rsidR="0073298A" w:rsidRPr="00FA3A82">
        <w:rPr>
          <w:rFonts w:eastAsia="Times New Roman" w:cs="Times New Roman"/>
          <w:szCs w:val="24"/>
          <w:lang w:eastAsia="en-GB"/>
        </w:rPr>
        <w:t>enhancement of</w:t>
      </w:r>
      <w:r w:rsidR="00B7576E">
        <w:rPr>
          <w:rFonts w:eastAsia="Times New Roman" w:cs="Times New Roman"/>
          <w:szCs w:val="24"/>
          <w:lang w:eastAsia="en-GB"/>
        </w:rPr>
        <w:t xml:space="preserve"> trauma resuscitation</w:t>
      </w:r>
      <w:r w:rsidR="0073298A" w:rsidRPr="00FA3A82">
        <w:rPr>
          <w:rFonts w:eastAsia="Times New Roman" w:cs="Times New Roman"/>
          <w:szCs w:val="24"/>
          <w:lang w:eastAsia="en-GB"/>
        </w:rPr>
        <w:t xml:space="preserve"> outcomes with implementation of </w:t>
      </w:r>
      <w:r w:rsidR="009B6E0E">
        <w:rPr>
          <w:rFonts w:eastAsia="Times New Roman" w:cs="Times New Roman"/>
          <w:szCs w:val="24"/>
          <w:lang w:eastAsia="en-GB"/>
        </w:rPr>
        <w:t xml:space="preserve">digital </w:t>
      </w:r>
      <w:r w:rsidR="0073298A" w:rsidRPr="00FA3A82">
        <w:rPr>
          <w:rFonts w:eastAsia="Times New Roman" w:cs="Times New Roman"/>
          <w:szCs w:val="24"/>
          <w:lang w:eastAsia="en-GB"/>
        </w:rPr>
        <w:t xml:space="preserve">checklists. I </w:t>
      </w:r>
      <w:r w:rsidR="009B6E0E">
        <w:rPr>
          <w:rFonts w:eastAsia="Times New Roman" w:cs="Times New Roman"/>
          <w:szCs w:val="24"/>
          <w:lang w:eastAsia="en-GB"/>
        </w:rPr>
        <w:t>found a s</w:t>
      </w:r>
      <w:r w:rsidR="0073298A" w:rsidRPr="00FA3A82">
        <w:rPr>
          <w:rFonts w:eastAsia="Times New Roman" w:cs="Times New Roman"/>
          <w:szCs w:val="24"/>
          <w:lang w:eastAsia="en-GB"/>
        </w:rPr>
        <w:t xml:space="preserve">tudy by </w:t>
      </w:r>
      <w:proofErr w:type="spellStart"/>
      <w:r w:rsidR="009B6E0E" w:rsidRPr="007F6E1C">
        <w:rPr>
          <w:rFonts w:eastAsia="Times New Roman" w:cs="Times New Roman"/>
          <w:szCs w:val="24"/>
          <w:lang w:eastAsia="en-GB"/>
        </w:rPr>
        <w:t>Kulp</w:t>
      </w:r>
      <w:proofErr w:type="spellEnd"/>
      <w:r w:rsidR="009B6E0E" w:rsidRPr="007F6E1C">
        <w:rPr>
          <w:rFonts w:eastAsia="Times New Roman" w:cs="Times New Roman"/>
          <w:szCs w:val="24"/>
          <w:lang w:eastAsia="en-GB"/>
        </w:rPr>
        <w:t xml:space="preserve"> et al. (2019)</w:t>
      </w:r>
      <w:r w:rsidR="0073298A" w:rsidRPr="00FA3A82">
        <w:rPr>
          <w:rFonts w:eastAsia="Times New Roman" w:cs="Times New Roman"/>
          <w:szCs w:val="24"/>
          <w:lang w:eastAsia="en-GB"/>
        </w:rPr>
        <w:t xml:space="preserve"> (2021) that assessed the effectiveness of </w:t>
      </w:r>
      <w:r w:rsidR="009B6E0E">
        <w:rPr>
          <w:rFonts w:eastAsia="Times New Roman" w:cs="Times New Roman"/>
          <w:szCs w:val="24"/>
          <w:lang w:eastAsia="en-GB"/>
        </w:rPr>
        <w:t xml:space="preserve">an </w:t>
      </w:r>
      <w:r w:rsidR="0073298A" w:rsidRPr="00FA3A82">
        <w:rPr>
          <w:rFonts w:eastAsia="Times New Roman" w:cs="Times New Roman"/>
          <w:szCs w:val="24"/>
          <w:lang w:eastAsia="en-GB"/>
        </w:rPr>
        <w:t>electronic checklist system</w:t>
      </w:r>
      <w:r w:rsidR="009B6E0E">
        <w:rPr>
          <w:rFonts w:eastAsia="Times New Roman" w:cs="Times New Roman"/>
          <w:szCs w:val="24"/>
          <w:lang w:eastAsia="en-GB"/>
        </w:rPr>
        <w:t xml:space="preserve"> on patient safety and team performance. The study found that the digital checklist</w:t>
      </w:r>
      <w:r w:rsidR="00B7576E">
        <w:rPr>
          <w:rFonts w:eastAsia="Times New Roman" w:cs="Times New Roman"/>
          <w:szCs w:val="24"/>
          <w:lang w:eastAsia="en-GB"/>
        </w:rPr>
        <w:t xml:space="preserve"> reduced the overall number of complications reported because of improvements in accountability and accurate completion of </w:t>
      </w:r>
      <w:r w:rsidR="009B6E0E">
        <w:rPr>
          <w:rFonts w:eastAsia="Times New Roman" w:cs="Times New Roman"/>
          <w:szCs w:val="24"/>
          <w:lang w:eastAsia="en-GB"/>
        </w:rPr>
        <w:t>initial airway assessments</w:t>
      </w:r>
      <w:r w:rsidR="00B7576E">
        <w:rPr>
          <w:rFonts w:eastAsia="Times New Roman" w:cs="Times New Roman"/>
          <w:szCs w:val="24"/>
          <w:lang w:eastAsia="en-GB"/>
        </w:rPr>
        <w:t>.</w:t>
      </w:r>
      <w:r w:rsidR="00D93776">
        <w:rPr>
          <w:rFonts w:eastAsia="Times New Roman" w:cs="Times New Roman"/>
          <w:szCs w:val="24"/>
          <w:lang w:eastAsia="en-GB"/>
        </w:rPr>
        <w:t xml:space="preserve"> </w:t>
      </w:r>
      <w:r w:rsidR="0073298A" w:rsidRPr="00FA3A82">
        <w:rPr>
          <w:rFonts w:eastAsia="Times New Roman" w:cs="Times New Roman"/>
          <w:szCs w:val="24"/>
          <w:lang w:eastAsia="en-GB"/>
        </w:rPr>
        <w:t>This is an important trajectory for the current healthcare systems more and more reliant on informatics.</w:t>
      </w:r>
      <w:r w:rsidR="00C874EF">
        <w:rPr>
          <w:rFonts w:eastAsia="Times New Roman" w:cs="Times New Roman"/>
          <w:szCs w:val="24"/>
          <w:lang w:eastAsia="en-GB"/>
        </w:rPr>
        <w:t xml:space="preserve"> </w:t>
      </w:r>
    </w:p>
    <w:p w14:paraId="422049D0" w14:textId="2930DFC9" w:rsidR="0073298A" w:rsidRDefault="0073298A" w:rsidP="00D93776">
      <w:pPr>
        <w:ind w:firstLine="720"/>
        <w:rPr>
          <w:rFonts w:eastAsia="Times New Roman" w:cs="Times New Roman"/>
          <w:szCs w:val="24"/>
          <w:lang w:eastAsia="en-GB"/>
        </w:rPr>
      </w:pPr>
      <w:r w:rsidRPr="00FA3A82">
        <w:rPr>
          <w:rFonts w:eastAsia="Times New Roman" w:cs="Times New Roman"/>
          <w:szCs w:val="24"/>
          <w:lang w:eastAsia="en-GB"/>
        </w:rPr>
        <w:t>Your observation on humility and shared responsibility</w:t>
      </w:r>
      <w:r w:rsidR="00D93776">
        <w:rPr>
          <w:rFonts w:eastAsia="Times New Roman" w:cs="Times New Roman"/>
          <w:szCs w:val="24"/>
          <w:lang w:eastAsia="en-GB"/>
        </w:rPr>
        <w:t xml:space="preserve"> made me reflect on the culture of adopting checklists. </w:t>
      </w:r>
      <w:r w:rsidRPr="00FA3A82">
        <w:rPr>
          <w:rFonts w:eastAsia="Times New Roman" w:cs="Times New Roman"/>
          <w:szCs w:val="24"/>
          <w:lang w:eastAsia="en-GB"/>
        </w:rPr>
        <w:t xml:space="preserve">As Gawande </w:t>
      </w:r>
      <w:r w:rsidR="00D93776">
        <w:rPr>
          <w:rFonts w:eastAsia="Times New Roman" w:cs="Times New Roman"/>
          <w:szCs w:val="24"/>
          <w:lang w:eastAsia="en-GB"/>
        </w:rPr>
        <w:t>highlighted</w:t>
      </w:r>
      <w:r w:rsidRPr="00FA3A82">
        <w:rPr>
          <w:rFonts w:eastAsia="Times New Roman" w:cs="Times New Roman"/>
          <w:szCs w:val="24"/>
          <w:lang w:eastAsia="en-GB"/>
        </w:rPr>
        <w:t xml:space="preserve">, </w:t>
      </w:r>
      <w:r w:rsidR="00D93776">
        <w:rPr>
          <w:rFonts w:eastAsia="Times New Roman" w:cs="Times New Roman"/>
          <w:szCs w:val="24"/>
          <w:lang w:eastAsia="en-GB"/>
        </w:rPr>
        <w:t>shifting to checklist does not supplant clinical judgment but serve a complementary role by augmenting shared accountability. Adopting checklists can reduce hierarchical huddles that deny junior team members voice in safety-critical clinical procedures.</w:t>
      </w:r>
      <w:r w:rsidR="00C874EF">
        <w:rPr>
          <w:rFonts w:eastAsia="Times New Roman" w:cs="Times New Roman"/>
          <w:szCs w:val="24"/>
          <w:lang w:eastAsia="en-GB"/>
        </w:rPr>
        <w:t xml:space="preserve"> Your discussion prompted me to explore why checklists may or may not succeed. As supported by </w:t>
      </w:r>
      <w:proofErr w:type="spellStart"/>
      <w:r w:rsidR="00C874EF">
        <w:rPr>
          <w:rFonts w:eastAsia="Times New Roman" w:cs="Times New Roman"/>
          <w:szCs w:val="24"/>
          <w:lang w:eastAsia="en-GB"/>
        </w:rPr>
        <w:t>Mastriani</w:t>
      </w:r>
      <w:proofErr w:type="spellEnd"/>
      <w:r w:rsidR="00C874EF">
        <w:rPr>
          <w:rFonts w:eastAsia="Times New Roman" w:cs="Times New Roman"/>
          <w:szCs w:val="24"/>
          <w:lang w:eastAsia="en-GB"/>
        </w:rPr>
        <w:t xml:space="preserve"> et al. (2023), I learned that their utility depends on their </w:t>
      </w:r>
      <w:r w:rsidR="00C874EF">
        <w:rPr>
          <w:rFonts w:eastAsia="Times New Roman" w:cs="Times New Roman"/>
          <w:szCs w:val="24"/>
          <w:lang w:eastAsia="en-GB"/>
        </w:rPr>
        <w:lastRenderedPageBreak/>
        <w:t xml:space="preserve">specificity to context, design features, and organization-wide cultural changes. As the system looks to enhance outcomes through digital checklists, it would be essential to adopt checklists that suit specific contexts to achieve the expected outcomes. </w:t>
      </w:r>
    </w:p>
    <w:p w14:paraId="5305EE5F" w14:textId="18303442" w:rsidR="00C874EF" w:rsidRDefault="00C874EF" w:rsidP="00C874EF">
      <w:pPr>
        <w:jc w:val="center"/>
        <w:rPr>
          <w:rFonts w:eastAsia="Times New Roman" w:cs="Times New Roman"/>
          <w:b/>
          <w:szCs w:val="24"/>
          <w:lang w:eastAsia="en-GB"/>
        </w:rPr>
      </w:pPr>
      <w:r>
        <w:rPr>
          <w:rFonts w:eastAsia="Times New Roman" w:cs="Times New Roman"/>
          <w:b/>
          <w:szCs w:val="24"/>
          <w:lang w:eastAsia="en-GB"/>
        </w:rPr>
        <w:t xml:space="preserve">References </w:t>
      </w:r>
    </w:p>
    <w:p w14:paraId="08AB5B65" w14:textId="77777777" w:rsidR="007F6E1C" w:rsidRPr="007F6E1C" w:rsidRDefault="007F6E1C" w:rsidP="00C874EF">
      <w:pPr>
        <w:ind w:left="720" w:hanging="720"/>
        <w:rPr>
          <w:rFonts w:cs="Times New Roman"/>
          <w:color w:val="1B1B1B"/>
          <w:shd w:val="clear" w:color="auto" w:fill="FFFFFF"/>
        </w:rPr>
      </w:pPr>
      <w:proofErr w:type="spellStart"/>
      <w:r w:rsidRPr="007F6E1C">
        <w:rPr>
          <w:rFonts w:cs="Times New Roman"/>
          <w:color w:val="1B1B1B"/>
          <w:shd w:val="clear" w:color="auto" w:fill="FFFFFF"/>
        </w:rPr>
        <w:t>Bete</w:t>
      </w:r>
      <w:proofErr w:type="spellEnd"/>
      <w:r w:rsidRPr="007F6E1C">
        <w:rPr>
          <w:rFonts w:cs="Times New Roman"/>
          <w:color w:val="1B1B1B"/>
          <w:shd w:val="clear" w:color="auto" w:fill="FFFFFF"/>
        </w:rPr>
        <w:t xml:space="preserve">, D. Y., </w:t>
      </w:r>
      <w:proofErr w:type="spellStart"/>
      <w:r w:rsidRPr="007F6E1C">
        <w:rPr>
          <w:rFonts w:cs="Times New Roman"/>
          <w:color w:val="1B1B1B"/>
          <w:shd w:val="clear" w:color="auto" w:fill="FFFFFF"/>
        </w:rPr>
        <w:t>Sibhatu</w:t>
      </w:r>
      <w:proofErr w:type="spellEnd"/>
      <w:r w:rsidRPr="007F6E1C">
        <w:rPr>
          <w:rFonts w:cs="Times New Roman"/>
          <w:color w:val="1B1B1B"/>
          <w:shd w:val="clear" w:color="auto" w:fill="FFFFFF"/>
        </w:rPr>
        <w:t xml:space="preserve">, M. K., </w:t>
      </w:r>
      <w:proofErr w:type="spellStart"/>
      <w:r w:rsidRPr="007F6E1C">
        <w:rPr>
          <w:rFonts w:cs="Times New Roman"/>
          <w:color w:val="1B1B1B"/>
          <w:shd w:val="clear" w:color="auto" w:fill="FFFFFF"/>
        </w:rPr>
        <w:t>Godebo</w:t>
      </w:r>
      <w:proofErr w:type="spellEnd"/>
      <w:r w:rsidRPr="007F6E1C">
        <w:rPr>
          <w:rFonts w:cs="Times New Roman"/>
          <w:color w:val="1B1B1B"/>
          <w:shd w:val="clear" w:color="auto" w:fill="FFFFFF"/>
        </w:rPr>
        <w:t xml:space="preserve">, M. G., </w:t>
      </w:r>
      <w:proofErr w:type="spellStart"/>
      <w:r w:rsidRPr="007F6E1C">
        <w:rPr>
          <w:rFonts w:cs="Times New Roman"/>
          <w:color w:val="1B1B1B"/>
          <w:shd w:val="clear" w:color="auto" w:fill="FFFFFF"/>
        </w:rPr>
        <w:t>Abdulahi</w:t>
      </w:r>
      <w:proofErr w:type="spellEnd"/>
      <w:r w:rsidRPr="007F6E1C">
        <w:rPr>
          <w:rFonts w:cs="Times New Roman"/>
          <w:color w:val="1B1B1B"/>
          <w:shd w:val="clear" w:color="auto" w:fill="FFFFFF"/>
        </w:rPr>
        <w:t xml:space="preserve">, I. J., </w:t>
      </w:r>
      <w:proofErr w:type="spellStart"/>
      <w:r w:rsidRPr="007F6E1C">
        <w:rPr>
          <w:rFonts w:cs="Times New Roman"/>
          <w:color w:val="1B1B1B"/>
          <w:shd w:val="clear" w:color="auto" w:fill="FFFFFF"/>
        </w:rPr>
        <w:t>Liyew</w:t>
      </w:r>
      <w:proofErr w:type="spellEnd"/>
      <w:r w:rsidRPr="007F6E1C">
        <w:rPr>
          <w:rFonts w:cs="Times New Roman"/>
          <w:color w:val="1B1B1B"/>
          <w:shd w:val="clear" w:color="auto" w:fill="FFFFFF"/>
        </w:rPr>
        <w:t xml:space="preserve">, T. W., Minas, S. M., Bryce, E., </w:t>
      </w:r>
      <w:proofErr w:type="spellStart"/>
      <w:r w:rsidRPr="007F6E1C">
        <w:rPr>
          <w:rFonts w:cs="Times New Roman"/>
          <w:color w:val="1B1B1B"/>
          <w:shd w:val="clear" w:color="auto" w:fill="FFFFFF"/>
        </w:rPr>
        <w:t>Ashengo</w:t>
      </w:r>
      <w:proofErr w:type="spellEnd"/>
      <w:r w:rsidRPr="007F6E1C">
        <w:rPr>
          <w:rFonts w:cs="Times New Roman"/>
          <w:color w:val="1B1B1B"/>
          <w:shd w:val="clear" w:color="auto" w:fill="FFFFFF"/>
        </w:rPr>
        <w:t xml:space="preserve">, T. A., &amp; </w:t>
      </w:r>
      <w:proofErr w:type="spellStart"/>
      <w:r w:rsidRPr="007F6E1C">
        <w:rPr>
          <w:rFonts w:cs="Times New Roman"/>
          <w:color w:val="1B1B1B"/>
          <w:shd w:val="clear" w:color="auto" w:fill="FFFFFF"/>
        </w:rPr>
        <w:t>Varallo</w:t>
      </w:r>
      <w:proofErr w:type="spellEnd"/>
      <w:r w:rsidRPr="007F6E1C">
        <w:rPr>
          <w:rFonts w:cs="Times New Roman"/>
          <w:color w:val="1B1B1B"/>
          <w:shd w:val="clear" w:color="auto" w:fill="FFFFFF"/>
        </w:rPr>
        <w:t xml:space="preserve">, J. (2023). Improving surgical safety checklist </w:t>
      </w:r>
      <w:proofErr w:type="spellStart"/>
      <w:r w:rsidRPr="007F6E1C">
        <w:rPr>
          <w:rFonts w:cs="Times New Roman"/>
          <w:color w:val="1B1B1B"/>
          <w:shd w:val="clear" w:color="auto" w:fill="FFFFFF"/>
        </w:rPr>
        <w:t>utilisation</w:t>
      </w:r>
      <w:proofErr w:type="spellEnd"/>
      <w:r w:rsidRPr="007F6E1C">
        <w:rPr>
          <w:rFonts w:cs="Times New Roman"/>
          <w:color w:val="1B1B1B"/>
          <w:shd w:val="clear" w:color="auto" w:fill="FFFFFF"/>
        </w:rPr>
        <w:t xml:space="preserve"> at 23 public health facilities in Ethiopia: </w:t>
      </w:r>
      <w:r w:rsidRPr="007F6E1C">
        <w:rPr>
          <w:rFonts w:cs="Times New Roman"/>
          <w:color w:val="1B1B1B"/>
          <w:shd w:val="clear" w:color="auto" w:fill="FFFFFF"/>
        </w:rPr>
        <w:t>A</w:t>
      </w:r>
      <w:r w:rsidRPr="007F6E1C">
        <w:rPr>
          <w:rFonts w:cs="Times New Roman"/>
          <w:color w:val="1B1B1B"/>
          <w:shd w:val="clear" w:color="auto" w:fill="FFFFFF"/>
        </w:rPr>
        <w:t xml:space="preserve"> collaborative quality improvement project. </w:t>
      </w:r>
      <w:r w:rsidRPr="007F6E1C">
        <w:rPr>
          <w:rFonts w:cs="Times New Roman"/>
          <w:i/>
          <w:iCs/>
          <w:color w:val="1B1B1B"/>
          <w:shd w:val="clear" w:color="auto" w:fill="FFFFFF"/>
        </w:rPr>
        <w:t xml:space="preserve">BMJ </w:t>
      </w:r>
      <w:r w:rsidRPr="007F6E1C">
        <w:rPr>
          <w:rFonts w:cs="Times New Roman"/>
          <w:i/>
          <w:iCs/>
          <w:color w:val="1B1B1B"/>
          <w:shd w:val="clear" w:color="auto" w:fill="FFFFFF"/>
        </w:rPr>
        <w:t>Open Quality</w:t>
      </w:r>
      <w:r w:rsidRPr="007F6E1C">
        <w:rPr>
          <w:rFonts w:cs="Times New Roman"/>
          <w:color w:val="1B1B1B"/>
          <w:shd w:val="clear" w:color="auto" w:fill="FFFFFF"/>
        </w:rPr>
        <w:t>, </w:t>
      </w:r>
      <w:r w:rsidRPr="007F6E1C">
        <w:rPr>
          <w:rFonts w:cs="Times New Roman"/>
          <w:i/>
          <w:iCs/>
          <w:color w:val="1B1B1B"/>
          <w:shd w:val="clear" w:color="auto" w:fill="FFFFFF"/>
        </w:rPr>
        <w:t>12</w:t>
      </w:r>
      <w:r w:rsidRPr="007F6E1C">
        <w:rPr>
          <w:rFonts w:cs="Times New Roman"/>
          <w:color w:val="1B1B1B"/>
          <w:shd w:val="clear" w:color="auto" w:fill="FFFFFF"/>
        </w:rPr>
        <w:t xml:space="preserve">(4), e002406. </w:t>
      </w:r>
      <w:hyperlink r:id="rId4" w:history="1">
        <w:r w:rsidRPr="007F6E1C">
          <w:rPr>
            <w:rStyle w:val="Hyperlink"/>
            <w:rFonts w:cs="Times New Roman"/>
            <w:shd w:val="clear" w:color="auto" w:fill="FFFFFF"/>
          </w:rPr>
          <w:t>https://doi.org/10.1136/bmjoq-2023-002406</w:t>
        </w:r>
      </w:hyperlink>
    </w:p>
    <w:p w14:paraId="30DDEF95" w14:textId="77777777" w:rsidR="007F6E1C" w:rsidRPr="007F6E1C" w:rsidRDefault="007F6E1C" w:rsidP="00C874EF">
      <w:pPr>
        <w:rPr>
          <w:rFonts w:cs="Times New Roman"/>
          <w:szCs w:val="24"/>
        </w:rPr>
      </w:pPr>
      <w:r w:rsidRPr="007F6E1C">
        <w:rPr>
          <w:rFonts w:cs="Times New Roman"/>
          <w:szCs w:val="24"/>
        </w:rPr>
        <w:t xml:space="preserve">Gawande, A. (2009). </w:t>
      </w:r>
      <w:r w:rsidRPr="007F6E1C">
        <w:rPr>
          <w:rStyle w:val="Emphasis"/>
          <w:rFonts w:cs="Times New Roman"/>
          <w:szCs w:val="24"/>
        </w:rPr>
        <w:t>The Checklist Manifesto: How to Get Things Right</w:t>
      </w:r>
      <w:r w:rsidRPr="007F6E1C">
        <w:rPr>
          <w:rFonts w:cs="Times New Roman"/>
          <w:szCs w:val="24"/>
        </w:rPr>
        <w:t>. Metropolitan Books.</w:t>
      </w:r>
    </w:p>
    <w:p w14:paraId="4D3D0251" w14:textId="77777777" w:rsidR="007F6E1C" w:rsidRPr="007F6E1C" w:rsidRDefault="007F6E1C" w:rsidP="00C874EF">
      <w:pPr>
        <w:ind w:left="720" w:hanging="720"/>
        <w:rPr>
          <w:rFonts w:eastAsia="Times New Roman" w:cs="Times New Roman"/>
          <w:szCs w:val="24"/>
          <w:lang w:eastAsia="en-GB"/>
        </w:rPr>
      </w:pPr>
      <w:proofErr w:type="spellStart"/>
      <w:r w:rsidRPr="007F6E1C">
        <w:rPr>
          <w:rFonts w:cs="Times New Roman"/>
          <w:color w:val="1B1B1B"/>
          <w:shd w:val="clear" w:color="auto" w:fill="FFFFFF"/>
        </w:rPr>
        <w:t>Kulp</w:t>
      </w:r>
      <w:proofErr w:type="spellEnd"/>
      <w:r w:rsidRPr="007F6E1C">
        <w:rPr>
          <w:rFonts w:cs="Times New Roman"/>
          <w:color w:val="1B1B1B"/>
          <w:shd w:val="clear" w:color="auto" w:fill="FFFFFF"/>
        </w:rPr>
        <w:t xml:space="preserve">, L., </w:t>
      </w:r>
      <w:proofErr w:type="spellStart"/>
      <w:r w:rsidRPr="007F6E1C">
        <w:rPr>
          <w:rFonts w:cs="Times New Roman"/>
          <w:color w:val="1B1B1B"/>
          <w:shd w:val="clear" w:color="auto" w:fill="FFFFFF"/>
        </w:rPr>
        <w:t>Sarcevic</w:t>
      </w:r>
      <w:proofErr w:type="spellEnd"/>
      <w:r w:rsidRPr="007F6E1C">
        <w:rPr>
          <w:rFonts w:cs="Times New Roman"/>
          <w:color w:val="1B1B1B"/>
          <w:shd w:val="clear" w:color="auto" w:fill="FFFFFF"/>
        </w:rPr>
        <w:t xml:space="preserve">, A., Cheng, M., Zheng, Y., &amp; </w:t>
      </w:r>
      <w:proofErr w:type="spellStart"/>
      <w:r w:rsidRPr="007F6E1C">
        <w:rPr>
          <w:rFonts w:cs="Times New Roman"/>
          <w:color w:val="1B1B1B"/>
          <w:shd w:val="clear" w:color="auto" w:fill="FFFFFF"/>
        </w:rPr>
        <w:t>Burd</w:t>
      </w:r>
      <w:proofErr w:type="spellEnd"/>
      <w:r w:rsidRPr="007F6E1C">
        <w:rPr>
          <w:rFonts w:cs="Times New Roman"/>
          <w:color w:val="1B1B1B"/>
          <w:shd w:val="clear" w:color="auto" w:fill="FFFFFF"/>
        </w:rPr>
        <w:t xml:space="preserve">, R. S. (2019). Comparing the </w:t>
      </w:r>
      <w:r w:rsidRPr="007F6E1C">
        <w:rPr>
          <w:rFonts w:cs="Times New Roman"/>
          <w:color w:val="1B1B1B"/>
          <w:shd w:val="clear" w:color="auto" w:fill="FFFFFF"/>
        </w:rPr>
        <w:t>effects of paper and digital checklists on team performance in time-critical work</w:t>
      </w:r>
      <w:r w:rsidRPr="007F6E1C">
        <w:rPr>
          <w:rFonts w:cs="Times New Roman"/>
          <w:color w:val="1B1B1B"/>
          <w:shd w:val="clear" w:color="auto" w:fill="FFFFFF"/>
        </w:rPr>
        <w:t>. </w:t>
      </w:r>
      <w:r w:rsidRPr="007F6E1C">
        <w:rPr>
          <w:rFonts w:cs="Times New Roman"/>
          <w:i/>
          <w:iCs/>
          <w:color w:val="1B1B1B"/>
          <w:shd w:val="clear" w:color="auto" w:fill="FFFFFF"/>
        </w:rPr>
        <w:t xml:space="preserve">Proceedings of the SIGCHI </w:t>
      </w:r>
      <w:r w:rsidRPr="007F6E1C">
        <w:rPr>
          <w:rFonts w:cs="Times New Roman"/>
          <w:i/>
          <w:iCs/>
          <w:color w:val="1B1B1B"/>
          <w:shd w:val="clear" w:color="auto" w:fill="FFFFFF"/>
        </w:rPr>
        <w:t xml:space="preserve">Conference </w:t>
      </w:r>
      <w:r w:rsidRPr="007F6E1C">
        <w:rPr>
          <w:rFonts w:cs="Times New Roman"/>
          <w:i/>
          <w:iCs/>
          <w:color w:val="1B1B1B"/>
          <w:shd w:val="clear" w:color="auto" w:fill="FFFFFF"/>
        </w:rPr>
        <w:t xml:space="preserve">on </w:t>
      </w:r>
      <w:r w:rsidRPr="007F6E1C">
        <w:rPr>
          <w:rFonts w:cs="Times New Roman"/>
          <w:i/>
          <w:iCs/>
          <w:color w:val="1B1B1B"/>
          <w:shd w:val="clear" w:color="auto" w:fill="FFFFFF"/>
        </w:rPr>
        <w:t xml:space="preserve">Human Factors </w:t>
      </w:r>
      <w:r w:rsidRPr="007F6E1C">
        <w:rPr>
          <w:rFonts w:cs="Times New Roman"/>
          <w:i/>
          <w:iCs/>
          <w:color w:val="1B1B1B"/>
          <w:shd w:val="clear" w:color="auto" w:fill="FFFFFF"/>
        </w:rPr>
        <w:t xml:space="preserve">in </w:t>
      </w:r>
      <w:r w:rsidRPr="007F6E1C">
        <w:rPr>
          <w:rFonts w:cs="Times New Roman"/>
          <w:i/>
          <w:iCs/>
          <w:color w:val="1B1B1B"/>
          <w:shd w:val="clear" w:color="auto" w:fill="FFFFFF"/>
        </w:rPr>
        <w:t>Computing Systems</w:t>
      </w:r>
      <w:r w:rsidRPr="007F6E1C">
        <w:rPr>
          <w:rFonts w:cs="Times New Roman"/>
          <w:i/>
          <w:iCs/>
          <w:color w:val="1B1B1B"/>
          <w:shd w:val="clear" w:color="auto" w:fill="FFFFFF"/>
        </w:rPr>
        <w:t>. CHI Conference</w:t>
      </w:r>
      <w:r w:rsidRPr="007F6E1C">
        <w:rPr>
          <w:rFonts w:cs="Times New Roman"/>
          <w:color w:val="1B1B1B"/>
          <w:shd w:val="clear" w:color="auto" w:fill="FFFFFF"/>
        </w:rPr>
        <w:t>, </w:t>
      </w:r>
      <w:r w:rsidRPr="007F6E1C">
        <w:rPr>
          <w:rFonts w:cs="Times New Roman"/>
          <w:i/>
          <w:iCs/>
          <w:color w:val="1B1B1B"/>
          <w:shd w:val="clear" w:color="auto" w:fill="FFFFFF"/>
        </w:rPr>
        <w:t>2019</w:t>
      </w:r>
      <w:r w:rsidRPr="007F6E1C">
        <w:rPr>
          <w:rFonts w:cs="Times New Roman"/>
          <w:color w:val="1B1B1B"/>
          <w:shd w:val="clear" w:color="auto" w:fill="FFFFFF"/>
        </w:rPr>
        <w:t xml:space="preserve">, 547. </w:t>
      </w:r>
      <w:hyperlink r:id="rId5" w:history="1">
        <w:r w:rsidRPr="007F6E1C">
          <w:rPr>
            <w:rStyle w:val="Hyperlink"/>
            <w:rFonts w:cs="Times New Roman"/>
            <w:shd w:val="clear" w:color="auto" w:fill="FFFFFF"/>
          </w:rPr>
          <w:t>https://doi.org/10.1145/3290605.3300777</w:t>
        </w:r>
      </w:hyperlink>
      <w:r w:rsidRPr="007F6E1C">
        <w:rPr>
          <w:rFonts w:cs="Times New Roman"/>
          <w:color w:val="1B1B1B"/>
          <w:shd w:val="clear" w:color="auto" w:fill="FFFFFF"/>
        </w:rPr>
        <w:t xml:space="preserve"> </w:t>
      </w:r>
    </w:p>
    <w:p w14:paraId="388EB970" w14:textId="77777777" w:rsidR="007F6E1C" w:rsidRPr="007F6E1C" w:rsidRDefault="007F6E1C" w:rsidP="007F6E1C">
      <w:pPr>
        <w:ind w:left="720" w:hanging="720"/>
        <w:rPr>
          <w:rFonts w:cs="Times New Roman"/>
          <w:szCs w:val="24"/>
        </w:rPr>
      </w:pPr>
      <w:proofErr w:type="spellStart"/>
      <w:r w:rsidRPr="007F6E1C">
        <w:rPr>
          <w:rFonts w:cs="Times New Roman"/>
          <w:color w:val="212121"/>
          <w:szCs w:val="24"/>
          <w:shd w:val="clear" w:color="auto" w:fill="FFFFFF"/>
        </w:rPr>
        <w:t>Mastrianni</w:t>
      </w:r>
      <w:proofErr w:type="spellEnd"/>
      <w:r w:rsidRPr="007F6E1C">
        <w:rPr>
          <w:rFonts w:cs="Times New Roman"/>
          <w:color w:val="212121"/>
          <w:szCs w:val="24"/>
          <w:shd w:val="clear" w:color="auto" w:fill="FFFFFF"/>
        </w:rPr>
        <w:t xml:space="preserve">, A., </w:t>
      </w:r>
      <w:proofErr w:type="spellStart"/>
      <w:r w:rsidRPr="007F6E1C">
        <w:rPr>
          <w:rFonts w:cs="Times New Roman"/>
          <w:color w:val="212121"/>
          <w:szCs w:val="24"/>
          <w:shd w:val="clear" w:color="auto" w:fill="FFFFFF"/>
        </w:rPr>
        <w:t>Sarcevic</w:t>
      </w:r>
      <w:proofErr w:type="spellEnd"/>
      <w:r w:rsidRPr="007F6E1C">
        <w:rPr>
          <w:rFonts w:cs="Times New Roman"/>
          <w:color w:val="212121"/>
          <w:szCs w:val="24"/>
          <w:shd w:val="clear" w:color="auto" w:fill="FFFFFF"/>
        </w:rPr>
        <w:t xml:space="preserve">, A., Hu, A., </w:t>
      </w:r>
      <w:proofErr w:type="spellStart"/>
      <w:r w:rsidRPr="007F6E1C">
        <w:rPr>
          <w:rFonts w:cs="Times New Roman"/>
          <w:color w:val="212121"/>
          <w:szCs w:val="24"/>
          <w:shd w:val="clear" w:color="auto" w:fill="FFFFFF"/>
        </w:rPr>
        <w:t>Almengor</w:t>
      </w:r>
      <w:proofErr w:type="spellEnd"/>
      <w:r w:rsidRPr="007F6E1C">
        <w:rPr>
          <w:rFonts w:cs="Times New Roman"/>
          <w:color w:val="212121"/>
          <w:szCs w:val="24"/>
          <w:shd w:val="clear" w:color="auto" w:fill="FFFFFF"/>
        </w:rPr>
        <w:t xml:space="preserve">, L., </w:t>
      </w:r>
      <w:proofErr w:type="spellStart"/>
      <w:r w:rsidRPr="007F6E1C">
        <w:rPr>
          <w:rFonts w:cs="Times New Roman"/>
          <w:color w:val="212121"/>
          <w:szCs w:val="24"/>
          <w:shd w:val="clear" w:color="auto" w:fill="FFFFFF"/>
        </w:rPr>
        <w:t>Tempel</w:t>
      </w:r>
      <w:proofErr w:type="spellEnd"/>
      <w:r w:rsidRPr="007F6E1C">
        <w:rPr>
          <w:rFonts w:cs="Times New Roman"/>
          <w:color w:val="212121"/>
          <w:szCs w:val="24"/>
          <w:shd w:val="clear" w:color="auto" w:fill="FFFFFF"/>
        </w:rPr>
        <w:t xml:space="preserve">, P., Gao, S., &amp; </w:t>
      </w:r>
      <w:proofErr w:type="spellStart"/>
      <w:r w:rsidRPr="007F6E1C">
        <w:rPr>
          <w:rFonts w:cs="Times New Roman"/>
          <w:color w:val="212121"/>
          <w:szCs w:val="24"/>
          <w:shd w:val="clear" w:color="auto" w:fill="FFFFFF"/>
        </w:rPr>
        <w:t>Burd</w:t>
      </w:r>
      <w:proofErr w:type="spellEnd"/>
      <w:r w:rsidRPr="007F6E1C">
        <w:rPr>
          <w:rFonts w:cs="Times New Roman"/>
          <w:color w:val="212121"/>
          <w:szCs w:val="24"/>
          <w:shd w:val="clear" w:color="auto" w:fill="FFFFFF"/>
        </w:rPr>
        <w:t>, R. S. (2023). Transitioning cognitive aids into decision support platforms: Requirements and design guidelines. </w:t>
      </w:r>
      <w:r w:rsidRPr="007F6E1C">
        <w:rPr>
          <w:rFonts w:cs="Times New Roman"/>
          <w:i/>
          <w:iCs/>
          <w:color w:val="212121"/>
          <w:szCs w:val="24"/>
          <w:shd w:val="clear" w:color="auto" w:fill="FFFFFF"/>
        </w:rPr>
        <w:t>ACM Transactions on Computer-Human Interaction: A Publication of the Association for Computing Machinery</w:t>
      </w:r>
      <w:r w:rsidRPr="007F6E1C">
        <w:rPr>
          <w:rFonts w:cs="Times New Roman"/>
          <w:color w:val="212121"/>
          <w:szCs w:val="24"/>
          <w:shd w:val="clear" w:color="auto" w:fill="FFFFFF"/>
        </w:rPr>
        <w:t>, </w:t>
      </w:r>
      <w:r w:rsidRPr="007F6E1C">
        <w:rPr>
          <w:rFonts w:cs="Times New Roman"/>
          <w:i/>
          <w:iCs/>
          <w:color w:val="212121"/>
          <w:szCs w:val="24"/>
          <w:shd w:val="clear" w:color="auto" w:fill="FFFFFF"/>
        </w:rPr>
        <w:t>30</w:t>
      </w:r>
      <w:r w:rsidRPr="007F6E1C">
        <w:rPr>
          <w:rFonts w:cs="Times New Roman"/>
          <w:color w:val="212121"/>
          <w:szCs w:val="24"/>
          <w:shd w:val="clear" w:color="auto" w:fill="FFFFFF"/>
        </w:rPr>
        <w:t xml:space="preserve">(3), 41. </w:t>
      </w:r>
      <w:hyperlink r:id="rId6" w:history="1">
        <w:r w:rsidRPr="007F6E1C">
          <w:rPr>
            <w:rStyle w:val="Hyperlink"/>
            <w:rFonts w:cs="Times New Roman"/>
            <w:szCs w:val="24"/>
            <w:shd w:val="clear" w:color="auto" w:fill="FFFFFF"/>
          </w:rPr>
          <w:t>https://doi.org/10.1145/3582431</w:t>
        </w:r>
      </w:hyperlink>
      <w:r w:rsidRPr="007F6E1C">
        <w:rPr>
          <w:rFonts w:cs="Times New Roman"/>
          <w:color w:val="212121"/>
          <w:szCs w:val="24"/>
          <w:shd w:val="clear" w:color="auto" w:fill="FFFFFF"/>
        </w:rPr>
        <w:t xml:space="preserve"> </w:t>
      </w:r>
    </w:p>
    <w:p w14:paraId="50775D58" w14:textId="0E44E2C5" w:rsidR="007F6E1C" w:rsidRDefault="007F6E1C">
      <w:pPr>
        <w:rPr>
          <w:rFonts w:cs="Times New Roman"/>
          <w:color w:val="212121"/>
          <w:szCs w:val="24"/>
          <w:shd w:val="clear" w:color="auto" w:fill="FFFFFF"/>
        </w:rPr>
      </w:pPr>
      <w:r>
        <w:rPr>
          <w:rFonts w:cs="Times New Roman"/>
          <w:color w:val="212121"/>
          <w:szCs w:val="24"/>
          <w:shd w:val="clear" w:color="auto" w:fill="FFFFFF"/>
        </w:rPr>
        <w:br w:type="page"/>
      </w:r>
    </w:p>
    <w:p w14:paraId="7918239B" w14:textId="77777777" w:rsidR="006F75E6" w:rsidRPr="00871552" w:rsidRDefault="006F75E6" w:rsidP="006F75E6">
      <w:pPr>
        <w:rPr>
          <w:b/>
        </w:rPr>
      </w:pPr>
      <w:bookmarkStart w:id="0" w:name="_GoBack"/>
      <w:r w:rsidRPr="00871552">
        <w:rPr>
          <w:b/>
        </w:rPr>
        <w:lastRenderedPageBreak/>
        <w:t>Hi Joline,</w:t>
      </w:r>
    </w:p>
    <w:p w14:paraId="2E1ADBDC" w14:textId="77777777" w:rsidR="006F75E6" w:rsidRDefault="006F75E6" w:rsidP="006F75E6">
      <w:pPr>
        <w:ind w:firstLine="720"/>
      </w:pPr>
      <w:r>
        <w:t>I appreciate your thoughtful and detailed analysis of The Checklist Manifesto. I agree you’re your observation that checklists do not serve as a bureaucratic nuisance but a tool to enhance safety and teamwork in the complex healthcare system. Your clinical background as a critical care nurse and instructor brought tremendous insights and reinforced what Dr. Gawande. Notably, minor lapses in human judgment can profoundly affect patient outcomes, which I understood from your note on the frequent absence of antiseptics. Your thoughts made me appreciate checklists as crucial not only in the operating room but also across the entire clinical environment.</w:t>
      </w:r>
    </w:p>
    <w:p w14:paraId="577145C9" w14:textId="77777777" w:rsidR="006F75E6" w:rsidRDefault="006F75E6" w:rsidP="006F75E6">
      <w:r>
        <w:tab/>
        <w:t xml:space="preserve">Reflecting on your post brought a deeper meaning into the actual adoption of checklists in clinical settings. Checklists serve as cognitive aids not only in high-risk settings but across all clinical environments. Echoing the thoughts, </w:t>
      </w:r>
      <w:r w:rsidRPr="004123FF">
        <w:t>Chance et al. (2024)</w:t>
      </w:r>
      <w:r>
        <w:t xml:space="preserve"> associated checklists with reduced risk errors and improved team communication. As Gawande (2009) observed, resistance to checklists is common because of perceived attack on professional autonomy. With further assessment, I understood that the resistance has little to do with the tool and much more to do with a cultural reluctance. With respect to mental health nursing (my field of specialization), </w:t>
      </w:r>
      <w:r w:rsidRPr="004123FF">
        <w:t>Harris and Russ (2021)</w:t>
      </w:r>
      <w:r>
        <w:rPr>
          <w:b/>
        </w:rPr>
        <w:t xml:space="preserve"> </w:t>
      </w:r>
      <w:r w:rsidRPr="00FC705E">
        <w:t>caution</w:t>
      </w:r>
      <w:r>
        <w:t xml:space="preserve"> against injudicious use of checklists without engendering shared mental models and involvement of patients. Consequently, </w:t>
      </w:r>
      <w:proofErr w:type="spellStart"/>
      <w:r w:rsidRPr="004123FF">
        <w:t>Mastriani</w:t>
      </w:r>
      <w:proofErr w:type="spellEnd"/>
      <w:r w:rsidRPr="004123FF">
        <w:t xml:space="preserve"> et al. (2023)</w:t>
      </w:r>
      <w:r>
        <w:rPr>
          <w:b/>
        </w:rPr>
        <w:t xml:space="preserve"> </w:t>
      </w:r>
      <w:r>
        <w:t xml:space="preserve">recommended that a successful implementation requires specificity to context, appropriate design, and organization-wide cultural change. This is particularly critical in the context of increasing adoption of technology in care delivery. </w:t>
      </w:r>
    </w:p>
    <w:p w14:paraId="2F8F1912" w14:textId="77777777" w:rsidR="006F75E6" w:rsidRDefault="006F75E6" w:rsidP="006F75E6">
      <w:r>
        <w:tab/>
        <w:t xml:space="preserve"> I found the arguments about the role of checklists in empowering teams, which is critical in mental health nursing where multidisciplinary team collaboration is required. Gawande (2009) </w:t>
      </w:r>
      <w:r>
        <w:lastRenderedPageBreak/>
        <w:t xml:space="preserve">noted that checklists help in dismantling hierarchical divides that may impede communication. I found an article applicable to all fields of nursing that reifies the need to adopt checklists. </w:t>
      </w:r>
      <w:proofErr w:type="spellStart"/>
      <w:r w:rsidRPr="00540028">
        <w:t>Buljack-Samardizic</w:t>
      </w:r>
      <w:proofErr w:type="spellEnd"/>
      <w:r w:rsidRPr="00540028">
        <w:t xml:space="preserve"> et al. (2020)</w:t>
      </w:r>
      <w:r>
        <w:t xml:space="preserve"> reported that checklists improved non-technical skills essential for teamwork, including communication, leadership, task management, and situational awareness. I believe that adopting and using checklists appropriately can serve as a crucial cultural transformation for sustainable improvements in the quality and safety of care delivered. </w:t>
      </w:r>
    </w:p>
    <w:bookmarkEnd w:id="0"/>
    <w:p w14:paraId="1FC19458" w14:textId="77777777" w:rsidR="006F75E6" w:rsidRDefault="006F75E6" w:rsidP="006F75E6">
      <w:pPr>
        <w:jc w:val="center"/>
        <w:rPr>
          <w:b/>
        </w:rPr>
      </w:pPr>
      <w:r>
        <w:rPr>
          <w:b/>
        </w:rPr>
        <w:t xml:space="preserve">References </w:t>
      </w:r>
    </w:p>
    <w:p w14:paraId="6064AE69" w14:textId="77777777" w:rsidR="006F75E6" w:rsidRPr="004123FF" w:rsidRDefault="006F75E6" w:rsidP="006F75E6">
      <w:pPr>
        <w:ind w:left="720" w:hanging="720"/>
        <w:rPr>
          <w:rFonts w:cs="Times New Roman"/>
          <w:color w:val="333333"/>
          <w:szCs w:val="24"/>
          <w:shd w:val="clear" w:color="auto" w:fill="FFFFFF"/>
        </w:rPr>
      </w:pPr>
      <w:proofErr w:type="spellStart"/>
      <w:r w:rsidRPr="004123FF">
        <w:rPr>
          <w:rFonts w:cs="Times New Roman"/>
          <w:color w:val="222222"/>
          <w:szCs w:val="24"/>
          <w:shd w:val="clear" w:color="auto" w:fill="FFFFFF"/>
        </w:rPr>
        <w:t>Buljac</w:t>
      </w:r>
      <w:proofErr w:type="spellEnd"/>
      <w:r w:rsidRPr="004123FF">
        <w:rPr>
          <w:rFonts w:cs="Times New Roman"/>
          <w:color w:val="222222"/>
          <w:szCs w:val="24"/>
          <w:shd w:val="clear" w:color="auto" w:fill="FFFFFF"/>
        </w:rPr>
        <w:t xml:space="preserve">-Samardzic, M., </w:t>
      </w:r>
      <w:proofErr w:type="spellStart"/>
      <w:r w:rsidRPr="004123FF">
        <w:rPr>
          <w:rFonts w:cs="Times New Roman"/>
          <w:color w:val="222222"/>
          <w:szCs w:val="24"/>
          <w:shd w:val="clear" w:color="auto" w:fill="FFFFFF"/>
        </w:rPr>
        <w:t>Doekhie</w:t>
      </w:r>
      <w:proofErr w:type="spellEnd"/>
      <w:r w:rsidRPr="004123FF">
        <w:rPr>
          <w:rFonts w:cs="Times New Roman"/>
          <w:color w:val="222222"/>
          <w:szCs w:val="24"/>
          <w:shd w:val="clear" w:color="auto" w:fill="FFFFFF"/>
        </w:rPr>
        <w:t xml:space="preserve">, K. D., &amp; van </w:t>
      </w:r>
      <w:proofErr w:type="spellStart"/>
      <w:r w:rsidRPr="004123FF">
        <w:rPr>
          <w:rFonts w:cs="Times New Roman"/>
          <w:color w:val="222222"/>
          <w:szCs w:val="24"/>
          <w:shd w:val="clear" w:color="auto" w:fill="FFFFFF"/>
        </w:rPr>
        <w:t>Wijngaarden</w:t>
      </w:r>
      <w:proofErr w:type="spellEnd"/>
      <w:r w:rsidRPr="004123FF">
        <w:rPr>
          <w:rFonts w:cs="Times New Roman"/>
          <w:color w:val="222222"/>
          <w:szCs w:val="24"/>
          <w:shd w:val="clear" w:color="auto" w:fill="FFFFFF"/>
        </w:rPr>
        <w:t>, J. D. (2020). Interventions to improve team effectiveness within health care: a systematic review of the past decade. </w:t>
      </w:r>
      <w:r w:rsidRPr="004123FF">
        <w:rPr>
          <w:rFonts w:cs="Times New Roman"/>
          <w:i/>
          <w:iCs/>
          <w:color w:val="222222"/>
          <w:szCs w:val="24"/>
          <w:shd w:val="clear" w:color="auto" w:fill="FFFFFF"/>
        </w:rPr>
        <w:t>Human Resources for Health</w:t>
      </w:r>
      <w:r w:rsidRPr="004123FF">
        <w:rPr>
          <w:rFonts w:cs="Times New Roman"/>
          <w:color w:val="222222"/>
          <w:szCs w:val="24"/>
          <w:shd w:val="clear" w:color="auto" w:fill="FFFFFF"/>
        </w:rPr>
        <w:t>, </w:t>
      </w:r>
      <w:r w:rsidRPr="004123FF">
        <w:rPr>
          <w:rFonts w:cs="Times New Roman"/>
          <w:i/>
          <w:iCs/>
          <w:color w:val="222222"/>
          <w:szCs w:val="24"/>
          <w:shd w:val="clear" w:color="auto" w:fill="FFFFFF"/>
        </w:rPr>
        <w:t>18</w:t>
      </w:r>
      <w:r w:rsidRPr="004123FF">
        <w:rPr>
          <w:rFonts w:cs="Times New Roman"/>
          <w:color w:val="222222"/>
          <w:szCs w:val="24"/>
          <w:shd w:val="clear" w:color="auto" w:fill="FFFFFF"/>
        </w:rPr>
        <w:t xml:space="preserve">(1), 2. </w:t>
      </w:r>
      <w:hyperlink r:id="rId7" w:history="1">
        <w:r w:rsidRPr="004123FF">
          <w:rPr>
            <w:rStyle w:val="Hyperlink"/>
            <w:rFonts w:cs="Times New Roman"/>
            <w:szCs w:val="24"/>
            <w:shd w:val="clear" w:color="auto" w:fill="FFFFFF"/>
          </w:rPr>
          <w:t>https://doi.org/10.1186/s12960-019-0411-3</w:t>
        </w:r>
      </w:hyperlink>
      <w:r w:rsidRPr="004123FF">
        <w:rPr>
          <w:rFonts w:cs="Times New Roman"/>
          <w:color w:val="333333"/>
          <w:szCs w:val="24"/>
          <w:shd w:val="clear" w:color="auto" w:fill="FFFFFF"/>
        </w:rPr>
        <w:t xml:space="preserve"> </w:t>
      </w:r>
    </w:p>
    <w:p w14:paraId="1183E610" w14:textId="77777777" w:rsidR="006F75E6" w:rsidRPr="004123FF" w:rsidRDefault="006F75E6" w:rsidP="006F75E6">
      <w:pPr>
        <w:ind w:left="720" w:hanging="720"/>
        <w:rPr>
          <w:rFonts w:cs="Times New Roman"/>
          <w:color w:val="1B1B1B"/>
          <w:szCs w:val="24"/>
          <w:shd w:val="clear" w:color="auto" w:fill="FFFFFF"/>
        </w:rPr>
      </w:pPr>
      <w:r w:rsidRPr="004123FF">
        <w:rPr>
          <w:rFonts w:cs="Times New Roman"/>
          <w:color w:val="1B1B1B"/>
          <w:szCs w:val="24"/>
          <w:shd w:val="clear" w:color="auto" w:fill="FFFFFF"/>
        </w:rPr>
        <w:t xml:space="preserve">Chance, E. A., Florence, D., &amp; </w:t>
      </w:r>
      <w:proofErr w:type="spellStart"/>
      <w:r w:rsidRPr="004123FF">
        <w:rPr>
          <w:rFonts w:cs="Times New Roman"/>
          <w:color w:val="1B1B1B"/>
          <w:szCs w:val="24"/>
          <w:shd w:val="clear" w:color="auto" w:fill="FFFFFF"/>
        </w:rPr>
        <w:t>Sardi</w:t>
      </w:r>
      <w:proofErr w:type="spellEnd"/>
      <w:r w:rsidRPr="004123FF">
        <w:rPr>
          <w:rFonts w:cs="Times New Roman"/>
          <w:color w:val="1B1B1B"/>
          <w:szCs w:val="24"/>
          <w:shd w:val="clear" w:color="auto" w:fill="FFFFFF"/>
        </w:rPr>
        <w:t xml:space="preserve"> </w:t>
      </w:r>
      <w:proofErr w:type="spellStart"/>
      <w:r w:rsidRPr="004123FF">
        <w:rPr>
          <w:rFonts w:cs="Times New Roman"/>
          <w:color w:val="1B1B1B"/>
          <w:szCs w:val="24"/>
          <w:shd w:val="clear" w:color="auto" w:fill="FFFFFF"/>
        </w:rPr>
        <w:t>Abdoul</w:t>
      </w:r>
      <w:proofErr w:type="spellEnd"/>
      <w:r w:rsidRPr="004123FF">
        <w:rPr>
          <w:rFonts w:cs="Times New Roman"/>
          <w:color w:val="1B1B1B"/>
          <w:szCs w:val="24"/>
          <w:shd w:val="clear" w:color="auto" w:fill="FFFFFF"/>
        </w:rPr>
        <w:t>, I. (2024). The effectiveness of checklists and error reporting systems in enhancing patient safety and reducing medical errors in hospital settings: A narrative review. </w:t>
      </w:r>
      <w:r w:rsidRPr="004123FF">
        <w:rPr>
          <w:rFonts w:cs="Times New Roman"/>
          <w:i/>
          <w:iCs/>
          <w:color w:val="1B1B1B"/>
          <w:szCs w:val="24"/>
          <w:shd w:val="clear" w:color="auto" w:fill="FFFFFF"/>
        </w:rPr>
        <w:t>International Journal of Nursing Sciences</w:t>
      </w:r>
      <w:r w:rsidRPr="004123FF">
        <w:rPr>
          <w:rFonts w:cs="Times New Roman"/>
          <w:color w:val="1B1B1B"/>
          <w:szCs w:val="24"/>
          <w:shd w:val="clear" w:color="auto" w:fill="FFFFFF"/>
        </w:rPr>
        <w:t>, </w:t>
      </w:r>
      <w:r w:rsidRPr="004123FF">
        <w:rPr>
          <w:rFonts w:cs="Times New Roman"/>
          <w:i/>
          <w:iCs/>
          <w:color w:val="1B1B1B"/>
          <w:szCs w:val="24"/>
          <w:shd w:val="clear" w:color="auto" w:fill="FFFFFF"/>
        </w:rPr>
        <w:t>11</w:t>
      </w:r>
      <w:r w:rsidRPr="004123FF">
        <w:rPr>
          <w:rFonts w:cs="Times New Roman"/>
          <w:color w:val="1B1B1B"/>
          <w:szCs w:val="24"/>
          <w:shd w:val="clear" w:color="auto" w:fill="FFFFFF"/>
        </w:rPr>
        <w:t xml:space="preserve">(3), 387–398. </w:t>
      </w:r>
      <w:hyperlink r:id="rId8" w:history="1">
        <w:r w:rsidRPr="004123FF">
          <w:rPr>
            <w:rStyle w:val="Hyperlink"/>
            <w:rFonts w:cs="Times New Roman"/>
            <w:szCs w:val="24"/>
            <w:shd w:val="clear" w:color="auto" w:fill="FFFFFF"/>
          </w:rPr>
          <w:t>https://doi.org/10.1016/j.ijnss.2024.06.003</w:t>
        </w:r>
      </w:hyperlink>
      <w:r w:rsidRPr="004123FF">
        <w:rPr>
          <w:rFonts w:cs="Times New Roman"/>
          <w:color w:val="1B1B1B"/>
          <w:szCs w:val="24"/>
          <w:shd w:val="clear" w:color="auto" w:fill="FFFFFF"/>
        </w:rPr>
        <w:t xml:space="preserve"> </w:t>
      </w:r>
    </w:p>
    <w:p w14:paraId="0C1DA738" w14:textId="77777777" w:rsidR="006F75E6" w:rsidRPr="004123FF" w:rsidRDefault="006F75E6" w:rsidP="006F75E6">
      <w:pPr>
        <w:rPr>
          <w:rFonts w:cs="Times New Roman"/>
          <w:szCs w:val="24"/>
        </w:rPr>
      </w:pPr>
      <w:r w:rsidRPr="004123FF">
        <w:rPr>
          <w:rFonts w:cs="Times New Roman"/>
          <w:szCs w:val="24"/>
        </w:rPr>
        <w:t xml:space="preserve">Gawande, A. (2009). </w:t>
      </w:r>
      <w:r w:rsidRPr="004123FF">
        <w:rPr>
          <w:rStyle w:val="Emphasis"/>
          <w:rFonts w:cs="Times New Roman"/>
          <w:szCs w:val="24"/>
        </w:rPr>
        <w:t>The Checklist Manifesto: How to Get Things Right</w:t>
      </w:r>
      <w:r w:rsidRPr="004123FF">
        <w:rPr>
          <w:rFonts w:cs="Times New Roman"/>
          <w:szCs w:val="24"/>
        </w:rPr>
        <w:t>. Metropolitan Books.</w:t>
      </w:r>
    </w:p>
    <w:p w14:paraId="68A4B3AF" w14:textId="77777777" w:rsidR="006F75E6" w:rsidRPr="004123FF" w:rsidRDefault="006F75E6" w:rsidP="006F75E6">
      <w:pPr>
        <w:ind w:left="720" w:hanging="720"/>
        <w:rPr>
          <w:rFonts w:cs="Times New Roman"/>
          <w:szCs w:val="24"/>
        </w:rPr>
      </w:pPr>
      <w:r w:rsidRPr="004123FF">
        <w:rPr>
          <w:rFonts w:cs="Times New Roman"/>
          <w:color w:val="1B1B1B"/>
          <w:szCs w:val="24"/>
          <w:shd w:val="clear" w:color="auto" w:fill="FFFFFF"/>
        </w:rPr>
        <w:t>Harris, K., &amp; Russ, S. (2021). Patient-completed safety checklists as an empowerment tool for patient involvement in patient safety: concepts, considerations and recommendations. </w:t>
      </w:r>
      <w:r w:rsidRPr="004123FF">
        <w:rPr>
          <w:rFonts w:cs="Times New Roman"/>
          <w:i/>
          <w:iCs/>
          <w:color w:val="1B1B1B"/>
          <w:szCs w:val="24"/>
          <w:shd w:val="clear" w:color="auto" w:fill="FFFFFF"/>
        </w:rPr>
        <w:t>Future Healthcare Journal</w:t>
      </w:r>
      <w:r w:rsidRPr="004123FF">
        <w:rPr>
          <w:rFonts w:cs="Times New Roman"/>
          <w:color w:val="1B1B1B"/>
          <w:szCs w:val="24"/>
          <w:shd w:val="clear" w:color="auto" w:fill="FFFFFF"/>
        </w:rPr>
        <w:t>, </w:t>
      </w:r>
      <w:r w:rsidRPr="004123FF">
        <w:rPr>
          <w:rFonts w:cs="Times New Roman"/>
          <w:i/>
          <w:iCs/>
          <w:color w:val="1B1B1B"/>
          <w:szCs w:val="24"/>
          <w:shd w:val="clear" w:color="auto" w:fill="FFFFFF"/>
        </w:rPr>
        <w:t>8</w:t>
      </w:r>
      <w:r w:rsidRPr="004123FF">
        <w:rPr>
          <w:rFonts w:cs="Times New Roman"/>
          <w:color w:val="1B1B1B"/>
          <w:szCs w:val="24"/>
          <w:shd w:val="clear" w:color="auto" w:fill="FFFFFF"/>
        </w:rPr>
        <w:t xml:space="preserve">(3), e567–e573. </w:t>
      </w:r>
      <w:hyperlink r:id="rId9" w:history="1">
        <w:r w:rsidRPr="004123FF">
          <w:rPr>
            <w:rStyle w:val="Hyperlink"/>
            <w:rFonts w:cs="Times New Roman"/>
            <w:szCs w:val="24"/>
            <w:shd w:val="clear" w:color="auto" w:fill="FFFFFF"/>
          </w:rPr>
          <w:t>https://doi.org/10.7861/fhj.2021-0122</w:t>
        </w:r>
      </w:hyperlink>
      <w:r w:rsidRPr="004123FF">
        <w:rPr>
          <w:rFonts w:cs="Times New Roman"/>
          <w:color w:val="1B1B1B"/>
          <w:szCs w:val="24"/>
          <w:shd w:val="clear" w:color="auto" w:fill="FFFFFF"/>
        </w:rPr>
        <w:t xml:space="preserve"> </w:t>
      </w:r>
    </w:p>
    <w:p w14:paraId="03BC6554" w14:textId="1424FFD8" w:rsidR="007F6E1C" w:rsidRPr="007F6E1C" w:rsidRDefault="006F75E6" w:rsidP="006F75E6">
      <w:pPr>
        <w:ind w:left="720" w:hanging="720"/>
        <w:rPr>
          <w:rFonts w:cs="Times New Roman"/>
          <w:szCs w:val="24"/>
        </w:rPr>
      </w:pPr>
      <w:proofErr w:type="spellStart"/>
      <w:r w:rsidRPr="004123FF">
        <w:rPr>
          <w:rFonts w:cs="Times New Roman"/>
          <w:color w:val="212121"/>
          <w:szCs w:val="24"/>
          <w:shd w:val="clear" w:color="auto" w:fill="FFFFFF"/>
        </w:rPr>
        <w:t>Mastrianni</w:t>
      </w:r>
      <w:proofErr w:type="spellEnd"/>
      <w:r w:rsidRPr="004123FF">
        <w:rPr>
          <w:rFonts w:cs="Times New Roman"/>
          <w:color w:val="212121"/>
          <w:szCs w:val="24"/>
          <w:shd w:val="clear" w:color="auto" w:fill="FFFFFF"/>
        </w:rPr>
        <w:t xml:space="preserve">, A., </w:t>
      </w:r>
      <w:proofErr w:type="spellStart"/>
      <w:r w:rsidRPr="004123FF">
        <w:rPr>
          <w:rFonts w:cs="Times New Roman"/>
          <w:color w:val="212121"/>
          <w:szCs w:val="24"/>
          <w:shd w:val="clear" w:color="auto" w:fill="FFFFFF"/>
        </w:rPr>
        <w:t>Sarcevic</w:t>
      </w:r>
      <w:proofErr w:type="spellEnd"/>
      <w:r w:rsidRPr="004123FF">
        <w:rPr>
          <w:rFonts w:cs="Times New Roman"/>
          <w:color w:val="212121"/>
          <w:szCs w:val="24"/>
          <w:shd w:val="clear" w:color="auto" w:fill="FFFFFF"/>
        </w:rPr>
        <w:t xml:space="preserve">, A., Hu, A., </w:t>
      </w:r>
      <w:proofErr w:type="spellStart"/>
      <w:r w:rsidRPr="004123FF">
        <w:rPr>
          <w:rFonts w:cs="Times New Roman"/>
          <w:color w:val="212121"/>
          <w:szCs w:val="24"/>
          <w:shd w:val="clear" w:color="auto" w:fill="FFFFFF"/>
        </w:rPr>
        <w:t>Almengor</w:t>
      </w:r>
      <w:proofErr w:type="spellEnd"/>
      <w:r w:rsidRPr="004123FF">
        <w:rPr>
          <w:rFonts w:cs="Times New Roman"/>
          <w:color w:val="212121"/>
          <w:szCs w:val="24"/>
          <w:shd w:val="clear" w:color="auto" w:fill="FFFFFF"/>
        </w:rPr>
        <w:t xml:space="preserve">, L., </w:t>
      </w:r>
      <w:proofErr w:type="spellStart"/>
      <w:r w:rsidRPr="004123FF">
        <w:rPr>
          <w:rFonts w:cs="Times New Roman"/>
          <w:color w:val="212121"/>
          <w:szCs w:val="24"/>
          <w:shd w:val="clear" w:color="auto" w:fill="FFFFFF"/>
        </w:rPr>
        <w:t>Tempel</w:t>
      </w:r>
      <w:proofErr w:type="spellEnd"/>
      <w:r w:rsidRPr="004123FF">
        <w:rPr>
          <w:rFonts w:cs="Times New Roman"/>
          <w:color w:val="212121"/>
          <w:szCs w:val="24"/>
          <w:shd w:val="clear" w:color="auto" w:fill="FFFFFF"/>
        </w:rPr>
        <w:t xml:space="preserve">, P., Gao, S., &amp; </w:t>
      </w:r>
      <w:proofErr w:type="spellStart"/>
      <w:r w:rsidRPr="004123FF">
        <w:rPr>
          <w:rFonts w:cs="Times New Roman"/>
          <w:color w:val="212121"/>
          <w:szCs w:val="24"/>
          <w:shd w:val="clear" w:color="auto" w:fill="FFFFFF"/>
        </w:rPr>
        <w:t>Burd</w:t>
      </w:r>
      <w:proofErr w:type="spellEnd"/>
      <w:r w:rsidRPr="004123FF">
        <w:rPr>
          <w:rFonts w:cs="Times New Roman"/>
          <w:color w:val="212121"/>
          <w:szCs w:val="24"/>
          <w:shd w:val="clear" w:color="auto" w:fill="FFFFFF"/>
        </w:rPr>
        <w:t xml:space="preserve">, R. S. (2023). Transitioning cognitive aids into decision support platforms: Requirements and design </w:t>
      </w:r>
      <w:r w:rsidRPr="004123FF">
        <w:rPr>
          <w:rFonts w:cs="Times New Roman"/>
          <w:color w:val="212121"/>
          <w:szCs w:val="24"/>
          <w:shd w:val="clear" w:color="auto" w:fill="FFFFFF"/>
        </w:rPr>
        <w:lastRenderedPageBreak/>
        <w:t>guidelines. </w:t>
      </w:r>
      <w:r w:rsidRPr="004123FF">
        <w:rPr>
          <w:rFonts w:cs="Times New Roman"/>
          <w:i/>
          <w:iCs/>
          <w:color w:val="212121"/>
          <w:szCs w:val="24"/>
          <w:shd w:val="clear" w:color="auto" w:fill="FFFFFF"/>
        </w:rPr>
        <w:t>ACM Transactions on Computer-Human Interaction: A Publication of the Association for Computing Machinery</w:t>
      </w:r>
      <w:r w:rsidRPr="004123FF">
        <w:rPr>
          <w:rFonts w:cs="Times New Roman"/>
          <w:color w:val="212121"/>
          <w:szCs w:val="24"/>
          <w:shd w:val="clear" w:color="auto" w:fill="FFFFFF"/>
        </w:rPr>
        <w:t>, </w:t>
      </w:r>
      <w:r w:rsidRPr="004123FF">
        <w:rPr>
          <w:rFonts w:cs="Times New Roman"/>
          <w:i/>
          <w:iCs/>
          <w:color w:val="212121"/>
          <w:szCs w:val="24"/>
          <w:shd w:val="clear" w:color="auto" w:fill="FFFFFF"/>
        </w:rPr>
        <w:t>30</w:t>
      </w:r>
      <w:r w:rsidRPr="004123FF">
        <w:rPr>
          <w:rFonts w:cs="Times New Roman"/>
          <w:color w:val="212121"/>
          <w:szCs w:val="24"/>
          <w:shd w:val="clear" w:color="auto" w:fill="FFFFFF"/>
        </w:rPr>
        <w:t xml:space="preserve">(3), 41. </w:t>
      </w:r>
      <w:hyperlink r:id="rId10" w:history="1">
        <w:r w:rsidRPr="004123FF">
          <w:rPr>
            <w:rStyle w:val="Hyperlink"/>
            <w:rFonts w:cs="Times New Roman"/>
            <w:szCs w:val="24"/>
            <w:shd w:val="clear" w:color="auto" w:fill="FFFFFF"/>
          </w:rPr>
          <w:t>https://doi.org/10.1145/3582431</w:t>
        </w:r>
      </w:hyperlink>
      <w:r w:rsidRPr="004123FF">
        <w:rPr>
          <w:rFonts w:cs="Times New Roman"/>
          <w:color w:val="212121"/>
          <w:szCs w:val="24"/>
          <w:shd w:val="clear" w:color="auto" w:fill="FFFFFF"/>
        </w:rPr>
        <w:t xml:space="preserve"> </w:t>
      </w:r>
    </w:p>
    <w:sectPr w:rsidR="007F6E1C" w:rsidRPr="007F6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8A"/>
    <w:rsid w:val="003431BE"/>
    <w:rsid w:val="00560C17"/>
    <w:rsid w:val="005906F1"/>
    <w:rsid w:val="006F75E6"/>
    <w:rsid w:val="0073298A"/>
    <w:rsid w:val="007F6E1C"/>
    <w:rsid w:val="009B6E0E"/>
    <w:rsid w:val="00B7576E"/>
    <w:rsid w:val="00C874EF"/>
    <w:rsid w:val="00D93776"/>
    <w:rsid w:val="00ED0BD5"/>
    <w:rsid w:val="00ED330F"/>
    <w:rsid w:val="00FA3A82"/>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5210"/>
  <w15:chartTrackingRefBased/>
  <w15:docId w15:val="{9C8BDF3C-AB90-4CBC-8CC5-0862FFA5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98A"/>
    <w:pPr>
      <w:spacing w:before="100" w:beforeAutospacing="1" w:after="100" w:afterAutospacing="1" w:line="240" w:lineRule="auto"/>
    </w:pPr>
    <w:rPr>
      <w:rFonts w:eastAsia="Times New Roman" w:cs="Times New Roman"/>
      <w:szCs w:val="24"/>
      <w:lang w:val="en-GB" w:eastAsia="en-GB"/>
    </w:rPr>
  </w:style>
  <w:style w:type="character" w:styleId="Emphasis">
    <w:name w:val="Emphasis"/>
    <w:basedOn w:val="DefaultParagraphFont"/>
    <w:uiPriority w:val="20"/>
    <w:qFormat/>
    <w:rsid w:val="0073298A"/>
    <w:rPr>
      <w:i/>
      <w:iCs/>
    </w:rPr>
  </w:style>
  <w:style w:type="character" w:styleId="Hyperlink">
    <w:name w:val="Hyperlink"/>
    <w:basedOn w:val="DefaultParagraphFont"/>
    <w:uiPriority w:val="99"/>
    <w:unhideWhenUsed/>
    <w:rsid w:val="00C874EF"/>
    <w:rPr>
      <w:color w:val="0563C1" w:themeColor="hyperlink"/>
      <w:u w:val="single"/>
    </w:rPr>
  </w:style>
  <w:style w:type="character" w:styleId="UnresolvedMention">
    <w:name w:val="Unresolved Mention"/>
    <w:basedOn w:val="DefaultParagraphFont"/>
    <w:uiPriority w:val="99"/>
    <w:semiHidden/>
    <w:unhideWhenUsed/>
    <w:rsid w:val="00C87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1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ss.2024.06.003" TargetMode="External"/><Relationship Id="rId3" Type="http://schemas.openxmlformats.org/officeDocument/2006/relationships/webSettings" Target="webSettings.xml"/><Relationship Id="rId7" Type="http://schemas.openxmlformats.org/officeDocument/2006/relationships/hyperlink" Target="https://doi.org/10.1186/s12960-019-0411-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45/3582431" TargetMode="External"/><Relationship Id="rId11" Type="http://schemas.openxmlformats.org/officeDocument/2006/relationships/fontTable" Target="fontTable.xml"/><Relationship Id="rId5" Type="http://schemas.openxmlformats.org/officeDocument/2006/relationships/hyperlink" Target="https://doi.org/10.1145/3290605.3300777" TargetMode="External"/><Relationship Id="rId10" Type="http://schemas.openxmlformats.org/officeDocument/2006/relationships/hyperlink" Target="https://doi.org/10.1145/3582431" TargetMode="External"/><Relationship Id="rId4" Type="http://schemas.openxmlformats.org/officeDocument/2006/relationships/hyperlink" Target="https://doi.org/10.1136/bmjoq-2023-002406" TargetMode="External"/><Relationship Id="rId9" Type="http://schemas.openxmlformats.org/officeDocument/2006/relationships/hyperlink" Target="https://doi.org/10.7861/fhj.2021-0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2025-07-31T17:53:00Z</dcterms:created>
  <dcterms:modified xsi:type="dcterms:W3CDTF">2025-07-31T20:56:00Z</dcterms:modified>
</cp:coreProperties>
</file>