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7418F" w14:textId="77777777" w:rsidR="00A056EC" w:rsidRPr="0003682E" w:rsidRDefault="00A056EC" w:rsidP="00A056EC">
      <w:pPr>
        <w:spacing w:after="0" w:line="48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</w:rPr>
      </w:pPr>
    </w:p>
    <w:p w14:paraId="2ABAC46C" w14:textId="77777777" w:rsidR="00A056EC" w:rsidRPr="0003682E" w:rsidRDefault="00A056EC" w:rsidP="00A056EC">
      <w:pPr>
        <w:spacing w:after="0" w:line="48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</w:rPr>
      </w:pPr>
    </w:p>
    <w:p w14:paraId="5A0E22EC" w14:textId="77777777" w:rsidR="00A056EC" w:rsidRPr="0003682E" w:rsidRDefault="00A056EC" w:rsidP="00A056EC">
      <w:pPr>
        <w:spacing w:after="0" w:line="48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</w:rPr>
      </w:pPr>
    </w:p>
    <w:p w14:paraId="6B5EA0B5" w14:textId="77777777" w:rsidR="00A056EC" w:rsidRPr="0003682E" w:rsidRDefault="00A056EC" w:rsidP="00A056EC">
      <w:pPr>
        <w:spacing w:after="0" w:line="48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</w:rPr>
      </w:pPr>
    </w:p>
    <w:p w14:paraId="28482BF4" w14:textId="183232A8" w:rsidR="00A056EC" w:rsidRPr="0003682E" w:rsidRDefault="00A056EC" w:rsidP="00A056EC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Ideal US Healthcare System</w:t>
      </w:r>
    </w:p>
    <w:p w14:paraId="73CAEE34" w14:textId="77777777" w:rsidR="00A056EC" w:rsidRPr="0003682E" w:rsidRDefault="00A056EC" w:rsidP="00A056EC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  <w:r w:rsidRPr="0003682E"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t>Student's Name</w:t>
      </w:r>
    </w:p>
    <w:p w14:paraId="4B21346E" w14:textId="77777777" w:rsidR="00A056EC" w:rsidRPr="0003682E" w:rsidRDefault="00A056EC" w:rsidP="00A056EC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  <w:r w:rsidRPr="0003682E"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t>Institutional Affiliation</w:t>
      </w:r>
    </w:p>
    <w:p w14:paraId="53E53D65" w14:textId="77777777" w:rsidR="00A056EC" w:rsidRPr="0003682E" w:rsidRDefault="00A056EC" w:rsidP="00A056EC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  <w:r w:rsidRPr="0003682E"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t>Course Number and Name</w:t>
      </w:r>
    </w:p>
    <w:p w14:paraId="1C7138F0" w14:textId="77777777" w:rsidR="00A056EC" w:rsidRPr="0003682E" w:rsidRDefault="00A056EC" w:rsidP="00A056EC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  <w:r w:rsidRPr="0003682E"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t>Instructor's Name</w:t>
      </w:r>
    </w:p>
    <w:p w14:paraId="3EA22295" w14:textId="77777777" w:rsidR="00A056EC" w:rsidRPr="0003682E" w:rsidRDefault="00A056EC" w:rsidP="00A056EC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  <w:r w:rsidRPr="0003682E"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t>Due Date</w:t>
      </w:r>
    </w:p>
    <w:p w14:paraId="6D158E56" w14:textId="77777777" w:rsidR="00A056EC" w:rsidRPr="0003682E" w:rsidRDefault="00A056EC" w:rsidP="00A056EC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  <w:r w:rsidRPr="0003682E"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br w:type="page"/>
      </w:r>
    </w:p>
    <w:p w14:paraId="75BD74A4" w14:textId="77777777" w:rsidR="00A056EC" w:rsidRDefault="00A056EC" w:rsidP="00A056EC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lastRenderedPageBreak/>
        <w:t>Ideal US Healthcare System</w:t>
      </w:r>
    </w:p>
    <w:p w14:paraId="39E4E102" w14:textId="1E028272" w:rsidR="00C757C9" w:rsidRDefault="00C757C9" w:rsidP="00626179">
      <w:pPr>
        <w:spacing w:after="0" w:line="480" w:lineRule="auto"/>
        <w:ind w:firstLine="72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</w:pPr>
      <w:r w:rsidRPr="009432B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The American healthcare system stands at a critical situation since it is technologically advanced but inequitable and </w:t>
      </w:r>
      <w:r w:rsidR="009432B1" w:rsidRPr="009432B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>inaccessible</w:t>
      </w:r>
      <w:r w:rsidRPr="009432B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 for most citizens. </w:t>
      </w:r>
      <w:r w:rsidR="00E4129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Although there have been reform efforts towards improvement, </w:t>
      </w:r>
      <w:r w:rsidR="006C6B3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various challenges persist, such as fragmented care, </w:t>
      </w:r>
      <w:r w:rsidR="005B474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unequal access and high costs. </w:t>
      </w:r>
      <w:r w:rsidR="0001429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>For this reason, the paper will present a vision for the ideal US healthcare system that prioritizes,</w:t>
      </w:r>
      <w:r w:rsidR="0062617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="0001429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efficiency, equity and universal access, in addition to patient-centered care. </w:t>
      </w:r>
      <w:r w:rsidR="0062617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The discussion will focus on outlining a road map towards lasting and meaningful change by evaluating the strengths and weaknesses of the current system, analyzing effects of reform legislation and innovative ideas for transformation. </w:t>
      </w:r>
    </w:p>
    <w:p w14:paraId="75D32406" w14:textId="49A69437" w:rsidR="00157FCD" w:rsidRPr="00821110" w:rsidRDefault="00CA410E" w:rsidP="00821110">
      <w:pPr>
        <w:spacing w:after="0" w:line="48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</w:rPr>
      </w:pPr>
      <w:r w:rsidRPr="0082111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</w:rPr>
        <w:t>Overview of the Ideal Healthcare System</w:t>
      </w:r>
    </w:p>
    <w:p w14:paraId="4CE0C963" w14:textId="65D1287C" w:rsidR="00CA410E" w:rsidRDefault="00CA410E" w:rsidP="00626179">
      <w:pPr>
        <w:spacing w:after="0" w:line="480" w:lineRule="auto"/>
        <w:ind w:firstLine="72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An ideal healthcare system in the United States would be one that guarantees equitable access to high-quality and comprehensive care to all residents regardless of their geographic location, pre-existing conditions and socioeconomic status. </w:t>
      </w:r>
      <w:r w:rsidR="003B26B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The system would also operate under a single-payer model funded through federal taxation, hence removing financial barriers to care. </w:t>
      </w:r>
      <w:r w:rsidR="008E0A8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>Chronic disease management, mental health services, and preventive care would also be emphasized to reduce long-term costs and pro</w:t>
      </w:r>
      <w:r w:rsidR="003E5B9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>m</w:t>
      </w:r>
      <w:r w:rsidR="008E0A8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>ote wellness (</w:t>
      </w:r>
      <w:r w:rsidR="008F44CC" w:rsidRPr="00C93604">
        <w:rPr>
          <w:rFonts w:ascii="Times New Roman" w:hAnsi="Times New Roman" w:cs="Times New Roman"/>
          <w:color w:val="000000" w:themeColor="text1"/>
          <w:sz w:val="24"/>
          <w:szCs w:val="24"/>
        </w:rPr>
        <w:t>Crowley</w:t>
      </w:r>
      <w:r w:rsidR="008F44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et al., 2020</w:t>
      </w:r>
      <w:r w:rsidR="008E0A8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). </w:t>
      </w:r>
      <w:r w:rsidR="003E5B9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Central EHRs would be useful in eliminating redundancies, improving outcomes, and facilitating care coordination. </w:t>
      </w:r>
      <w:r w:rsidR="0072588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>Patients will also be at the center of care where services will be tailored to personal, linguistic,</w:t>
      </w:r>
      <w:r w:rsidR="00F96D6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="0072588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and personal needs. </w:t>
      </w:r>
      <w:r w:rsidR="00F96D6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Such an ideal model will be derived from successful aspects of healthcare systems in other countries such as Canada and the United Kingdom. </w:t>
      </w:r>
    </w:p>
    <w:p w14:paraId="45932E4E" w14:textId="4B45849D" w:rsidR="00C757A4" w:rsidRPr="00821110" w:rsidRDefault="00C757A4" w:rsidP="00821110">
      <w:pPr>
        <w:spacing w:after="0" w:line="48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</w:rPr>
      </w:pPr>
      <w:r w:rsidRPr="0082111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</w:rPr>
        <w:t xml:space="preserve">Impact of Healthcare Reform </w:t>
      </w:r>
      <w:r w:rsidR="00F733D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</w:rPr>
        <w:t>L</w:t>
      </w:r>
      <w:r w:rsidRPr="0082111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</w:rPr>
        <w:t>egis</w:t>
      </w:r>
      <w:r w:rsidR="001F1E3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</w:rPr>
        <w:t>l</w:t>
      </w:r>
      <w:r w:rsidRPr="0082111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</w:rPr>
        <w:t>ation</w:t>
      </w:r>
    </w:p>
    <w:p w14:paraId="56C2F880" w14:textId="09EC3AF9" w:rsidR="00C757A4" w:rsidRDefault="00823844" w:rsidP="00626179">
      <w:pPr>
        <w:spacing w:after="0" w:line="480" w:lineRule="auto"/>
        <w:ind w:firstLine="72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The Affordable Care Act marked a significant </w:t>
      </w:r>
      <w:r w:rsidR="006C574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shift towards increasing affordability and coverage in the US healthcare system. </w:t>
      </w:r>
      <w:r w:rsidR="00AF41F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The ACA laid foundational steps towards an inclusive </w:t>
      </w:r>
      <w:r w:rsidR="00AF41F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lastRenderedPageBreak/>
        <w:t xml:space="preserve">system by expanding </w:t>
      </w:r>
      <w:r w:rsidR="00366C9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>Medicaid, prohibiting denial of coverage, and mandating essential health benefits (</w:t>
      </w:r>
      <w:r w:rsidR="004D0700" w:rsidRPr="00C524B8">
        <w:rPr>
          <w:rFonts w:ascii="Times New Roman" w:hAnsi="Times New Roman" w:cs="Times New Roman"/>
          <w:color w:val="000000" w:themeColor="text1"/>
          <w:sz w:val="24"/>
          <w:szCs w:val="24"/>
        </w:rPr>
        <w:t>Ercia</w:t>
      </w:r>
      <w:r w:rsidR="004D0700">
        <w:rPr>
          <w:rFonts w:ascii="Times New Roman" w:hAnsi="Times New Roman" w:cs="Times New Roman"/>
          <w:color w:val="000000" w:themeColor="text1"/>
          <w:sz w:val="24"/>
          <w:szCs w:val="24"/>
        </w:rPr>
        <w:t>, 2021</w:t>
      </w:r>
      <w:r w:rsidR="00366C9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). </w:t>
      </w:r>
      <w:r w:rsidR="001B73B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However, the ACA fell short of universal coverage, where healthcare remains a financial burden for many. </w:t>
      </w:r>
      <w:r w:rsidR="00FC2DF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New legislation should therefore be necessary to fully realize the ideal system previously described. </w:t>
      </w:r>
      <w:r w:rsidR="0072799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>This means that a transition to a single-payer model would require amendment or repeal of existing insurance regulations,</w:t>
      </w:r>
      <w:r w:rsidR="00CE15B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="0072799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>including reallocation of state and federal funds</w:t>
      </w:r>
      <w:r w:rsidR="00F221C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 (</w:t>
      </w:r>
      <w:r w:rsidR="00F221C0" w:rsidRPr="00C93604">
        <w:rPr>
          <w:rFonts w:ascii="Times New Roman" w:hAnsi="Times New Roman" w:cs="Times New Roman"/>
          <w:color w:val="000000" w:themeColor="text1"/>
          <w:sz w:val="24"/>
          <w:szCs w:val="24"/>
        </w:rPr>
        <w:t>Crowley</w:t>
      </w:r>
      <w:r w:rsidR="00F221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et al., 2020</w:t>
      </w:r>
      <w:r w:rsidR="00F221C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72799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. </w:t>
      </w:r>
      <w:r w:rsidR="00CE15B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The legislative reforms should also address health equity frameworks, </w:t>
      </w:r>
      <w:r w:rsidR="009C5FD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>provider reimbursement frameworks, pharmaceutical pricing to</w:t>
      </w:r>
      <w:r w:rsidR="008613A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="009C5FD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ensure that all individuals benefit from systemic changes. </w:t>
      </w:r>
    </w:p>
    <w:p w14:paraId="4FFEF581" w14:textId="3935F46B" w:rsidR="009B1511" w:rsidRPr="00821110" w:rsidRDefault="009B1511" w:rsidP="00821110">
      <w:pPr>
        <w:spacing w:after="0" w:line="48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</w:rPr>
      </w:pPr>
      <w:r w:rsidRPr="0082111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</w:rPr>
        <w:t>Retaining and Changing Current System Elements</w:t>
      </w:r>
    </w:p>
    <w:p w14:paraId="06BC1372" w14:textId="29597518" w:rsidR="009B1511" w:rsidRDefault="008F7AD0" w:rsidP="00626179">
      <w:pPr>
        <w:spacing w:after="0" w:line="480" w:lineRule="auto"/>
        <w:ind w:firstLine="72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Despite the need for change, various strengths of the current US healthcare system should be maintained. </w:t>
      </w:r>
      <w:r w:rsidR="007033E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For instance, the country is popular for highly </w:t>
      </w:r>
      <w:r w:rsidR="00287E7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>trained specialists and cutting-edge technology, including having world-class medical research institutions (</w:t>
      </w:r>
      <w:r w:rsidR="001B508B" w:rsidRPr="00181BAB">
        <w:rPr>
          <w:rFonts w:ascii="Times New Roman" w:hAnsi="Times New Roman" w:cs="Times New Roman"/>
          <w:color w:val="000000" w:themeColor="text1"/>
          <w:sz w:val="24"/>
          <w:szCs w:val="24"/>
        </w:rPr>
        <w:t>Delfino</w:t>
      </w:r>
      <w:r w:rsidR="001B50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et al., 2023</w:t>
      </w:r>
      <w:r w:rsidR="00287E7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). Consequently, such assets should be integrated into a more equitable and accessible system. </w:t>
      </w:r>
      <w:r w:rsidR="004E687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Further, the current emphasis on informed consent, privacy protection under HIPAA, and patient rights </w:t>
      </w:r>
      <w:r w:rsidR="00B807E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should be retained and enhanced with modern cybersecurity policies. </w:t>
      </w:r>
      <w:r w:rsidR="0089217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>Contrary, structural</w:t>
      </w:r>
      <w:r w:rsidR="004F5A4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="0089217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>elements</w:t>
      </w:r>
      <w:r w:rsidR="004F5A4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="0089217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>must be change</w:t>
      </w:r>
      <w:r w:rsidR="004F5A4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>d</w:t>
      </w:r>
      <w:r w:rsidR="006401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. </w:t>
      </w:r>
      <w:r w:rsidR="008716E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>This is because the current multi-payer insurance model is costly and inefficient due to profit-driven motives and administrative complexities (</w:t>
      </w:r>
      <w:r w:rsidR="001B508B" w:rsidRPr="00C93604">
        <w:rPr>
          <w:rFonts w:ascii="Times New Roman" w:hAnsi="Times New Roman" w:cs="Times New Roman"/>
          <w:color w:val="000000" w:themeColor="text1"/>
          <w:sz w:val="24"/>
          <w:szCs w:val="24"/>
        </w:rPr>
        <w:t>Crowley</w:t>
      </w:r>
      <w:r w:rsidR="001B50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et al., 2020</w:t>
      </w:r>
      <w:r w:rsidR="008716E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). </w:t>
      </w:r>
      <w:r w:rsidR="00D3571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>Out-of-pocket expenses also deter patients from seeking care, leading to worsened health</w:t>
      </w:r>
      <w:r w:rsidR="00F4421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="00D3571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outcomes. Therefore, </w:t>
      </w:r>
      <w:r w:rsidR="00F4421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fragmented care across institutions and providers impedes continuity and coordination particularly for people with complex conditions. </w:t>
      </w:r>
    </w:p>
    <w:p w14:paraId="4D21F2BF" w14:textId="0AAEBF6A" w:rsidR="001600FA" w:rsidRPr="00821110" w:rsidRDefault="001600FA" w:rsidP="00821110">
      <w:pPr>
        <w:spacing w:after="0" w:line="48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</w:rPr>
      </w:pPr>
      <w:r w:rsidRPr="0082111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</w:rPr>
        <w:t>Healthcare Financing in the Ideal System</w:t>
      </w:r>
    </w:p>
    <w:p w14:paraId="19CCEE84" w14:textId="39594B5E" w:rsidR="001600FA" w:rsidRDefault="00457707" w:rsidP="00626179">
      <w:pPr>
        <w:spacing w:after="0" w:line="480" w:lineRule="auto"/>
        <w:ind w:firstLine="72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Healthcare would be financed through federal taxation in the proposed ideal system, similar to single-payer models in countries such as Canada. </w:t>
      </w:r>
      <w:r w:rsidR="000C619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Such an approach would replace </w:t>
      </w:r>
      <w:r w:rsidR="000C619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lastRenderedPageBreak/>
        <w:t>private insurance premiums with income-based taxes</w:t>
      </w:r>
      <w:r w:rsidR="00397F5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>, hence equally distributing healthcare costs across the population</w:t>
      </w:r>
      <w:r w:rsidR="007E080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="004135A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>(</w:t>
      </w:r>
      <w:r w:rsidR="00663961" w:rsidRPr="00C93604">
        <w:rPr>
          <w:rFonts w:ascii="Times New Roman" w:hAnsi="Times New Roman" w:cs="Times New Roman"/>
          <w:color w:val="000000" w:themeColor="text1"/>
          <w:sz w:val="24"/>
          <w:szCs w:val="24"/>
        </w:rPr>
        <w:t>Crowley</w:t>
      </w:r>
      <w:r w:rsidR="006639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et al., 2020</w:t>
      </w:r>
      <w:r w:rsidR="004135A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>)</w:t>
      </w:r>
      <w:r w:rsidR="00397F5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>. Employers will no longer be required to provide health benefits</w:t>
      </w:r>
      <w:r w:rsidR="0037548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, thereby freeing resources for reinvestment in business growth. </w:t>
      </w:r>
      <w:r w:rsidR="00CE64F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Local and state governments would also contribute funding to support public health initiatives and facilitate region-specific services. </w:t>
      </w:r>
      <w:r w:rsidR="000859A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Although it would be necessary to increase taxes, </w:t>
      </w:r>
      <w:r w:rsidR="003D468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>the overall health expenditure is likely to decrease due to negotiated drug prices and reduced administrative overhead (</w:t>
      </w:r>
      <w:r w:rsidR="000D2DFB" w:rsidRPr="00C93604">
        <w:rPr>
          <w:rFonts w:ascii="Times New Roman" w:hAnsi="Times New Roman" w:cs="Times New Roman"/>
          <w:color w:val="000000" w:themeColor="text1"/>
          <w:sz w:val="24"/>
          <w:szCs w:val="24"/>
        </w:rPr>
        <w:t>Crowley</w:t>
      </w:r>
      <w:r w:rsidR="000D2D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et al., 2020</w:t>
      </w:r>
      <w:r w:rsidR="003D468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). </w:t>
      </w:r>
      <w:r w:rsidR="00F07F5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Consequently, patients would no longer experience high deductibles, eliminating the main cause of bankruptcy in the United States. </w:t>
      </w:r>
    </w:p>
    <w:p w14:paraId="5D64360E" w14:textId="445E64F9" w:rsidR="000B6B6A" w:rsidRPr="008C3DA8" w:rsidRDefault="00C10F30" w:rsidP="008C3DA8">
      <w:pPr>
        <w:spacing w:after="0" w:line="48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</w:rPr>
      </w:pPr>
      <w:r w:rsidRPr="008C3DA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</w:rPr>
        <w:t>Innovative Ideas for System Improvement</w:t>
      </w:r>
    </w:p>
    <w:p w14:paraId="6672D2D1" w14:textId="5104ECDD" w:rsidR="00C10F30" w:rsidRDefault="006067EB" w:rsidP="00626179">
      <w:pPr>
        <w:spacing w:after="0" w:line="480" w:lineRule="auto"/>
        <w:ind w:firstLine="72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Innovation is central to the success of an ideal healthcare system. </w:t>
      </w:r>
      <w:r w:rsidR="00453E3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One major innovation is the creation of a national </w:t>
      </w:r>
      <w:r w:rsidR="008C3DA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>EHR</w:t>
      </w:r>
      <w:r w:rsidR="00453E3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 system to ensure patient records are safe and accessible across all care settings. </w:t>
      </w:r>
      <w:r w:rsidR="008F24D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Such an innovation would reduce errors, </w:t>
      </w:r>
      <w:r w:rsidR="005D041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enhance population health monitoring, </w:t>
      </w:r>
      <w:r w:rsidR="00582F8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and improve care coordination. </w:t>
      </w:r>
      <w:r w:rsidR="007A136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Artificial intelligence could also be employed to </w:t>
      </w:r>
      <w:r w:rsidR="00921D1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>analyze diagnostic data, support clinical decision-making and streamline administrative tasks (</w:t>
      </w:r>
      <w:r w:rsidR="003653CF" w:rsidRPr="00C93604">
        <w:rPr>
          <w:rFonts w:ascii="Times New Roman" w:hAnsi="Times New Roman" w:cs="Times New Roman"/>
          <w:color w:val="000000" w:themeColor="text1"/>
          <w:sz w:val="24"/>
          <w:szCs w:val="24"/>
        </w:rPr>
        <w:t>Crowley</w:t>
      </w:r>
      <w:r w:rsidR="003653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et al., 2020</w:t>
      </w:r>
      <w:r w:rsidR="00921D1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). </w:t>
      </w:r>
      <w:r w:rsidR="00D56DE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>Implementing health homes is also another innovation</w:t>
      </w:r>
      <w:r w:rsidR="00D57FE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, especially in underserved communities. </w:t>
      </w:r>
      <w:r w:rsidR="00F2445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These centers would provide dental services, </w:t>
      </w:r>
      <w:r w:rsidR="00C9017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>behavioral,</w:t>
      </w:r>
      <w:r w:rsidR="00EF666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="00C9017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>and primary care</w:t>
      </w:r>
      <w:r w:rsidR="00EF666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 under one roof.</w:t>
      </w:r>
      <w:r w:rsidR="0086248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 They would also integrate social services to address social</w:t>
      </w:r>
      <w:r w:rsidR="003B415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="0086248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determinants of health such as transportation, </w:t>
      </w:r>
      <w:r w:rsidR="0099769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food insecurity and housing. </w:t>
      </w:r>
    </w:p>
    <w:p w14:paraId="2B0EE2CA" w14:textId="5913CEEF" w:rsidR="00706B99" w:rsidRDefault="00706B99" w:rsidP="00626179">
      <w:pPr>
        <w:spacing w:after="0" w:line="480" w:lineRule="auto"/>
        <w:ind w:firstLine="72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>Incentives could be offered for preventive tendencies such as chronic disease</w:t>
      </w:r>
      <w:r w:rsidR="00BF14E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management, vaccination, </w:t>
      </w:r>
      <w:r w:rsidR="00BF14E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and regular screening through health savings or tax credits. </w:t>
      </w:r>
      <w:r w:rsidR="00D3294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>Telehealth services which</w:t>
      </w:r>
      <w:r w:rsidR="00C86BB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="00D3294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have significantly expanded especially during the onset of Covid-19 </w:t>
      </w:r>
      <w:r w:rsidR="00C86BB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should be equitably reimbursed and standardized to </w:t>
      </w:r>
      <w:r w:rsidR="00931FE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increase access especially in remote areas. </w:t>
      </w:r>
      <w:r w:rsidR="00337AD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>Finally,</w:t>
      </w:r>
      <w:r w:rsidR="004B58D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="00337AD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expansion of training programs is necessary to </w:t>
      </w:r>
      <w:r w:rsidR="0041599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increase diversity of the healthcare workforce and </w:t>
      </w:r>
      <w:r w:rsidR="0041599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lastRenderedPageBreak/>
        <w:t xml:space="preserve">ensure patients receive culturally competent care. </w:t>
      </w:r>
      <w:r w:rsidR="004B58D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Thus, such innovations will </w:t>
      </w:r>
      <w:r w:rsidR="005716C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help improve healthcare systems in the United States. </w:t>
      </w:r>
    </w:p>
    <w:p w14:paraId="5C70344D" w14:textId="60DECE20" w:rsidR="00684926" w:rsidRPr="008C3DA8" w:rsidRDefault="008441B6" w:rsidP="008C3DA8">
      <w:pPr>
        <w:spacing w:after="0" w:line="48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</w:rPr>
      </w:pPr>
      <w:r w:rsidRPr="008C3DA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</w:rPr>
        <w:t>Conclusion</w:t>
      </w:r>
    </w:p>
    <w:p w14:paraId="4F810517" w14:textId="55BB91E2" w:rsidR="008441B6" w:rsidRPr="009432B1" w:rsidRDefault="00F3362B" w:rsidP="00626179">
      <w:pPr>
        <w:spacing w:after="0" w:line="480" w:lineRule="auto"/>
        <w:ind w:firstLine="720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>Transforming the US</w:t>
      </w:r>
      <w:r w:rsidR="00D24F3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>healthcare system into</w:t>
      </w:r>
      <w:r w:rsidR="00D24F3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="004A0BC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one that is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>cost-effective</w:t>
      </w:r>
      <w:r w:rsidR="004A0BC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>, accessible</w:t>
      </w:r>
      <w:r w:rsidR="0056335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>,</w:t>
      </w:r>
      <w:r w:rsidR="004A0BC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 and equitable</w:t>
      </w:r>
      <w:r w:rsidR="00D0701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 can be a complex but achievable goal. </w:t>
      </w:r>
      <w:r w:rsidR="008972E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>The nation can improve financial</w:t>
      </w:r>
      <w:r w:rsidR="00496AB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="008972E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sustainability and population health by </w:t>
      </w:r>
      <w:r w:rsidR="00496AB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>integrating structural</w:t>
      </w:r>
      <w:r w:rsidR="00C00C0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="00496AB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and technological innovations, </w:t>
      </w:r>
      <w:r w:rsidR="009A751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>emphasizing</w:t>
      </w:r>
      <w:r w:rsidR="00A37CE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="009A751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preventive care and adopting </w:t>
      </w:r>
      <w:r w:rsidR="00361CA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>a single-payer</w:t>
      </w:r>
      <w:r w:rsidR="009240A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="00361CA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financing structure. </w:t>
      </w:r>
      <w:r w:rsidR="001600E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Although recent reforms have laid a foundation, </w:t>
      </w:r>
      <w:r w:rsidR="00A46BB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reimagining of care and new legislation </w:t>
      </w:r>
      <w:r w:rsidR="00BA7C4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are necessary to address the needs of all Americans. </w:t>
      </w:r>
      <w:r w:rsidR="00843F5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Ultimately, through </w:t>
      </w:r>
      <w:r w:rsidR="00DF794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thoughtful </w:t>
      </w:r>
      <w:r w:rsidR="00843F5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innovation, policy and commitment to health equity, an ideal healthcare system in the US can become a reality. </w:t>
      </w:r>
    </w:p>
    <w:p w14:paraId="61CA172D" w14:textId="77777777" w:rsidR="00471D7A" w:rsidRDefault="00471D7A" w:rsidP="00A056EC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68D30C" w14:textId="77777777" w:rsidR="00471D7A" w:rsidRDefault="00471D7A" w:rsidP="00A056EC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EF6AF3" w14:textId="77777777" w:rsidR="00471D7A" w:rsidRDefault="00471D7A" w:rsidP="00A056EC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3FBF17" w14:textId="77777777" w:rsidR="00471D7A" w:rsidRDefault="00471D7A" w:rsidP="00A056EC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FF4960" w14:textId="77777777" w:rsidR="00471D7A" w:rsidRDefault="00471D7A" w:rsidP="00A056EC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4A5B27" w14:textId="77777777" w:rsidR="00471D7A" w:rsidRDefault="00471D7A" w:rsidP="00A056EC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C8BBEA" w14:textId="77777777" w:rsidR="00471D7A" w:rsidRDefault="00471D7A" w:rsidP="00A056EC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624FD4" w14:textId="77777777" w:rsidR="00471D7A" w:rsidRDefault="00471D7A" w:rsidP="00A056EC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5A103C" w14:textId="77777777" w:rsidR="00471D7A" w:rsidRDefault="00471D7A" w:rsidP="00A056EC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B9AC9E" w14:textId="77777777" w:rsidR="00471D7A" w:rsidRDefault="00471D7A" w:rsidP="00A056EC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95F0F8" w14:textId="77777777" w:rsidR="00471D7A" w:rsidRDefault="00471D7A" w:rsidP="00A056EC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524D93" w14:textId="0720136D" w:rsidR="00A056EC" w:rsidRDefault="00A056EC" w:rsidP="00A056EC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6547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11876644" w14:textId="77777777" w:rsidR="00663961" w:rsidRDefault="007E0800" w:rsidP="007E0800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36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Crowley, R., Daniel, H., Cooney, T. G., Engel, L. S., &amp; Health and Public Policy Committee of </w:t>
      </w:r>
    </w:p>
    <w:p w14:paraId="0B7E471A" w14:textId="126AE6CB" w:rsidR="007E0800" w:rsidRDefault="007E0800" w:rsidP="00663961">
      <w:pPr>
        <w:spacing w:line="48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3604">
        <w:rPr>
          <w:rFonts w:ascii="Times New Roman" w:hAnsi="Times New Roman" w:cs="Times New Roman"/>
          <w:color w:val="000000" w:themeColor="text1"/>
          <w:sz w:val="24"/>
          <w:szCs w:val="24"/>
        </w:rPr>
        <w:t>the American College of Physicians. (2020). Envisioning a better US health care system for all: coverage and cost of care. </w:t>
      </w:r>
      <w:r w:rsidRPr="00C936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Annals of internal medicine</w:t>
      </w:r>
      <w:r w:rsidRPr="00C93604">
        <w:rPr>
          <w:rFonts w:ascii="Times New Roman" w:hAnsi="Times New Roman" w:cs="Times New Roman"/>
          <w:color w:val="000000" w:themeColor="text1"/>
          <w:sz w:val="24"/>
          <w:szCs w:val="24"/>
        </w:rPr>
        <w:t>, </w:t>
      </w:r>
      <w:r w:rsidRPr="00C936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172</w:t>
      </w:r>
      <w:r w:rsidRPr="00C93604">
        <w:rPr>
          <w:rFonts w:ascii="Times New Roman" w:hAnsi="Times New Roman" w:cs="Times New Roman"/>
          <w:color w:val="000000" w:themeColor="text1"/>
          <w:sz w:val="24"/>
          <w:szCs w:val="24"/>
        </w:rPr>
        <w:t>(2_Supplement), S7-S32.</w:t>
      </w:r>
      <w:r w:rsidR="00C936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6" w:history="1">
        <w:r w:rsidR="0038734D" w:rsidRPr="00491C65">
          <w:rPr>
            <w:rStyle w:val="Hyperlink"/>
            <w:rFonts w:ascii="Times New Roman" w:hAnsi="Times New Roman" w:cs="Times New Roman"/>
            <w:sz w:val="24"/>
            <w:szCs w:val="24"/>
          </w:rPr>
          <w:t>https://www.acpjournals.org/doi/pdf/10.7326/M19-2415</w:t>
        </w:r>
      </w:hyperlink>
      <w:r w:rsidR="003873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769C8C5" w14:textId="77777777" w:rsidR="006A4E90" w:rsidRDefault="003016B4" w:rsidP="003016B4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1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Delfino, S., Larson, A., Haines, D., Grell, R., &amp; Larson, A. J. (2023). World-Class Innovation, </w:t>
      </w:r>
    </w:p>
    <w:p w14:paraId="632C67B3" w14:textId="219AB6F6" w:rsidR="003016B4" w:rsidRDefault="003016B4" w:rsidP="006A4E90">
      <w:pPr>
        <w:spacing w:line="48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1BAB">
        <w:rPr>
          <w:rFonts w:ascii="Times New Roman" w:hAnsi="Times New Roman" w:cs="Times New Roman"/>
          <w:color w:val="000000" w:themeColor="text1"/>
          <w:sz w:val="24"/>
          <w:szCs w:val="24"/>
        </w:rPr>
        <w:t>but at What Cost? A Brief Examination of the American Healthcare System. </w:t>
      </w:r>
      <w:r w:rsidRPr="00181BA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Cureus</w:t>
      </w:r>
      <w:r w:rsidRPr="00181BAB">
        <w:rPr>
          <w:rFonts w:ascii="Times New Roman" w:hAnsi="Times New Roman" w:cs="Times New Roman"/>
          <w:color w:val="000000" w:themeColor="text1"/>
          <w:sz w:val="24"/>
          <w:szCs w:val="24"/>
        </w:rPr>
        <w:t>, </w:t>
      </w:r>
      <w:r w:rsidRPr="00181BA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15</w:t>
      </w:r>
      <w:r w:rsidRPr="00181BAB">
        <w:rPr>
          <w:rFonts w:ascii="Times New Roman" w:hAnsi="Times New Roman" w:cs="Times New Roman"/>
          <w:color w:val="000000" w:themeColor="text1"/>
          <w:sz w:val="24"/>
          <w:szCs w:val="24"/>
        </w:rPr>
        <w:t>(6).</w:t>
      </w:r>
      <w:r w:rsidR="00181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7" w:history="1">
        <w:r w:rsidR="00104DD8" w:rsidRPr="00491C65">
          <w:rPr>
            <w:rStyle w:val="Hyperlink"/>
            <w:rFonts w:ascii="Times New Roman" w:hAnsi="Times New Roman" w:cs="Times New Roman"/>
            <w:sz w:val="24"/>
            <w:szCs w:val="24"/>
          </w:rPr>
          <w:t>https://doi.org/10.7759/cureus.39922</w:t>
        </w:r>
      </w:hyperlink>
      <w:r w:rsidR="00104D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9430855" w14:textId="77777777" w:rsidR="002D5D85" w:rsidRDefault="00B13CF6" w:rsidP="00B13CF6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24B8">
        <w:rPr>
          <w:rFonts w:ascii="Times New Roman" w:hAnsi="Times New Roman" w:cs="Times New Roman"/>
          <w:color w:val="000000" w:themeColor="text1"/>
          <w:sz w:val="24"/>
          <w:szCs w:val="24"/>
        </w:rPr>
        <w:t>Ercia, A. (2021). The impact of the Affordable Care Act on patient coverage and access to care:</w:t>
      </w:r>
    </w:p>
    <w:p w14:paraId="1A742A62" w14:textId="4BA3889C" w:rsidR="00B13CF6" w:rsidRPr="00C524B8" w:rsidRDefault="00B13CF6" w:rsidP="002D5D85">
      <w:pPr>
        <w:spacing w:line="480" w:lineRule="auto"/>
        <w:ind w:left="720" w:firstLine="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24B8">
        <w:rPr>
          <w:rFonts w:ascii="Times New Roman" w:hAnsi="Times New Roman" w:cs="Times New Roman"/>
          <w:color w:val="000000" w:themeColor="text1"/>
          <w:sz w:val="24"/>
          <w:szCs w:val="24"/>
        </w:rPr>
        <w:t>perspectives from FQHC administrators in Arizona, California and Texas. </w:t>
      </w:r>
      <w:r w:rsidRPr="00C524B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BMC health services research</w:t>
      </w:r>
      <w:r w:rsidRPr="00C524B8">
        <w:rPr>
          <w:rFonts w:ascii="Times New Roman" w:hAnsi="Times New Roman" w:cs="Times New Roman"/>
          <w:color w:val="000000" w:themeColor="text1"/>
          <w:sz w:val="24"/>
          <w:szCs w:val="24"/>
        </w:rPr>
        <w:t>, </w:t>
      </w:r>
      <w:r w:rsidRPr="00C524B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21</w:t>
      </w:r>
      <w:r w:rsidRPr="00C524B8">
        <w:rPr>
          <w:rFonts w:ascii="Times New Roman" w:hAnsi="Times New Roman" w:cs="Times New Roman"/>
          <w:color w:val="000000" w:themeColor="text1"/>
          <w:sz w:val="24"/>
          <w:szCs w:val="24"/>
        </w:rPr>
        <w:t>, 1-9.</w:t>
      </w:r>
      <w:r w:rsidR="00C524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8" w:history="1">
        <w:r w:rsidR="00B7080D" w:rsidRPr="00491C65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https://doi.org/10.1186/s12913-021-06961-9</w:t>
        </w:r>
      </w:hyperlink>
      <w:r w:rsidR="00B708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5A8E056" w14:textId="77777777" w:rsidR="00A056EC" w:rsidRDefault="00A056EC" w:rsidP="00A056EC"/>
    <w:p w14:paraId="11ABC5E0" w14:textId="77777777" w:rsidR="00BA701B" w:rsidRDefault="00BA701B"/>
    <w:sectPr w:rsidR="00BA701B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727DB" w14:textId="77777777" w:rsidR="00C611A0" w:rsidRDefault="00C611A0" w:rsidP="00A056EC">
      <w:pPr>
        <w:spacing w:after="0" w:line="240" w:lineRule="auto"/>
      </w:pPr>
      <w:r>
        <w:separator/>
      </w:r>
    </w:p>
  </w:endnote>
  <w:endnote w:type="continuationSeparator" w:id="0">
    <w:p w14:paraId="37EE8B05" w14:textId="77777777" w:rsidR="00C611A0" w:rsidRDefault="00C611A0" w:rsidP="00A05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B5CDA" w14:textId="77777777" w:rsidR="00C611A0" w:rsidRDefault="00C611A0" w:rsidP="00A056EC">
      <w:pPr>
        <w:spacing w:after="0" w:line="240" w:lineRule="auto"/>
      </w:pPr>
      <w:r>
        <w:separator/>
      </w:r>
    </w:p>
  </w:footnote>
  <w:footnote w:type="continuationSeparator" w:id="0">
    <w:p w14:paraId="005DC582" w14:textId="77777777" w:rsidR="00C611A0" w:rsidRDefault="00C611A0" w:rsidP="00A05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556631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2984C57" w14:textId="5D1459FA" w:rsidR="00A056EC" w:rsidRDefault="00A056E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71E923" w14:textId="77777777" w:rsidR="00A056EC" w:rsidRDefault="00A056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6EC"/>
    <w:rsid w:val="00014296"/>
    <w:rsid w:val="000859AF"/>
    <w:rsid w:val="000B6B6A"/>
    <w:rsid w:val="000C619E"/>
    <w:rsid w:val="000D2DFB"/>
    <w:rsid w:val="000E1100"/>
    <w:rsid w:val="00104DD8"/>
    <w:rsid w:val="00157FCD"/>
    <w:rsid w:val="001600EE"/>
    <w:rsid w:val="001600FA"/>
    <w:rsid w:val="00181BAB"/>
    <w:rsid w:val="001B508B"/>
    <w:rsid w:val="001B73BA"/>
    <w:rsid w:val="001F1E3A"/>
    <w:rsid w:val="00287E7D"/>
    <w:rsid w:val="002D5D85"/>
    <w:rsid w:val="003016B4"/>
    <w:rsid w:val="00337AD1"/>
    <w:rsid w:val="00361CA9"/>
    <w:rsid w:val="003653CF"/>
    <w:rsid w:val="00366C92"/>
    <w:rsid w:val="00375483"/>
    <w:rsid w:val="0038734D"/>
    <w:rsid w:val="00397F57"/>
    <w:rsid w:val="003B26B7"/>
    <w:rsid w:val="003B4157"/>
    <w:rsid w:val="003D468D"/>
    <w:rsid w:val="003E5B96"/>
    <w:rsid w:val="004135A6"/>
    <w:rsid w:val="0041599C"/>
    <w:rsid w:val="00453E3B"/>
    <w:rsid w:val="00457707"/>
    <w:rsid w:val="00471D7A"/>
    <w:rsid w:val="00496AB9"/>
    <w:rsid w:val="004A0BC3"/>
    <w:rsid w:val="004B58D1"/>
    <w:rsid w:val="004D0700"/>
    <w:rsid w:val="004E687B"/>
    <w:rsid w:val="004F5A4C"/>
    <w:rsid w:val="00563356"/>
    <w:rsid w:val="005716C5"/>
    <w:rsid w:val="00582F83"/>
    <w:rsid w:val="005B474F"/>
    <w:rsid w:val="005C0B95"/>
    <w:rsid w:val="005D0414"/>
    <w:rsid w:val="006067EB"/>
    <w:rsid w:val="00626179"/>
    <w:rsid w:val="00630E57"/>
    <w:rsid w:val="00640102"/>
    <w:rsid w:val="00663961"/>
    <w:rsid w:val="00664DF8"/>
    <w:rsid w:val="00684926"/>
    <w:rsid w:val="006A4E90"/>
    <w:rsid w:val="006C574A"/>
    <w:rsid w:val="006C6B32"/>
    <w:rsid w:val="007033EB"/>
    <w:rsid w:val="00706B99"/>
    <w:rsid w:val="00725880"/>
    <w:rsid w:val="00727995"/>
    <w:rsid w:val="00795E45"/>
    <w:rsid w:val="007A136D"/>
    <w:rsid w:val="007E0800"/>
    <w:rsid w:val="00821110"/>
    <w:rsid w:val="00823844"/>
    <w:rsid w:val="00843F5B"/>
    <w:rsid w:val="008441B6"/>
    <w:rsid w:val="008613A5"/>
    <w:rsid w:val="00862482"/>
    <w:rsid w:val="00864828"/>
    <w:rsid w:val="008716E9"/>
    <w:rsid w:val="0089217D"/>
    <w:rsid w:val="008972E0"/>
    <w:rsid w:val="008C3DA8"/>
    <w:rsid w:val="008E0A88"/>
    <w:rsid w:val="008F24D8"/>
    <w:rsid w:val="008F44CC"/>
    <w:rsid w:val="008F7AD0"/>
    <w:rsid w:val="00921D1B"/>
    <w:rsid w:val="009240A0"/>
    <w:rsid w:val="00931FEA"/>
    <w:rsid w:val="009432B1"/>
    <w:rsid w:val="00997694"/>
    <w:rsid w:val="009A7516"/>
    <w:rsid w:val="009B1511"/>
    <w:rsid w:val="009C5FD1"/>
    <w:rsid w:val="00A056EC"/>
    <w:rsid w:val="00A37CE8"/>
    <w:rsid w:val="00A46BB4"/>
    <w:rsid w:val="00AF41F3"/>
    <w:rsid w:val="00B13CF6"/>
    <w:rsid w:val="00B7080D"/>
    <w:rsid w:val="00B807E2"/>
    <w:rsid w:val="00BA454C"/>
    <w:rsid w:val="00BA701B"/>
    <w:rsid w:val="00BA7C49"/>
    <w:rsid w:val="00BF14EE"/>
    <w:rsid w:val="00C00C06"/>
    <w:rsid w:val="00C06951"/>
    <w:rsid w:val="00C10F30"/>
    <w:rsid w:val="00C524B8"/>
    <w:rsid w:val="00C611A0"/>
    <w:rsid w:val="00C757A4"/>
    <w:rsid w:val="00C757C9"/>
    <w:rsid w:val="00C86BB6"/>
    <w:rsid w:val="00C9017A"/>
    <w:rsid w:val="00C93604"/>
    <w:rsid w:val="00CA410E"/>
    <w:rsid w:val="00CE15BF"/>
    <w:rsid w:val="00CE64F6"/>
    <w:rsid w:val="00D07019"/>
    <w:rsid w:val="00D24F3A"/>
    <w:rsid w:val="00D3294E"/>
    <w:rsid w:val="00D3571E"/>
    <w:rsid w:val="00D54C95"/>
    <w:rsid w:val="00D56DEF"/>
    <w:rsid w:val="00D57FE8"/>
    <w:rsid w:val="00DF794F"/>
    <w:rsid w:val="00E41296"/>
    <w:rsid w:val="00EC1265"/>
    <w:rsid w:val="00EF6667"/>
    <w:rsid w:val="00F07F59"/>
    <w:rsid w:val="00F13F62"/>
    <w:rsid w:val="00F221C0"/>
    <w:rsid w:val="00F24456"/>
    <w:rsid w:val="00F3362B"/>
    <w:rsid w:val="00F44215"/>
    <w:rsid w:val="00F5690B"/>
    <w:rsid w:val="00F733D0"/>
    <w:rsid w:val="00F96D60"/>
    <w:rsid w:val="00FC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78FBE"/>
  <w15:chartTrackingRefBased/>
  <w15:docId w15:val="{D14E2B06-77C8-4FBE-9072-57B873658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6EC"/>
    <w:pPr>
      <w:spacing w:line="259" w:lineRule="auto"/>
    </w:pPr>
    <w:rPr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56E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56E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56E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56E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56E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56E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56E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56E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56E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56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56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56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56E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56E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56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56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56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56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56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056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56E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056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56E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056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56EC"/>
    <w:pPr>
      <w:spacing w:line="278" w:lineRule="auto"/>
      <w:ind w:left="720"/>
      <w:contextualSpacing/>
    </w:pPr>
    <w:rPr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056E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56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56E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56E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056E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056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6EC"/>
    <w:rPr>
      <w:sz w:val="22"/>
      <w:szCs w:val="22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056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6EC"/>
    <w:rPr>
      <w:sz w:val="22"/>
      <w:szCs w:val="22"/>
      <w:lang w:val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3873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86/s12913-021-06961-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7759/cureus.3992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cpjournals.org/doi/pdf/10.7326/M19-2415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1167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116</cp:revision>
  <dcterms:created xsi:type="dcterms:W3CDTF">2025-06-09T12:36:00Z</dcterms:created>
  <dcterms:modified xsi:type="dcterms:W3CDTF">2025-06-09T18:56:00Z</dcterms:modified>
</cp:coreProperties>
</file>