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C0FDD" w14:textId="27DADCB2" w:rsidR="00E654CE" w:rsidRPr="00E654CE" w:rsidRDefault="00E654CE" w:rsidP="00E654CE">
      <w:pPr>
        <w:rPr>
          <w:rFonts w:eastAsia="Times New Roman" w:cs="Times New Roman"/>
          <w:b/>
          <w:bCs/>
          <w:szCs w:val="24"/>
          <w:lang w:val="en-GB" w:eastAsia="en-GB"/>
        </w:rPr>
      </w:pPr>
      <w:r w:rsidRPr="00E654CE">
        <w:rPr>
          <w:rFonts w:eastAsia="Times New Roman" w:cs="Times New Roman"/>
          <w:b/>
          <w:bCs/>
          <w:szCs w:val="24"/>
          <w:lang w:val="en-GB" w:eastAsia="en-GB"/>
        </w:rPr>
        <w:t xml:space="preserve">Hello </w:t>
      </w:r>
      <w:r w:rsidRPr="00E654CE">
        <w:rPr>
          <w:rFonts w:eastAsia="Times New Roman" w:cs="Times New Roman"/>
          <w:b/>
          <w:bCs/>
          <w:szCs w:val="24"/>
          <w:lang w:val="en-GB" w:eastAsia="en-GB"/>
        </w:rPr>
        <w:t>Melinda</w:t>
      </w:r>
    </w:p>
    <w:p w14:paraId="483938D9" w14:textId="0838FCCE" w:rsidR="00AA4F29" w:rsidRDefault="00E654CE" w:rsidP="002646D9">
      <w:pPr>
        <w:rPr>
          <w:rFonts w:eastAsia="Times New Roman" w:cs="Times New Roman"/>
          <w:bCs/>
          <w:szCs w:val="24"/>
          <w:lang w:val="en-GB" w:eastAsia="en-GB"/>
        </w:rPr>
      </w:pPr>
      <w:r>
        <w:rPr>
          <w:rFonts w:eastAsia="Times New Roman" w:cs="Times New Roman"/>
          <w:bCs/>
          <w:szCs w:val="24"/>
          <w:lang w:val="en-GB" w:eastAsia="en-GB"/>
        </w:rPr>
        <w:t xml:space="preserve">Thank you for your thoughtful and </w:t>
      </w:r>
      <w:r w:rsidR="002646D9">
        <w:rPr>
          <w:rFonts w:eastAsia="Times New Roman" w:cs="Times New Roman"/>
          <w:bCs/>
          <w:szCs w:val="24"/>
          <w:lang w:val="en-GB" w:eastAsia="en-GB"/>
        </w:rPr>
        <w:t xml:space="preserve">reflective discussion on your project regarding </w:t>
      </w:r>
      <w:r w:rsidRPr="00E654CE">
        <w:rPr>
          <w:rFonts w:eastAsia="Times New Roman" w:cs="Times New Roman"/>
          <w:bCs/>
          <w:szCs w:val="24"/>
          <w:lang w:val="en-GB" w:eastAsia="en-GB"/>
        </w:rPr>
        <w:t xml:space="preserve">clinical preparedness and remediation plans among nursing students is excellent. Semi-structured interviews </w:t>
      </w:r>
      <w:r w:rsidR="002646D9">
        <w:rPr>
          <w:rFonts w:eastAsia="Times New Roman" w:cs="Times New Roman"/>
          <w:bCs/>
          <w:szCs w:val="24"/>
          <w:lang w:val="en-GB" w:eastAsia="en-GB"/>
        </w:rPr>
        <w:t>are indeed effective in qualitative research because of their balance between flexibility and structure (</w:t>
      </w:r>
      <w:proofErr w:type="spellStart"/>
      <w:r w:rsidR="00AA4F29">
        <w:rPr>
          <w:rFonts w:eastAsia="Times New Roman" w:cs="Times New Roman"/>
          <w:bCs/>
          <w:szCs w:val="24"/>
          <w:lang w:val="en-GB" w:eastAsia="en-GB"/>
        </w:rPr>
        <w:t>DeJonckheere</w:t>
      </w:r>
      <w:proofErr w:type="spellEnd"/>
      <w:r w:rsidR="00AA4F29">
        <w:rPr>
          <w:rFonts w:eastAsia="Times New Roman" w:cs="Times New Roman"/>
          <w:bCs/>
          <w:szCs w:val="24"/>
          <w:lang w:val="en-GB" w:eastAsia="en-GB"/>
        </w:rPr>
        <w:t xml:space="preserve"> &amp; Vaugh, 2019</w:t>
      </w:r>
      <w:r w:rsidR="002646D9">
        <w:rPr>
          <w:rFonts w:eastAsia="Times New Roman" w:cs="Times New Roman"/>
          <w:bCs/>
          <w:szCs w:val="24"/>
          <w:lang w:val="en-GB" w:eastAsia="en-GB"/>
        </w:rPr>
        <w:t xml:space="preserve">). A well-designed interview protocol will help in collecting </w:t>
      </w:r>
      <w:r w:rsidRPr="00E654CE">
        <w:rPr>
          <w:rFonts w:eastAsia="Times New Roman" w:cs="Times New Roman"/>
          <w:bCs/>
          <w:szCs w:val="24"/>
          <w:lang w:val="en-GB" w:eastAsia="en-GB"/>
        </w:rPr>
        <w:t xml:space="preserve">rich </w:t>
      </w:r>
      <w:r w:rsidR="002646D9">
        <w:rPr>
          <w:rFonts w:eastAsia="Times New Roman" w:cs="Times New Roman"/>
          <w:bCs/>
          <w:szCs w:val="24"/>
          <w:lang w:val="en-GB" w:eastAsia="en-GB"/>
        </w:rPr>
        <w:t xml:space="preserve">insights into faculty’s opinions, </w:t>
      </w:r>
      <w:r w:rsidRPr="00E654CE">
        <w:rPr>
          <w:rFonts w:eastAsia="Times New Roman" w:cs="Times New Roman"/>
          <w:bCs/>
          <w:szCs w:val="24"/>
          <w:lang w:val="en-GB" w:eastAsia="en-GB"/>
        </w:rPr>
        <w:t xml:space="preserve">which suits your qualitative descriptive design well. </w:t>
      </w:r>
      <w:r w:rsidR="002646D9">
        <w:rPr>
          <w:rFonts w:eastAsia="Times New Roman" w:cs="Times New Roman"/>
          <w:bCs/>
          <w:szCs w:val="24"/>
          <w:lang w:val="en-GB" w:eastAsia="en-GB"/>
        </w:rPr>
        <w:t>The wording of your</w:t>
      </w:r>
      <w:r w:rsidRPr="00E654CE">
        <w:rPr>
          <w:rFonts w:eastAsia="Times New Roman" w:cs="Times New Roman"/>
          <w:bCs/>
          <w:szCs w:val="24"/>
          <w:lang w:val="en-GB" w:eastAsia="en-GB"/>
        </w:rPr>
        <w:t xml:space="preserve"> open-ended</w:t>
      </w:r>
      <w:r w:rsidR="002646D9">
        <w:rPr>
          <w:rFonts w:eastAsia="Times New Roman" w:cs="Times New Roman"/>
          <w:bCs/>
          <w:szCs w:val="24"/>
          <w:lang w:val="en-GB" w:eastAsia="en-GB"/>
        </w:rPr>
        <w:t xml:space="preserve"> interview</w:t>
      </w:r>
      <w:r w:rsidRPr="00E654CE">
        <w:rPr>
          <w:rFonts w:eastAsia="Times New Roman" w:cs="Times New Roman"/>
          <w:bCs/>
          <w:szCs w:val="24"/>
          <w:lang w:val="en-GB" w:eastAsia="en-GB"/>
        </w:rPr>
        <w:t xml:space="preserve"> questions </w:t>
      </w:r>
      <w:r w:rsidR="002646D9">
        <w:rPr>
          <w:rFonts w:eastAsia="Times New Roman" w:cs="Times New Roman"/>
          <w:bCs/>
          <w:szCs w:val="24"/>
          <w:lang w:val="en-GB" w:eastAsia="en-GB"/>
        </w:rPr>
        <w:t xml:space="preserve">would </w:t>
      </w:r>
      <w:r w:rsidRPr="00E654CE">
        <w:rPr>
          <w:rFonts w:eastAsia="Times New Roman" w:cs="Times New Roman"/>
          <w:bCs/>
          <w:szCs w:val="24"/>
          <w:lang w:val="en-GB" w:eastAsia="en-GB"/>
        </w:rPr>
        <w:t xml:space="preserve">elicit </w:t>
      </w:r>
      <w:r w:rsidR="002646D9">
        <w:rPr>
          <w:rFonts w:eastAsia="Times New Roman" w:cs="Times New Roman"/>
          <w:bCs/>
          <w:szCs w:val="24"/>
          <w:lang w:val="en-GB" w:eastAsia="en-GB"/>
        </w:rPr>
        <w:t xml:space="preserve">detailed narratives, which </w:t>
      </w:r>
      <w:r w:rsidR="00AA4F29">
        <w:rPr>
          <w:rFonts w:eastAsia="Times New Roman" w:cs="Times New Roman"/>
          <w:bCs/>
          <w:szCs w:val="24"/>
          <w:lang w:val="en-GB" w:eastAsia="en-GB"/>
        </w:rPr>
        <w:t xml:space="preserve">Denny and </w:t>
      </w:r>
      <w:proofErr w:type="spellStart"/>
      <w:r w:rsidR="00AA4F29">
        <w:rPr>
          <w:rFonts w:eastAsia="Times New Roman" w:cs="Times New Roman"/>
          <w:bCs/>
          <w:szCs w:val="24"/>
          <w:lang w:val="en-GB" w:eastAsia="en-GB"/>
        </w:rPr>
        <w:t>Weckesser</w:t>
      </w:r>
      <w:proofErr w:type="spellEnd"/>
      <w:r w:rsidR="00AA4F29">
        <w:rPr>
          <w:rFonts w:eastAsia="Times New Roman" w:cs="Times New Roman"/>
          <w:bCs/>
          <w:szCs w:val="24"/>
          <w:lang w:val="en-GB" w:eastAsia="en-GB"/>
        </w:rPr>
        <w:t xml:space="preserve"> (2022) found</w:t>
      </w:r>
      <w:r w:rsidR="002646D9">
        <w:rPr>
          <w:rFonts w:eastAsia="Times New Roman" w:cs="Times New Roman"/>
          <w:bCs/>
          <w:szCs w:val="24"/>
          <w:lang w:val="en-GB" w:eastAsia="en-GB"/>
        </w:rPr>
        <w:t xml:space="preserve"> essential for a rich </w:t>
      </w:r>
      <w:r w:rsidRPr="00E654CE">
        <w:rPr>
          <w:rFonts w:eastAsia="Times New Roman" w:cs="Times New Roman"/>
          <w:bCs/>
          <w:szCs w:val="24"/>
          <w:lang w:val="en-GB" w:eastAsia="en-GB"/>
        </w:rPr>
        <w:t xml:space="preserve">thematic analysis. The inclusion of simulation-based remediation is timely and appropriate, considering the greater focus on experiential learning in nursing academies. </w:t>
      </w:r>
      <w:r w:rsidR="00AA4F29">
        <w:rPr>
          <w:rFonts w:eastAsia="Times New Roman" w:cs="Times New Roman"/>
          <w:bCs/>
          <w:szCs w:val="24"/>
          <w:lang w:val="en-GB" w:eastAsia="en-GB"/>
        </w:rPr>
        <w:t>As supported by Galura et al. (2022), s</w:t>
      </w:r>
      <w:r w:rsidR="002646D9">
        <w:rPr>
          <w:rFonts w:eastAsia="Times New Roman" w:cs="Times New Roman"/>
          <w:bCs/>
          <w:szCs w:val="24"/>
          <w:lang w:val="en-GB" w:eastAsia="en-GB"/>
        </w:rPr>
        <w:t>upplementing the interviews with a survey</w:t>
      </w:r>
      <w:r w:rsidR="00AA4F29">
        <w:rPr>
          <w:rFonts w:eastAsia="Times New Roman" w:cs="Times New Roman"/>
          <w:bCs/>
          <w:szCs w:val="24"/>
          <w:lang w:val="en-GB" w:eastAsia="en-GB"/>
        </w:rPr>
        <w:t xml:space="preserve"> offers a way of triangulating the data for deeper insights, further improving the credibility and validity of the findings. </w:t>
      </w:r>
      <w:r w:rsidRPr="00E654CE">
        <w:rPr>
          <w:rFonts w:eastAsia="Times New Roman" w:cs="Times New Roman"/>
          <w:bCs/>
          <w:szCs w:val="24"/>
          <w:lang w:val="en-GB" w:eastAsia="en-GB"/>
        </w:rPr>
        <w:t>Overall, your project</w:t>
      </w:r>
      <w:r w:rsidR="00AA4F29">
        <w:rPr>
          <w:rFonts w:eastAsia="Times New Roman" w:cs="Times New Roman"/>
          <w:bCs/>
          <w:szCs w:val="24"/>
          <w:lang w:val="en-GB" w:eastAsia="en-GB"/>
        </w:rPr>
        <w:t xml:space="preserve"> could offer an evidence-based and sustainable approach to changing remediation strategies for nursing students. All the best. </w:t>
      </w:r>
    </w:p>
    <w:p w14:paraId="6F2298DB" w14:textId="44A607A6" w:rsidR="00AA4F29" w:rsidRDefault="00AA4F29" w:rsidP="00AA4F29">
      <w:pPr>
        <w:jc w:val="center"/>
        <w:rPr>
          <w:rFonts w:eastAsia="Times New Roman" w:cs="Times New Roman"/>
          <w:b/>
          <w:bCs/>
          <w:szCs w:val="24"/>
          <w:lang w:val="en-GB" w:eastAsia="en-GB"/>
        </w:rPr>
      </w:pPr>
      <w:r>
        <w:rPr>
          <w:rFonts w:eastAsia="Times New Roman" w:cs="Times New Roman"/>
          <w:b/>
          <w:bCs/>
          <w:szCs w:val="24"/>
          <w:lang w:val="en-GB" w:eastAsia="en-GB"/>
        </w:rPr>
        <w:t xml:space="preserve">References </w:t>
      </w:r>
    </w:p>
    <w:p w14:paraId="27A3B5A6" w14:textId="77777777" w:rsidR="00AA4F29" w:rsidRPr="00AA4F29" w:rsidRDefault="00AA4F29" w:rsidP="00AA4F29">
      <w:pPr>
        <w:ind w:left="720" w:hanging="720"/>
        <w:rPr>
          <w:rFonts w:eastAsia="Times New Roman" w:cs="Times New Roman"/>
          <w:b/>
          <w:bCs/>
          <w:szCs w:val="24"/>
          <w:lang w:val="en-GB" w:eastAsia="en-GB"/>
        </w:rPr>
      </w:pPr>
      <w:proofErr w:type="spellStart"/>
      <w:r w:rsidRPr="00AA4F29">
        <w:rPr>
          <w:rFonts w:cs="Times New Roman"/>
          <w:color w:val="1B1B1B"/>
          <w:shd w:val="clear" w:color="auto" w:fill="FFFFFF"/>
        </w:rPr>
        <w:t>DeJonckheere</w:t>
      </w:r>
      <w:proofErr w:type="spellEnd"/>
      <w:r w:rsidRPr="00AA4F29">
        <w:rPr>
          <w:rFonts w:cs="Times New Roman"/>
          <w:color w:val="1B1B1B"/>
          <w:shd w:val="clear" w:color="auto" w:fill="FFFFFF"/>
        </w:rPr>
        <w:t xml:space="preserve">, M., &amp; Vaughn, L. M. (2019). </w:t>
      </w:r>
      <w:proofErr w:type="spellStart"/>
      <w:r w:rsidRPr="00AA4F29">
        <w:rPr>
          <w:rFonts w:cs="Times New Roman"/>
          <w:color w:val="1B1B1B"/>
          <w:shd w:val="clear" w:color="auto" w:fill="FFFFFF"/>
        </w:rPr>
        <w:t>Semistructured</w:t>
      </w:r>
      <w:proofErr w:type="spellEnd"/>
      <w:r w:rsidRPr="00AA4F29">
        <w:rPr>
          <w:rFonts w:cs="Times New Roman"/>
          <w:color w:val="1B1B1B"/>
          <w:shd w:val="clear" w:color="auto" w:fill="FFFFFF"/>
        </w:rPr>
        <w:t xml:space="preserve"> interviewing in primary care research: </w:t>
      </w:r>
      <w:r w:rsidRPr="00AA4F29">
        <w:rPr>
          <w:rFonts w:cs="Times New Roman"/>
          <w:color w:val="1B1B1B"/>
          <w:shd w:val="clear" w:color="auto" w:fill="FFFFFF"/>
        </w:rPr>
        <w:t>A</w:t>
      </w:r>
      <w:r w:rsidRPr="00AA4F29">
        <w:rPr>
          <w:rFonts w:cs="Times New Roman"/>
          <w:color w:val="1B1B1B"/>
          <w:shd w:val="clear" w:color="auto" w:fill="FFFFFF"/>
        </w:rPr>
        <w:t xml:space="preserve"> balance of relationship and </w:t>
      </w:r>
      <w:proofErr w:type="spellStart"/>
      <w:r w:rsidRPr="00AA4F29">
        <w:rPr>
          <w:rFonts w:cs="Times New Roman"/>
          <w:color w:val="1B1B1B"/>
          <w:shd w:val="clear" w:color="auto" w:fill="FFFFFF"/>
        </w:rPr>
        <w:t>rigour</w:t>
      </w:r>
      <w:proofErr w:type="spellEnd"/>
      <w:r w:rsidRPr="00AA4F29">
        <w:rPr>
          <w:rFonts w:cs="Times New Roman"/>
          <w:color w:val="1B1B1B"/>
          <w:shd w:val="clear" w:color="auto" w:fill="FFFFFF"/>
        </w:rPr>
        <w:t>. </w:t>
      </w:r>
      <w:r w:rsidRPr="00AA4F29">
        <w:rPr>
          <w:rFonts w:cs="Times New Roman"/>
          <w:i/>
          <w:iCs/>
          <w:color w:val="1B1B1B"/>
          <w:shd w:val="clear" w:color="auto" w:fill="FFFFFF"/>
        </w:rPr>
        <w:t xml:space="preserve">Family </w:t>
      </w:r>
      <w:r w:rsidRPr="00AA4F29">
        <w:rPr>
          <w:rFonts w:cs="Times New Roman"/>
          <w:i/>
          <w:iCs/>
          <w:color w:val="1B1B1B"/>
          <w:shd w:val="clear" w:color="auto" w:fill="FFFFFF"/>
        </w:rPr>
        <w:t xml:space="preserve">Medicine </w:t>
      </w:r>
      <w:r w:rsidRPr="00AA4F29">
        <w:rPr>
          <w:rFonts w:cs="Times New Roman"/>
          <w:i/>
          <w:iCs/>
          <w:color w:val="1B1B1B"/>
          <w:shd w:val="clear" w:color="auto" w:fill="FFFFFF"/>
        </w:rPr>
        <w:t xml:space="preserve">and </w:t>
      </w:r>
      <w:r w:rsidRPr="00AA4F29">
        <w:rPr>
          <w:rFonts w:cs="Times New Roman"/>
          <w:i/>
          <w:iCs/>
          <w:color w:val="1B1B1B"/>
          <w:shd w:val="clear" w:color="auto" w:fill="FFFFFF"/>
        </w:rPr>
        <w:t>Community Health</w:t>
      </w:r>
      <w:r w:rsidRPr="00AA4F29">
        <w:rPr>
          <w:rFonts w:cs="Times New Roman"/>
          <w:color w:val="1B1B1B"/>
          <w:shd w:val="clear" w:color="auto" w:fill="FFFFFF"/>
        </w:rPr>
        <w:t>, </w:t>
      </w:r>
      <w:r w:rsidRPr="00AA4F29">
        <w:rPr>
          <w:rFonts w:cs="Times New Roman"/>
          <w:i/>
          <w:iCs/>
          <w:color w:val="1B1B1B"/>
          <w:shd w:val="clear" w:color="auto" w:fill="FFFFFF"/>
        </w:rPr>
        <w:t>7</w:t>
      </w:r>
      <w:r w:rsidRPr="00AA4F29">
        <w:rPr>
          <w:rFonts w:cs="Times New Roman"/>
          <w:color w:val="1B1B1B"/>
          <w:shd w:val="clear" w:color="auto" w:fill="FFFFFF"/>
        </w:rPr>
        <w:t xml:space="preserve">(2), e000057. </w:t>
      </w:r>
      <w:hyperlink r:id="rId4" w:history="1">
        <w:r w:rsidRPr="00AA4F29">
          <w:rPr>
            <w:rStyle w:val="Hyperlink"/>
            <w:rFonts w:cs="Times New Roman"/>
            <w:shd w:val="clear" w:color="auto" w:fill="FFFFFF"/>
          </w:rPr>
          <w:t>https://doi.org/10.1136/fmch-2018-000057</w:t>
        </w:r>
      </w:hyperlink>
      <w:r w:rsidRPr="00AA4F29">
        <w:rPr>
          <w:rFonts w:cs="Times New Roman"/>
          <w:color w:val="1B1B1B"/>
          <w:shd w:val="clear" w:color="auto" w:fill="FFFFFF"/>
        </w:rPr>
        <w:t xml:space="preserve"> </w:t>
      </w:r>
    </w:p>
    <w:p w14:paraId="4E7C718D" w14:textId="77777777" w:rsidR="00AA4F29" w:rsidRPr="00AA4F29" w:rsidRDefault="00AA4F29" w:rsidP="00AA4F29">
      <w:pPr>
        <w:ind w:left="720" w:hanging="720"/>
        <w:rPr>
          <w:rFonts w:cs="Times New Roman"/>
          <w:color w:val="1B1B1B"/>
          <w:shd w:val="clear" w:color="auto" w:fill="FFFFFF"/>
        </w:rPr>
      </w:pPr>
      <w:r w:rsidRPr="00AA4F29">
        <w:rPr>
          <w:rFonts w:cs="Times New Roman"/>
          <w:color w:val="1B1B1B"/>
          <w:shd w:val="clear" w:color="auto" w:fill="FFFFFF"/>
        </w:rPr>
        <w:t xml:space="preserve">Denny, E., &amp; </w:t>
      </w:r>
      <w:proofErr w:type="spellStart"/>
      <w:r w:rsidRPr="00AA4F29">
        <w:rPr>
          <w:rFonts w:cs="Times New Roman"/>
          <w:color w:val="1B1B1B"/>
          <w:shd w:val="clear" w:color="auto" w:fill="FFFFFF"/>
        </w:rPr>
        <w:t>Weckesser</w:t>
      </w:r>
      <w:proofErr w:type="spellEnd"/>
      <w:r w:rsidRPr="00AA4F29">
        <w:rPr>
          <w:rFonts w:cs="Times New Roman"/>
          <w:color w:val="1B1B1B"/>
          <w:shd w:val="clear" w:color="auto" w:fill="FFFFFF"/>
        </w:rPr>
        <w:t xml:space="preserve">, A. (2022). How to do qualitative </w:t>
      </w:r>
      <w:proofErr w:type="gramStart"/>
      <w:r w:rsidRPr="00AA4F29">
        <w:rPr>
          <w:rFonts w:cs="Times New Roman"/>
          <w:color w:val="1B1B1B"/>
          <w:shd w:val="clear" w:color="auto" w:fill="FFFFFF"/>
        </w:rPr>
        <w:t>research?:</w:t>
      </w:r>
      <w:proofErr w:type="gramEnd"/>
      <w:r w:rsidRPr="00AA4F29">
        <w:rPr>
          <w:rFonts w:cs="Times New Roman"/>
          <w:color w:val="1B1B1B"/>
          <w:shd w:val="clear" w:color="auto" w:fill="FFFFFF"/>
        </w:rPr>
        <w:t xml:space="preserve"> Qualitative research methods. </w:t>
      </w:r>
      <w:proofErr w:type="gramStart"/>
      <w:r w:rsidRPr="00AA4F29">
        <w:rPr>
          <w:rFonts w:cs="Times New Roman"/>
          <w:i/>
          <w:iCs/>
          <w:color w:val="1B1B1B"/>
          <w:shd w:val="clear" w:color="auto" w:fill="FFFFFF"/>
        </w:rPr>
        <w:t>BJOG :</w:t>
      </w:r>
      <w:proofErr w:type="gramEnd"/>
      <w:r w:rsidRPr="00AA4F29">
        <w:rPr>
          <w:rFonts w:cs="Times New Roman"/>
          <w:i/>
          <w:iCs/>
          <w:color w:val="1B1B1B"/>
          <w:shd w:val="clear" w:color="auto" w:fill="FFFFFF"/>
        </w:rPr>
        <w:t xml:space="preserve"> an international journal of obstetrics and </w:t>
      </w:r>
      <w:proofErr w:type="spellStart"/>
      <w:r w:rsidRPr="00AA4F29">
        <w:rPr>
          <w:rFonts w:cs="Times New Roman"/>
          <w:i/>
          <w:iCs/>
          <w:color w:val="1B1B1B"/>
          <w:shd w:val="clear" w:color="auto" w:fill="FFFFFF"/>
        </w:rPr>
        <w:t>gynaecology</w:t>
      </w:r>
      <w:proofErr w:type="spellEnd"/>
      <w:r w:rsidRPr="00AA4F29">
        <w:rPr>
          <w:rFonts w:cs="Times New Roman"/>
          <w:color w:val="1B1B1B"/>
          <w:shd w:val="clear" w:color="auto" w:fill="FFFFFF"/>
        </w:rPr>
        <w:t>, </w:t>
      </w:r>
      <w:r w:rsidRPr="00AA4F29">
        <w:rPr>
          <w:rFonts w:cs="Times New Roman"/>
          <w:i/>
          <w:iCs/>
          <w:color w:val="1B1B1B"/>
          <w:shd w:val="clear" w:color="auto" w:fill="FFFFFF"/>
        </w:rPr>
        <w:t>129</w:t>
      </w:r>
      <w:r w:rsidRPr="00AA4F29">
        <w:rPr>
          <w:rFonts w:cs="Times New Roman"/>
          <w:color w:val="1B1B1B"/>
          <w:shd w:val="clear" w:color="auto" w:fill="FFFFFF"/>
        </w:rPr>
        <w:t xml:space="preserve">(7), 1166–1167. </w:t>
      </w:r>
      <w:hyperlink r:id="rId5" w:history="1">
        <w:r w:rsidRPr="00AA4F29">
          <w:rPr>
            <w:rStyle w:val="Hyperlink"/>
            <w:rFonts w:cs="Times New Roman"/>
            <w:shd w:val="clear" w:color="auto" w:fill="FFFFFF"/>
          </w:rPr>
          <w:t>https://doi.org/10.1111/1471-0528.17150</w:t>
        </w:r>
      </w:hyperlink>
    </w:p>
    <w:p w14:paraId="171D1CAB" w14:textId="77777777" w:rsidR="00AA4F29" w:rsidRPr="00AA4F29" w:rsidRDefault="00AA4F29" w:rsidP="00AA4F29">
      <w:pPr>
        <w:ind w:left="720" w:hanging="720"/>
        <w:rPr>
          <w:rFonts w:cs="Times New Roman"/>
          <w:color w:val="212121"/>
          <w:shd w:val="clear" w:color="auto" w:fill="FFFFFF"/>
        </w:rPr>
      </w:pPr>
      <w:r w:rsidRPr="00AA4F29">
        <w:rPr>
          <w:rFonts w:cs="Times New Roman"/>
          <w:color w:val="212121"/>
          <w:shd w:val="clear" w:color="auto" w:fill="FFFFFF"/>
        </w:rPr>
        <w:t xml:space="preserve">Galura, S. J., Horan, K. A., Parchment, J., </w:t>
      </w:r>
      <w:proofErr w:type="spellStart"/>
      <w:r w:rsidRPr="00AA4F29">
        <w:rPr>
          <w:rFonts w:cs="Times New Roman"/>
          <w:color w:val="212121"/>
          <w:shd w:val="clear" w:color="auto" w:fill="FFFFFF"/>
        </w:rPr>
        <w:t>Penoyer</w:t>
      </w:r>
      <w:proofErr w:type="spellEnd"/>
      <w:r w:rsidRPr="00AA4F29">
        <w:rPr>
          <w:rFonts w:cs="Times New Roman"/>
          <w:color w:val="212121"/>
          <w:shd w:val="clear" w:color="auto" w:fill="FFFFFF"/>
        </w:rPr>
        <w:t xml:space="preserve">, D., </w:t>
      </w:r>
      <w:proofErr w:type="spellStart"/>
      <w:r w:rsidRPr="00AA4F29">
        <w:rPr>
          <w:rFonts w:cs="Times New Roman"/>
          <w:color w:val="212121"/>
          <w:shd w:val="clear" w:color="auto" w:fill="FFFFFF"/>
        </w:rPr>
        <w:t>Schlotzhauer</w:t>
      </w:r>
      <w:proofErr w:type="spellEnd"/>
      <w:r w:rsidRPr="00AA4F29">
        <w:rPr>
          <w:rFonts w:cs="Times New Roman"/>
          <w:color w:val="212121"/>
          <w:shd w:val="clear" w:color="auto" w:fill="FFFFFF"/>
        </w:rPr>
        <w:t>, A., Dye, K., &amp; Hill, E. (2022). Frame of reference training for content analysis with structured teams (FORT-</w:t>
      </w:r>
      <w:r w:rsidRPr="00AA4F29">
        <w:rPr>
          <w:rFonts w:cs="Times New Roman"/>
          <w:color w:val="212121"/>
          <w:shd w:val="clear" w:color="auto" w:fill="FFFFFF"/>
        </w:rPr>
        <w:lastRenderedPageBreak/>
        <w:t>CAST): A framework for content analysis of open-ended survey questions using multidisciplinary coders. </w:t>
      </w:r>
      <w:r w:rsidRPr="00AA4F29">
        <w:rPr>
          <w:rFonts w:cs="Times New Roman"/>
          <w:i/>
          <w:iCs/>
          <w:color w:val="212121"/>
          <w:shd w:val="clear" w:color="auto" w:fill="FFFFFF"/>
        </w:rPr>
        <w:t xml:space="preserve">Research in </w:t>
      </w:r>
      <w:r w:rsidRPr="00AA4F29">
        <w:rPr>
          <w:rFonts w:cs="Times New Roman"/>
          <w:i/>
          <w:iCs/>
          <w:color w:val="212121"/>
          <w:shd w:val="clear" w:color="auto" w:fill="FFFFFF"/>
        </w:rPr>
        <w:t xml:space="preserve">Nursing </w:t>
      </w:r>
      <w:r w:rsidRPr="00AA4F29">
        <w:rPr>
          <w:rFonts w:cs="Times New Roman"/>
          <w:i/>
          <w:iCs/>
          <w:color w:val="212121"/>
          <w:shd w:val="clear" w:color="auto" w:fill="FFFFFF"/>
        </w:rPr>
        <w:t xml:space="preserve">&amp; </w:t>
      </w:r>
      <w:r w:rsidRPr="00AA4F29">
        <w:rPr>
          <w:rFonts w:cs="Times New Roman"/>
          <w:i/>
          <w:iCs/>
          <w:color w:val="212121"/>
          <w:shd w:val="clear" w:color="auto" w:fill="FFFFFF"/>
        </w:rPr>
        <w:t>Health</w:t>
      </w:r>
      <w:r w:rsidRPr="00AA4F29">
        <w:rPr>
          <w:rFonts w:cs="Times New Roman"/>
          <w:color w:val="212121"/>
          <w:shd w:val="clear" w:color="auto" w:fill="FFFFFF"/>
        </w:rPr>
        <w:t>, </w:t>
      </w:r>
      <w:r w:rsidRPr="00AA4F29">
        <w:rPr>
          <w:rFonts w:cs="Times New Roman"/>
          <w:i/>
          <w:iCs/>
          <w:color w:val="212121"/>
          <w:shd w:val="clear" w:color="auto" w:fill="FFFFFF"/>
        </w:rPr>
        <w:t>45</w:t>
      </w:r>
      <w:r w:rsidRPr="00AA4F29">
        <w:rPr>
          <w:rFonts w:cs="Times New Roman"/>
          <w:color w:val="212121"/>
          <w:shd w:val="clear" w:color="auto" w:fill="FFFFFF"/>
        </w:rPr>
        <w:t xml:space="preserve">(4), 477–487. </w:t>
      </w:r>
      <w:hyperlink r:id="rId6" w:history="1">
        <w:r w:rsidRPr="00AA4F29">
          <w:rPr>
            <w:rStyle w:val="Hyperlink"/>
            <w:rFonts w:cs="Times New Roman"/>
            <w:shd w:val="clear" w:color="auto" w:fill="FFFFFF"/>
          </w:rPr>
          <w:t>https://doi.org/10.1002/nur.22227</w:t>
        </w:r>
      </w:hyperlink>
      <w:r w:rsidRPr="00AA4F29">
        <w:rPr>
          <w:rFonts w:cs="Times New Roman"/>
          <w:color w:val="212121"/>
          <w:shd w:val="clear" w:color="auto" w:fill="FFFFFF"/>
        </w:rPr>
        <w:t xml:space="preserve"> </w:t>
      </w:r>
    </w:p>
    <w:p w14:paraId="755D64EF" w14:textId="77777777" w:rsidR="00AA4F29" w:rsidRDefault="00AA4F29">
      <w:pPr>
        <w:rPr>
          <w:rFonts w:eastAsia="Times New Roman" w:cs="Times New Roman"/>
          <w:bCs/>
          <w:szCs w:val="24"/>
          <w:lang w:val="en-GB" w:eastAsia="en-GB"/>
        </w:rPr>
      </w:pPr>
      <w:r>
        <w:rPr>
          <w:rFonts w:eastAsia="Times New Roman" w:cs="Times New Roman"/>
          <w:bCs/>
          <w:szCs w:val="24"/>
          <w:lang w:val="en-GB" w:eastAsia="en-GB"/>
        </w:rPr>
        <w:br w:type="page"/>
      </w:r>
    </w:p>
    <w:p w14:paraId="3BE125D4" w14:textId="77777777" w:rsidR="00AA4F29" w:rsidRPr="00AA4F29" w:rsidRDefault="00AA4F29" w:rsidP="00E654CE">
      <w:pPr>
        <w:rPr>
          <w:rFonts w:eastAsia="Times New Roman" w:cs="Times New Roman"/>
          <w:b/>
          <w:bCs/>
          <w:szCs w:val="24"/>
          <w:lang w:val="en-GB" w:eastAsia="en-GB"/>
        </w:rPr>
      </w:pPr>
      <w:r w:rsidRPr="00AA4F29">
        <w:rPr>
          <w:rFonts w:eastAsia="Times New Roman" w:cs="Times New Roman"/>
          <w:b/>
          <w:bCs/>
          <w:szCs w:val="24"/>
          <w:lang w:val="en-GB" w:eastAsia="en-GB"/>
        </w:rPr>
        <w:lastRenderedPageBreak/>
        <w:t xml:space="preserve">Hi </w:t>
      </w:r>
      <w:r w:rsidR="00E654CE" w:rsidRPr="00AA4F29">
        <w:rPr>
          <w:rFonts w:eastAsia="Times New Roman" w:cs="Times New Roman"/>
          <w:b/>
          <w:bCs/>
          <w:szCs w:val="24"/>
          <w:lang w:val="en-GB" w:eastAsia="en-GB"/>
        </w:rPr>
        <w:t>Roselyn</w:t>
      </w:r>
    </w:p>
    <w:p w14:paraId="5646B313" w14:textId="55CEC77A" w:rsidR="00E654CE" w:rsidRPr="00E654CE" w:rsidRDefault="00AA4F29" w:rsidP="00E654CE">
      <w:pPr>
        <w:rPr>
          <w:rFonts w:eastAsia="Times New Roman" w:cs="Times New Roman"/>
          <w:bCs/>
          <w:szCs w:val="24"/>
          <w:lang w:val="en-GB" w:eastAsia="en-GB"/>
        </w:rPr>
      </w:pPr>
      <w:r>
        <w:rPr>
          <w:rFonts w:eastAsia="Times New Roman" w:cs="Times New Roman"/>
          <w:bCs/>
          <w:szCs w:val="24"/>
          <w:lang w:val="en-GB" w:eastAsia="en-GB"/>
        </w:rPr>
        <w:t>Y</w:t>
      </w:r>
      <w:r w:rsidR="00E654CE" w:rsidRPr="00E654CE">
        <w:rPr>
          <w:rFonts w:eastAsia="Times New Roman" w:cs="Times New Roman"/>
          <w:bCs/>
          <w:szCs w:val="24"/>
          <w:lang w:val="en-GB" w:eastAsia="en-GB"/>
        </w:rPr>
        <w:t xml:space="preserve">our </w:t>
      </w:r>
      <w:r>
        <w:rPr>
          <w:rFonts w:eastAsia="Times New Roman" w:cs="Times New Roman"/>
          <w:bCs/>
          <w:szCs w:val="24"/>
          <w:lang w:val="en-GB" w:eastAsia="en-GB"/>
        </w:rPr>
        <w:t>focus on</w:t>
      </w:r>
      <w:r w:rsidR="00E654CE" w:rsidRPr="00E654CE">
        <w:rPr>
          <w:rFonts w:eastAsia="Times New Roman" w:cs="Times New Roman"/>
          <w:bCs/>
          <w:szCs w:val="24"/>
          <w:lang w:val="en-GB" w:eastAsia="en-GB"/>
        </w:rPr>
        <w:t xml:space="preserve"> the lived experiences of novice nurse educators is particularly timely in light of nursing faculty shortages and rising numbers of clinicians stepping into academic faculty positions.</w:t>
      </w:r>
      <w:r>
        <w:rPr>
          <w:rFonts w:eastAsia="Times New Roman" w:cs="Times New Roman"/>
          <w:bCs/>
          <w:szCs w:val="24"/>
          <w:lang w:val="en-GB" w:eastAsia="en-GB"/>
        </w:rPr>
        <w:t xml:space="preserve"> As a form of qualitative methods, the phenomenological design offers a suitable approach to understanding the lived experiences (</w:t>
      </w:r>
      <w:r w:rsidR="00B16B32">
        <w:rPr>
          <w:rFonts w:eastAsia="Times New Roman" w:cs="Times New Roman"/>
          <w:bCs/>
          <w:szCs w:val="24"/>
          <w:lang w:val="en-GB" w:eastAsia="en-GB"/>
        </w:rPr>
        <w:t>Neubauer et al., 2019</w:t>
      </w:r>
      <w:r>
        <w:rPr>
          <w:rFonts w:eastAsia="Times New Roman" w:cs="Times New Roman"/>
          <w:bCs/>
          <w:szCs w:val="24"/>
          <w:lang w:val="en-GB" w:eastAsia="en-GB"/>
        </w:rPr>
        <w:t xml:space="preserve">). </w:t>
      </w:r>
      <w:r w:rsidR="00E654CE" w:rsidRPr="00E654CE">
        <w:rPr>
          <w:rFonts w:eastAsia="Times New Roman" w:cs="Times New Roman"/>
          <w:bCs/>
          <w:szCs w:val="24"/>
          <w:lang w:val="en-GB" w:eastAsia="en-GB"/>
        </w:rPr>
        <w:t>The breadth and depth of your interview questions clearly show intentionality in bringing forth challenges and opportunities for growth, ensuring your data collection is solid and effective</w:t>
      </w:r>
      <w:r>
        <w:rPr>
          <w:rFonts w:eastAsia="Times New Roman" w:cs="Times New Roman"/>
          <w:bCs/>
          <w:szCs w:val="24"/>
          <w:lang w:val="en-GB" w:eastAsia="en-GB"/>
        </w:rPr>
        <w:t xml:space="preserve"> (</w:t>
      </w:r>
      <w:proofErr w:type="spellStart"/>
      <w:r>
        <w:rPr>
          <w:rFonts w:eastAsia="Times New Roman" w:cs="Times New Roman"/>
          <w:bCs/>
          <w:szCs w:val="24"/>
          <w:lang w:val="en-GB" w:eastAsia="en-GB"/>
        </w:rPr>
        <w:t>DeJonckheere</w:t>
      </w:r>
      <w:proofErr w:type="spellEnd"/>
      <w:r>
        <w:rPr>
          <w:rFonts w:eastAsia="Times New Roman" w:cs="Times New Roman"/>
          <w:bCs/>
          <w:szCs w:val="24"/>
          <w:lang w:val="en-GB" w:eastAsia="en-GB"/>
        </w:rPr>
        <w:t xml:space="preserve"> &amp; Vaughn, 2019)</w:t>
      </w:r>
      <w:r w:rsidR="00E654CE" w:rsidRPr="00E654CE">
        <w:rPr>
          <w:rFonts w:eastAsia="Times New Roman" w:cs="Times New Roman"/>
          <w:bCs/>
          <w:szCs w:val="24"/>
          <w:lang w:val="en-GB" w:eastAsia="en-GB"/>
        </w:rPr>
        <w:t>. I like best how your project aligns with a real-world objective</w:t>
      </w:r>
      <w:r>
        <w:rPr>
          <w:rFonts w:eastAsia="Times New Roman" w:cs="Times New Roman"/>
          <w:bCs/>
          <w:szCs w:val="24"/>
          <w:lang w:val="en-GB" w:eastAsia="en-GB"/>
        </w:rPr>
        <w:t xml:space="preserve"> by </w:t>
      </w:r>
      <w:r w:rsidR="00E654CE" w:rsidRPr="00E654CE">
        <w:rPr>
          <w:rFonts w:eastAsia="Times New Roman" w:cs="Times New Roman"/>
          <w:bCs/>
          <w:szCs w:val="24"/>
          <w:lang w:val="en-GB" w:eastAsia="en-GB"/>
        </w:rPr>
        <w:t xml:space="preserve">creating a mentorship program specifically for novice nurse educators. </w:t>
      </w:r>
      <w:r>
        <w:rPr>
          <w:rFonts w:eastAsia="Times New Roman" w:cs="Times New Roman"/>
          <w:bCs/>
          <w:szCs w:val="24"/>
          <w:lang w:val="en-GB" w:eastAsia="en-GB"/>
        </w:rPr>
        <w:t xml:space="preserve">The alignment of the project with the real-world </w:t>
      </w:r>
      <w:r w:rsidR="00B16B32">
        <w:rPr>
          <w:rFonts w:eastAsia="Times New Roman" w:cs="Times New Roman"/>
          <w:bCs/>
          <w:szCs w:val="24"/>
          <w:lang w:val="en-GB" w:eastAsia="en-GB"/>
        </w:rPr>
        <w:t>views provides a strong foundation for data-driven organizational change. Indeed, I find y</w:t>
      </w:r>
      <w:r w:rsidR="00E654CE" w:rsidRPr="00E654CE">
        <w:rPr>
          <w:rFonts w:eastAsia="Times New Roman" w:cs="Times New Roman"/>
          <w:bCs/>
          <w:szCs w:val="24"/>
          <w:lang w:val="en-GB" w:eastAsia="en-GB"/>
        </w:rPr>
        <w:t>our identification of institutional support</w:t>
      </w:r>
      <w:r w:rsidR="00B16B32">
        <w:rPr>
          <w:rFonts w:eastAsia="Times New Roman" w:cs="Times New Roman"/>
          <w:bCs/>
          <w:szCs w:val="24"/>
          <w:lang w:val="en-GB" w:eastAsia="en-GB"/>
        </w:rPr>
        <w:t xml:space="preserve"> a</w:t>
      </w:r>
      <w:r w:rsidR="00E654CE" w:rsidRPr="00E654CE">
        <w:rPr>
          <w:rFonts w:eastAsia="Times New Roman" w:cs="Times New Roman"/>
          <w:bCs/>
          <w:szCs w:val="24"/>
          <w:lang w:val="en-GB" w:eastAsia="en-GB"/>
        </w:rPr>
        <w:t xml:space="preserve">s a key success factor </w:t>
      </w:r>
      <w:r w:rsidR="00B16B32">
        <w:rPr>
          <w:rFonts w:eastAsia="Times New Roman" w:cs="Times New Roman"/>
          <w:bCs/>
          <w:szCs w:val="24"/>
          <w:lang w:val="en-GB" w:eastAsia="en-GB"/>
        </w:rPr>
        <w:t xml:space="preserve">interesting, considering that insights from organizational leaders can offer insights into their commitment to change. The </w:t>
      </w:r>
      <w:r w:rsidR="00E654CE" w:rsidRPr="00E654CE">
        <w:rPr>
          <w:rFonts w:eastAsia="Times New Roman" w:cs="Times New Roman"/>
          <w:bCs/>
          <w:szCs w:val="24"/>
          <w:lang w:val="en-GB" w:eastAsia="en-GB"/>
        </w:rPr>
        <w:t>project has the potential to contribut</w:t>
      </w:r>
      <w:r w:rsidR="00B16B32">
        <w:rPr>
          <w:rFonts w:eastAsia="Times New Roman" w:cs="Times New Roman"/>
          <w:bCs/>
          <w:szCs w:val="24"/>
          <w:lang w:val="en-GB" w:eastAsia="en-GB"/>
        </w:rPr>
        <w:t xml:space="preserve">e significantly </w:t>
      </w:r>
      <w:r w:rsidR="00E654CE" w:rsidRPr="00E654CE">
        <w:rPr>
          <w:rFonts w:eastAsia="Times New Roman" w:cs="Times New Roman"/>
          <w:bCs/>
          <w:szCs w:val="24"/>
          <w:lang w:val="en-GB" w:eastAsia="en-GB"/>
        </w:rPr>
        <w:t xml:space="preserve">to faculty development and job satisfaction, leading to more sustainable academic nursing programs. </w:t>
      </w:r>
      <w:r w:rsidR="00B16B32">
        <w:rPr>
          <w:rFonts w:eastAsia="Times New Roman" w:cs="Times New Roman"/>
          <w:bCs/>
          <w:szCs w:val="24"/>
          <w:lang w:val="en-GB" w:eastAsia="en-GB"/>
        </w:rPr>
        <w:t>Excellent.</w:t>
      </w:r>
    </w:p>
    <w:p w14:paraId="340375BC" w14:textId="29730587" w:rsidR="00ED0BD5" w:rsidRDefault="00B16B32" w:rsidP="00B16B32">
      <w:pPr>
        <w:jc w:val="center"/>
        <w:rPr>
          <w:b/>
        </w:rPr>
      </w:pPr>
      <w:r>
        <w:rPr>
          <w:b/>
        </w:rPr>
        <w:t xml:space="preserve">References </w:t>
      </w:r>
    </w:p>
    <w:p w14:paraId="6BD7FF02" w14:textId="4C89363F" w:rsidR="00B16B32" w:rsidRPr="00B16B32" w:rsidRDefault="00B16B32" w:rsidP="00B16B32">
      <w:pPr>
        <w:ind w:left="720" w:hanging="720"/>
        <w:rPr>
          <w:rFonts w:eastAsia="Times New Roman" w:cs="Times New Roman"/>
          <w:b/>
          <w:bCs/>
          <w:szCs w:val="24"/>
          <w:lang w:val="en-GB" w:eastAsia="en-GB"/>
        </w:rPr>
      </w:pPr>
      <w:proofErr w:type="spellStart"/>
      <w:r w:rsidRPr="00B16B32">
        <w:rPr>
          <w:rFonts w:cs="Times New Roman"/>
          <w:color w:val="1B1B1B"/>
          <w:shd w:val="clear" w:color="auto" w:fill="FFFFFF"/>
        </w:rPr>
        <w:t>DeJonckheere</w:t>
      </w:r>
      <w:proofErr w:type="spellEnd"/>
      <w:r w:rsidRPr="00B16B32">
        <w:rPr>
          <w:rFonts w:cs="Times New Roman"/>
          <w:color w:val="1B1B1B"/>
          <w:shd w:val="clear" w:color="auto" w:fill="FFFFFF"/>
        </w:rPr>
        <w:t xml:space="preserve">, M., &amp; Vaughn, L. M. (2019). </w:t>
      </w:r>
      <w:proofErr w:type="spellStart"/>
      <w:r w:rsidRPr="00B16B32">
        <w:rPr>
          <w:rFonts w:cs="Times New Roman"/>
          <w:color w:val="1B1B1B"/>
          <w:shd w:val="clear" w:color="auto" w:fill="FFFFFF"/>
        </w:rPr>
        <w:t>Semistructured</w:t>
      </w:r>
      <w:proofErr w:type="spellEnd"/>
      <w:r w:rsidRPr="00B16B32">
        <w:rPr>
          <w:rFonts w:cs="Times New Roman"/>
          <w:color w:val="1B1B1B"/>
          <w:shd w:val="clear" w:color="auto" w:fill="FFFFFF"/>
        </w:rPr>
        <w:t xml:space="preserve"> interviewing in primary care research: A balance of relationship and </w:t>
      </w:r>
      <w:proofErr w:type="spellStart"/>
      <w:r w:rsidRPr="00B16B32">
        <w:rPr>
          <w:rFonts w:cs="Times New Roman"/>
          <w:color w:val="1B1B1B"/>
          <w:shd w:val="clear" w:color="auto" w:fill="FFFFFF"/>
        </w:rPr>
        <w:t>rigour</w:t>
      </w:r>
      <w:proofErr w:type="spellEnd"/>
      <w:r w:rsidRPr="00B16B32">
        <w:rPr>
          <w:rFonts w:cs="Times New Roman"/>
          <w:color w:val="1B1B1B"/>
          <w:shd w:val="clear" w:color="auto" w:fill="FFFFFF"/>
        </w:rPr>
        <w:t>. </w:t>
      </w:r>
      <w:r w:rsidRPr="00B16B32">
        <w:rPr>
          <w:rFonts w:cs="Times New Roman"/>
          <w:i/>
          <w:iCs/>
          <w:color w:val="1B1B1B"/>
          <w:shd w:val="clear" w:color="auto" w:fill="FFFFFF"/>
        </w:rPr>
        <w:t>Family Medicine and Community Health</w:t>
      </w:r>
      <w:r w:rsidRPr="00B16B32">
        <w:rPr>
          <w:rFonts w:cs="Times New Roman"/>
          <w:color w:val="1B1B1B"/>
          <w:shd w:val="clear" w:color="auto" w:fill="FFFFFF"/>
        </w:rPr>
        <w:t>, </w:t>
      </w:r>
      <w:r w:rsidRPr="00B16B32">
        <w:rPr>
          <w:rFonts w:cs="Times New Roman"/>
          <w:i/>
          <w:iCs/>
          <w:color w:val="1B1B1B"/>
          <w:shd w:val="clear" w:color="auto" w:fill="FFFFFF"/>
        </w:rPr>
        <w:t>7</w:t>
      </w:r>
      <w:r w:rsidRPr="00B16B32">
        <w:rPr>
          <w:rFonts w:cs="Times New Roman"/>
          <w:color w:val="1B1B1B"/>
          <w:shd w:val="clear" w:color="auto" w:fill="FFFFFF"/>
        </w:rPr>
        <w:t xml:space="preserve">(2), e000057. </w:t>
      </w:r>
      <w:hyperlink r:id="rId7" w:history="1">
        <w:r w:rsidRPr="00B16B32">
          <w:rPr>
            <w:rStyle w:val="Hyperlink"/>
            <w:rFonts w:cs="Times New Roman"/>
            <w:shd w:val="clear" w:color="auto" w:fill="FFFFFF"/>
          </w:rPr>
          <w:t>https://doi.org/10.1136/fmch-2018-000057</w:t>
        </w:r>
      </w:hyperlink>
      <w:r w:rsidRPr="00B16B32">
        <w:rPr>
          <w:rFonts w:cs="Times New Roman"/>
          <w:color w:val="1B1B1B"/>
          <w:shd w:val="clear" w:color="auto" w:fill="FFFFFF"/>
        </w:rPr>
        <w:t xml:space="preserve"> </w:t>
      </w:r>
    </w:p>
    <w:p w14:paraId="3CA7E3C9" w14:textId="0C066186" w:rsidR="00B16B32" w:rsidRPr="00B16B32" w:rsidRDefault="00B16B32" w:rsidP="00B16B32">
      <w:pPr>
        <w:ind w:left="720" w:hanging="720"/>
        <w:rPr>
          <w:rFonts w:cs="Times New Roman"/>
          <w:color w:val="1B1B1B"/>
          <w:shd w:val="clear" w:color="auto" w:fill="FFFFFF"/>
        </w:rPr>
      </w:pPr>
      <w:r w:rsidRPr="00B16B32">
        <w:rPr>
          <w:rFonts w:cs="Times New Roman"/>
          <w:color w:val="1B1B1B"/>
          <w:shd w:val="clear" w:color="auto" w:fill="FFFFFF"/>
        </w:rPr>
        <w:t xml:space="preserve">Neubauer, B. E., Witkop, C. T., &amp; </w:t>
      </w:r>
      <w:proofErr w:type="spellStart"/>
      <w:r w:rsidRPr="00B16B32">
        <w:rPr>
          <w:rFonts w:cs="Times New Roman"/>
          <w:color w:val="1B1B1B"/>
          <w:shd w:val="clear" w:color="auto" w:fill="FFFFFF"/>
        </w:rPr>
        <w:t>Varpio</w:t>
      </w:r>
      <w:proofErr w:type="spellEnd"/>
      <w:r w:rsidRPr="00B16B32">
        <w:rPr>
          <w:rFonts w:cs="Times New Roman"/>
          <w:color w:val="1B1B1B"/>
          <w:shd w:val="clear" w:color="auto" w:fill="FFFFFF"/>
        </w:rPr>
        <w:t>, L. (2019). How phenomenology can help us learn from the experiences of others. </w:t>
      </w:r>
      <w:r w:rsidRPr="00B16B32">
        <w:rPr>
          <w:rFonts w:cs="Times New Roman"/>
          <w:i/>
          <w:iCs/>
          <w:color w:val="1B1B1B"/>
          <w:shd w:val="clear" w:color="auto" w:fill="FFFFFF"/>
        </w:rPr>
        <w:t xml:space="preserve">Perspectives on </w:t>
      </w:r>
      <w:r w:rsidRPr="00B16B32">
        <w:rPr>
          <w:rFonts w:cs="Times New Roman"/>
          <w:i/>
          <w:iCs/>
          <w:color w:val="1B1B1B"/>
          <w:shd w:val="clear" w:color="auto" w:fill="FFFFFF"/>
        </w:rPr>
        <w:t>Medical Education</w:t>
      </w:r>
      <w:r w:rsidRPr="00B16B32">
        <w:rPr>
          <w:rFonts w:cs="Times New Roman"/>
          <w:color w:val="1B1B1B"/>
          <w:shd w:val="clear" w:color="auto" w:fill="FFFFFF"/>
        </w:rPr>
        <w:t>, </w:t>
      </w:r>
      <w:r w:rsidRPr="00B16B32">
        <w:rPr>
          <w:rFonts w:cs="Times New Roman"/>
          <w:i/>
          <w:iCs/>
          <w:color w:val="1B1B1B"/>
          <w:shd w:val="clear" w:color="auto" w:fill="FFFFFF"/>
        </w:rPr>
        <w:t>8</w:t>
      </w:r>
      <w:r w:rsidRPr="00B16B32">
        <w:rPr>
          <w:rFonts w:cs="Times New Roman"/>
          <w:color w:val="1B1B1B"/>
          <w:shd w:val="clear" w:color="auto" w:fill="FFFFFF"/>
        </w:rPr>
        <w:t xml:space="preserve">(2), 90–97. </w:t>
      </w:r>
      <w:hyperlink r:id="rId8" w:history="1">
        <w:r w:rsidRPr="00B16B32">
          <w:rPr>
            <w:rStyle w:val="Hyperlink"/>
            <w:rFonts w:cs="Times New Roman"/>
            <w:shd w:val="clear" w:color="auto" w:fill="FFFFFF"/>
          </w:rPr>
          <w:t>https://doi.org</w:t>
        </w:r>
        <w:bookmarkStart w:id="0" w:name="_GoBack"/>
        <w:bookmarkEnd w:id="0"/>
        <w:r w:rsidRPr="00B16B32">
          <w:rPr>
            <w:rStyle w:val="Hyperlink"/>
            <w:rFonts w:cs="Times New Roman"/>
            <w:shd w:val="clear" w:color="auto" w:fill="FFFFFF"/>
          </w:rPr>
          <w:t>/10.1007/s40037-019-0509-2</w:t>
        </w:r>
      </w:hyperlink>
    </w:p>
    <w:p w14:paraId="18B9C133" w14:textId="77777777" w:rsidR="00B16B32" w:rsidRPr="00B16B32" w:rsidRDefault="00B16B32" w:rsidP="00B16B32">
      <w:pPr>
        <w:ind w:left="720" w:hanging="720"/>
      </w:pPr>
    </w:p>
    <w:sectPr w:rsidR="00B16B32" w:rsidRPr="00B16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CE"/>
    <w:rsid w:val="002646D9"/>
    <w:rsid w:val="00AA4F29"/>
    <w:rsid w:val="00B16B32"/>
    <w:rsid w:val="00E654CE"/>
    <w:rsid w:val="00ED0BD5"/>
    <w:rsid w:val="00FC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C5044"/>
  <w15:chartTrackingRefBased/>
  <w15:docId w15:val="{41A6DEA1-8F15-4AEC-94C9-C104D601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54C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654CE"/>
    <w:rPr>
      <w:b/>
      <w:bCs/>
    </w:rPr>
  </w:style>
  <w:style w:type="character" w:styleId="Hyperlink">
    <w:name w:val="Hyperlink"/>
    <w:basedOn w:val="DefaultParagraphFont"/>
    <w:uiPriority w:val="99"/>
    <w:unhideWhenUsed/>
    <w:rsid w:val="00264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6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40037-019-0509-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36/fmch-2018-0000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2/nur.22227" TargetMode="External"/><Relationship Id="rId5" Type="http://schemas.openxmlformats.org/officeDocument/2006/relationships/hyperlink" Target="https://doi.org/10.1111/1471-0528.1715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1136/fmch-2018-00005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2025-06-23T15:58:00Z</dcterms:created>
  <dcterms:modified xsi:type="dcterms:W3CDTF">2025-06-23T16:32:00Z</dcterms:modified>
</cp:coreProperties>
</file>