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2586" w14:textId="77777777" w:rsidR="007A00D2" w:rsidRDefault="007A00D2" w:rsidP="007A00D2">
      <w:pPr>
        <w:spacing w:line="279" w:lineRule="auto"/>
        <w:jc w:val="center"/>
        <w:rPr>
          <w:rFonts w:ascii="Times New Roman" w:eastAsia="Times New Roman" w:hAnsi="Times New Roman" w:cs="Times New Roman"/>
          <w:b/>
          <w:bCs/>
          <w:color w:val="000000"/>
          <w:kern w:val="0"/>
          <w:lang w:eastAsia="ja-JP"/>
          <w14:ligatures w14:val="none"/>
        </w:rPr>
      </w:pPr>
    </w:p>
    <w:p w14:paraId="2AFE5050" w14:textId="77777777" w:rsidR="007A00D2" w:rsidRPr="007A00D2" w:rsidRDefault="007A00D2" w:rsidP="007A00D2">
      <w:pPr>
        <w:spacing w:after="0" w:line="240" w:lineRule="auto"/>
        <w:outlineLvl w:val="2"/>
        <w:rPr>
          <w:rFonts w:ascii="var(--font-family-display)" w:eastAsia="Times New Roman" w:hAnsi="var(--font-family-display)" w:cs="Times New Roman"/>
          <w:b/>
          <w:bCs/>
          <w:kern w:val="0"/>
          <w:sz w:val="27"/>
          <w:szCs w:val="27"/>
          <w14:ligatures w14:val="none"/>
        </w:rPr>
      </w:pPr>
      <w:r w:rsidRPr="007A00D2">
        <w:rPr>
          <w:rFonts w:ascii="var(--font-family-display)" w:eastAsia="Times New Roman" w:hAnsi="var(--font-family-display)" w:cs="Times New Roman"/>
          <w:b/>
          <w:bCs/>
          <w:kern w:val="0"/>
          <w:sz w:val="27"/>
          <w:szCs w:val="27"/>
          <w14:ligatures w14:val="none"/>
        </w:rPr>
        <w:br/>
        <w:t>Re: Week 10 Discussion 1: Writing and Revising Methodology</w:t>
      </w:r>
    </w:p>
    <w:p w14:paraId="795BC5C8" w14:textId="77777777" w:rsidR="007A00D2" w:rsidRPr="007A00D2" w:rsidRDefault="007A00D2" w:rsidP="007A00D2">
      <w:pPr>
        <w:spacing w:after="0" w:line="240" w:lineRule="auto"/>
        <w:rPr>
          <w:rFonts w:ascii="Times New Roman" w:eastAsia="Times New Roman" w:hAnsi="Times New Roman" w:cs="Times New Roman"/>
          <w:kern w:val="0"/>
          <w14:ligatures w14:val="none"/>
        </w:rPr>
      </w:pPr>
      <w:r w:rsidRPr="007A00D2">
        <w:rPr>
          <w:rFonts w:ascii="Times New Roman" w:eastAsia="Times New Roman" w:hAnsi="Times New Roman" w:cs="Times New Roman"/>
          <w:kern w:val="0"/>
          <w14:ligatures w14:val="none"/>
        </w:rPr>
        <w:t>by </w:t>
      </w:r>
      <w:hyperlink r:id="rId5" w:history="1">
        <w:r w:rsidRPr="007A00D2">
          <w:rPr>
            <w:rFonts w:ascii="Times New Roman" w:eastAsia="Times New Roman" w:hAnsi="Times New Roman" w:cs="Times New Roman"/>
            <w:color w:val="0000FF"/>
            <w:kern w:val="0"/>
            <w:u w:val="single"/>
            <w14:ligatures w14:val="none"/>
          </w:rPr>
          <w:t>Amaris Beeksma</w:t>
        </w:r>
      </w:hyperlink>
      <w:r w:rsidRPr="007A00D2">
        <w:rPr>
          <w:rFonts w:ascii="Times New Roman" w:eastAsia="Times New Roman" w:hAnsi="Times New Roman" w:cs="Times New Roman"/>
          <w:kern w:val="0"/>
          <w14:ligatures w14:val="none"/>
        </w:rPr>
        <w:t> - Tuesday, 11 March 2025, 9:35 PM</w:t>
      </w:r>
    </w:p>
    <w:p w14:paraId="50BF76C0" w14:textId="77777777" w:rsidR="007A00D2" w:rsidRPr="007A00D2" w:rsidRDefault="007A00D2" w:rsidP="007A00D2">
      <w:pPr>
        <w:shd w:val="clear" w:color="auto" w:fill="FFFFFF"/>
        <w:spacing w:after="0" w:line="240" w:lineRule="auto"/>
        <w:rPr>
          <w:rFonts w:ascii="Roboto" w:eastAsia="Times New Roman" w:hAnsi="Roboto" w:cs="Times New Roman"/>
          <w:color w:val="1D2125"/>
          <w:kern w:val="0"/>
          <w:sz w:val="23"/>
          <w:szCs w:val="23"/>
          <w14:ligatures w14:val="none"/>
        </w:rPr>
      </w:pPr>
      <w:r w:rsidRPr="007A00D2">
        <w:rPr>
          <w:rFonts w:ascii="Roboto" w:eastAsia="Times New Roman" w:hAnsi="Roboto" w:cs="Times New Roman"/>
          <w:color w:val="1D2125"/>
          <w:kern w:val="0"/>
          <w:sz w:val="23"/>
          <w:szCs w:val="23"/>
          <w14:ligatures w14:val="none"/>
        </w:rPr>
        <w:t>Attached is my chapter III. In the last three pages I transition to the past tense for some paragraphs. I can change that. I was just preparing for when we change it all to past tense in the summer. </w:t>
      </w:r>
      <w:r w:rsidRPr="007A00D2">
        <w:rPr>
          <w:rFonts w:ascii="Roboto" w:eastAsia="Times New Roman" w:hAnsi="Roboto" w:cs="Times New Roman"/>
          <w:color w:val="1D2125"/>
          <w:kern w:val="0"/>
          <w:sz w:val="23"/>
          <w:szCs w:val="23"/>
          <w14:ligatures w14:val="none"/>
        </w:rPr>
        <w:br/>
      </w:r>
      <w:r w:rsidRPr="007A00D2">
        <w:rPr>
          <w:rFonts w:ascii="Roboto" w:eastAsia="Times New Roman" w:hAnsi="Roboto" w:cs="Times New Roman"/>
          <w:color w:val="1D2125"/>
          <w:kern w:val="0"/>
          <w:sz w:val="23"/>
          <w:szCs w:val="23"/>
          <w14:ligatures w14:val="none"/>
        </w:rPr>
        <w:br/>
        <w:t xml:space="preserve">Let me know how I can improve or what I can clarify! </w:t>
      </w:r>
      <w:proofErr w:type="gramStart"/>
      <w:r w:rsidRPr="007A00D2">
        <w:rPr>
          <w:rFonts w:ascii="Roboto" w:eastAsia="Times New Roman" w:hAnsi="Roboto" w:cs="Times New Roman"/>
          <w:color w:val="1D2125"/>
          <w:kern w:val="0"/>
          <w:sz w:val="23"/>
          <w:szCs w:val="23"/>
          <w14:ligatures w14:val="none"/>
        </w:rPr>
        <w:t>Thanks</w:t>
      </w:r>
      <w:proofErr w:type="gramEnd"/>
      <w:r w:rsidRPr="007A00D2">
        <w:rPr>
          <w:rFonts w:ascii="Roboto" w:eastAsia="Times New Roman" w:hAnsi="Roboto" w:cs="Times New Roman"/>
          <w:color w:val="1D2125"/>
          <w:kern w:val="0"/>
          <w:sz w:val="23"/>
          <w:szCs w:val="23"/>
          <w14:ligatures w14:val="none"/>
        </w:rPr>
        <w:t xml:space="preserve"> you guys!</w:t>
      </w:r>
    </w:p>
    <w:p w14:paraId="5BAF6E4E" w14:textId="5D3B620B" w:rsidR="007A00D2" w:rsidRPr="007A00D2" w:rsidRDefault="007A00D2" w:rsidP="007A00D2">
      <w:pPr>
        <w:shd w:val="clear" w:color="auto" w:fill="FFFFFF"/>
        <w:spacing w:after="0" w:line="240" w:lineRule="auto"/>
        <w:rPr>
          <w:rFonts w:ascii="Roboto" w:eastAsia="Times New Roman" w:hAnsi="Roboto" w:cs="Times New Roman"/>
          <w:color w:val="1D2125"/>
          <w:kern w:val="0"/>
          <w:sz w:val="23"/>
          <w:szCs w:val="23"/>
          <w14:ligatures w14:val="none"/>
        </w:rPr>
      </w:pPr>
      <w:hyperlink r:id="rId6" w:history="1">
        <w:r w:rsidRPr="007A00D2">
          <w:rPr>
            <w:rFonts w:ascii="Roboto" w:eastAsia="Times New Roman" w:hAnsi="Roboto" w:cs="Times New Roman"/>
            <w:color w:val="0000FF"/>
            <w:kern w:val="0"/>
            <w:sz w:val="23"/>
            <w:szCs w:val="23"/>
            <w:u w:val="single"/>
            <w14:ligatures w14:val="none"/>
          </w:rPr>
          <w:t> </w:t>
        </w:r>
      </w:hyperlink>
    </w:p>
    <w:p w14:paraId="2EA01FA7" w14:textId="77777777" w:rsidR="007A00D2" w:rsidRDefault="007A00D2" w:rsidP="007A00D2">
      <w:pPr>
        <w:spacing w:line="279" w:lineRule="auto"/>
        <w:jc w:val="center"/>
        <w:rPr>
          <w:rFonts w:ascii="Times New Roman" w:eastAsia="Times New Roman" w:hAnsi="Times New Roman" w:cs="Times New Roman"/>
          <w:b/>
          <w:bCs/>
          <w:color w:val="000000"/>
          <w:kern w:val="0"/>
          <w:lang w:eastAsia="ja-JP"/>
          <w14:ligatures w14:val="none"/>
        </w:rPr>
      </w:pPr>
    </w:p>
    <w:p w14:paraId="09AA1051" w14:textId="77777777" w:rsidR="007A00D2" w:rsidRDefault="007A00D2" w:rsidP="007A00D2">
      <w:pPr>
        <w:spacing w:line="279" w:lineRule="auto"/>
        <w:jc w:val="center"/>
        <w:rPr>
          <w:rFonts w:ascii="Times New Roman" w:eastAsia="Times New Roman" w:hAnsi="Times New Roman" w:cs="Times New Roman"/>
          <w:b/>
          <w:bCs/>
          <w:color w:val="000000"/>
          <w:kern w:val="0"/>
          <w:lang w:eastAsia="ja-JP"/>
          <w14:ligatures w14:val="none"/>
        </w:rPr>
      </w:pPr>
    </w:p>
    <w:p w14:paraId="516EE893" w14:textId="4FEB1C50" w:rsidR="007A00D2" w:rsidRPr="007A00D2" w:rsidRDefault="007A00D2" w:rsidP="007A00D2">
      <w:pPr>
        <w:spacing w:line="279" w:lineRule="auto"/>
        <w:jc w:val="center"/>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t>Chapter III: Methodology</w:t>
      </w:r>
    </w:p>
    <w:p w14:paraId="26DD4185"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The project methodology is explained in the following chapter. The design, procedure, sampling method, and informed consent are described in detail. There is little research on provider response and incorporation to the USPSTF 2024 recommendation for 26 hours of comprehensive, intensive behavioral interventions in pediatric patients with obesity ages six and older. Providers disagree on their role in offering behaviorally based interventions. Some want to offer services and others want to refer out (Rhee et al., 2018). There is limited data identifying provider desire and capacity to refer patients to interventions that meet 2024 USPSTF guidelines (</w:t>
      </w:r>
      <w:proofErr w:type="spellStart"/>
      <w:r w:rsidRPr="007A00D2">
        <w:rPr>
          <w:rFonts w:ascii="Times New Roman" w:eastAsia="Times New Roman" w:hAnsi="Times New Roman" w:cs="Times New Roman"/>
          <w:color w:val="000000"/>
          <w:kern w:val="0"/>
          <w:lang w:eastAsia="ja-JP"/>
          <w14:ligatures w14:val="none"/>
        </w:rPr>
        <w:t>Rajjo</w:t>
      </w:r>
      <w:proofErr w:type="spellEnd"/>
      <w:r w:rsidRPr="007A00D2">
        <w:rPr>
          <w:rFonts w:ascii="Times New Roman" w:eastAsia="Times New Roman" w:hAnsi="Times New Roman" w:cs="Times New Roman"/>
          <w:color w:val="000000"/>
          <w:kern w:val="0"/>
          <w:lang w:eastAsia="ja-JP"/>
          <w14:ligatures w14:val="none"/>
        </w:rPr>
        <w:t xml:space="preserve"> et al., 2022). More responses need to be gathered from more regionally diverse populations of providers to understand barriers and facilitators to patient care. This project was designed to reflect </w:t>
      </w:r>
      <w:proofErr w:type="gramStart"/>
      <w:r w:rsidRPr="007A00D2">
        <w:rPr>
          <w:rFonts w:ascii="Times New Roman" w:eastAsia="Times New Roman" w:hAnsi="Times New Roman" w:cs="Times New Roman"/>
          <w:color w:val="000000"/>
          <w:kern w:val="0"/>
          <w:lang w:eastAsia="ja-JP"/>
          <w14:ligatures w14:val="none"/>
        </w:rPr>
        <w:t>current</w:t>
      </w:r>
      <w:proofErr w:type="gramEnd"/>
      <w:r w:rsidRPr="007A00D2">
        <w:rPr>
          <w:rFonts w:ascii="Times New Roman" w:eastAsia="Times New Roman" w:hAnsi="Times New Roman" w:cs="Times New Roman"/>
          <w:color w:val="000000"/>
          <w:kern w:val="0"/>
          <w:lang w:eastAsia="ja-JP"/>
          <w14:ligatures w14:val="none"/>
        </w:rPr>
        <w:t xml:space="preserve"> opinions of providers who manage care for this pediatric population. </w:t>
      </w:r>
    </w:p>
    <w:p w14:paraId="1127574C" w14:textId="77777777" w:rsidR="007A00D2" w:rsidRPr="007A00D2" w:rsidRDefault="007A00D2" w:rsidP="007A00D2">
      <w:pPr>
        <w:spacing w:line="480" w:lineRule="auto"/>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color w:val="000000"/>
          <w:kern w:val="0"/>
          <w:lang w:eastAsia="ja-JP"/>
          <w14:ligatures w14:val="none"/>
        </w:rPr>
        <w:t>Project Design</w:t>
      </w:r>
    </w:p>
    <w:p w14:paraId="2D4CB921"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This project is a </w:t>
      </w:r>
      <w:proofErr w:type="gramStart"/>
      <w:r w:rsidRPr="007A00D2">
        <w:rPr>
          <w:rFonts w:ascii="Times New Roman" w:eastAsia="Times New Roman" w:hAnsi="Times New Roman" w:cs="Times New Roman"/>
          <w:color w:val="000000"/>
          <w:kern w:val="0"/>
          <w:lang w:eastAsia="ja-JP"/>
          <w14:ligatures w14:val="none"/>
        </w:rPr>
        <w:t>mixed methods</w:t>
      </w:r>
      <w:proofErr w:type="gramEnd"/>
      <w:r w:rsidRPr="007A00D2">
        <w:rPr>
          <w:rFonts w:ascii="Times New Roman" w:eastAsia="Times New Roman" w:hAnsi="Times New Roman" w:cs="Times New Roman"/>
          <w:color w:val="000000"/>
          <w:kern w:val="0"/>
          <w:lang w:eastAsia="ja-JP"/>
          <w14:ligatures w14:val="none"/>
        </w:rPr>
        <w:t xml:space="preserve"> design which intends to reveal more about the views or experiences of an understudied population. A survey project is helpful for understanding a population phenomenon (Polit &amp; Beck, 2021). Describing an experience is helpful for understanding how to address the problems of the experience (Ma et al., 2023). This </w:t>
      </w:r>
      <w:proofErr w:type="gramStart"/>
      <w:r w:rsidRPr="007A00D2">
        <w:rPr>
          <w:rFonts w:ascii="Times New Roman" w:eastAsia="Times New Roman" w:hAnsi="Times New Roman" w:cs="Times New Roman"/>
          <w:color w:val="000000"/>
          <w:kern w:val="0"/>
          <w:lang w:eastAsia="ja-JP"/>
          <w14:ligatures w14:val="none"/>
        </w:rPr>
        <w:t xml:space="preserve">survey </w:t>
      </w:r>
      <w:r w:rsidRPr="007A00D2">
        <w:rPr>
          <w:rFonts w:ascii="Times New Roman" w:eastAsia="Times New Roman" w:hAnsi="Times New Roman" w:cs="Times New Roman"/>
          <w:color w:val="000000"/>
          <w:kern w:val="0"/>
          <w:lang w:eastAsia="ja-JP"/>
          <w14:ligatures w14:val="none"/>
        </w:rPr>
        <w:lastRenderedPageBreak/>
        <w:t>model</w:t>
      </w:r>
      <w:proofErr w:type="gramEnd"/>
      <w:r w:rsidRPr="007A00D2">
        <w:rPr>
          <w:rFonts w:ascii="Times New Roman" w:eastAsia="Times New Roman" w:hAnsi="Times New Roman" w:cs="Times New Roman"/>
          <w:color w:val="000000"/>
          <w:kern w:val="0"/>
          <w:lang w:eastAsia="ja-JP"/>
          <w14:ligatures w14:val="none"/>
        </w:rPr>
        <w:t xml:space="preserve"> will help add to the larger understanding of key barriers, internal and external, from the providers perspective. </w:t>
      </w:r>
    </w:p>
    <w:p w14:paraId="7366FB81" w14:textId="77777777" w:rsidR="007A00D2" w:rsidRPr="007A00D2" w:rsidRDefault="007A00D2" w:rsidP="007A00D2">
      <w:pPr>
        <w:spacing w:line="480" w:lineRule="auto"/>
        <w:ind w:firstLine="720"/>
        <w:contextualSpacing/>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 The project population includes advanced practice registered nurses, physician’s assistants, and medical doctors who manage pediatric obesity related hypertension. Doctor of nursing practice students will also be included if they plan to manage care for this population in the future. </w:t>
      </w:r>
      <w:r w:rsidRPr="007A00D2">
        <w:rPr>
          <w:rFonts w:ascii="Times New Roman" w:eastAsia="Times New Roman" w:hAnsi="Times New Roman" w:cs="Times New Roman"/>
          <w:color w:val="1D2125"/>
          <w:kern w:val="0"/>
          <w:lang w:eastAsia="ja-JP"/>
          <w14:ligatures w14:val="none"/>
        </w:rPr>
        <w:t>A mixed methods analysis is helpful for understanding the full picture of the problem (Grove et al., 2023).</w:t>
      </w:r>
      <w:r w:rsidRPr="007A00D2">
        <w:rPr>
          <w:rFonts w:ascii="Times New Roman" w:eastAsia="Times New Roman" w:hAnsi="Times New Roman" w:cs="Times New Roman"/>
          <w:color w:val="000000"/>
          <w:kern w:val="0"/>
          <w:lang w:eastAsia="ja-JP"/>
          <w14:ligatures w14:val="none"/>
        </w:rPr>
        <w:t xml:space="preserve"> </w:t>
      </w:r>
      <w:r w:rsidRPr="007A00D2">
        <w:rPr>
          <w:rFonts w:ascii="Times New Roman" w:eastAsia="Times New Roman" w:hAnsi="Times New Roman" w:cs="Times New Roman"/>
          <w:color w:val="1D2125"/>
          <w:kern w:val="0"/>
          <w:lang w:eastAsia="ja-JP"/>
          <w14:ligatures w14:val="none"/>
        </w:rPr>
        <w:t>The quantitative portion of this project includes one pretest and two posttest scales. The confidence scale (C-Scale) will be used to measure the confidence levels of the providers about using the intervention in their practice (See Appendices F and G). The Intrinsic Motivation Inventory (IMI) will be used as a posttest measure only to gauge the levels of intrinsic motivation for the participants after the intervention (See Appendices H and I). Lastly, qualitative open-ended questions will be used to gain insight from the participants about the topic (See Appendix J).</w:t>
      </w:r>
    </w:p>
    <w:p w14:paraId="50CB7FDE" w14:textId="77777777" w:rsidR="007A00D2" w:rsidRPr="007A00D2" w:rsidRDefault="007A00D2" w:rsidP="007A00D2">
      <w:pPr>
        <w:spacing w:line="279" w:lineRule="auto"/>
        <w:rPr>
          <w:rFonts w:ascii="Times New Roman" w:eastAsia="Times New Roman" w:hAnsi="Times New Roman" w:cs="Times New Roman"/>
          <w:color w:val="000000"/>
          <w:kern w:val="0"/>
          <w:lang w:eastAsia="ja-JP"/>
          <w14:ligatures w14:val="none"/>
        </w:rPr>
      </w:pPr>
    </w:p>
    <w:p w14:paraId="29F5592B" w14:textId="77777777" w:rsidR="007A00D2" w:rsidRPr="007A00D2" w:rsidRDefault="007A00D2" w:rsidP="007A00D2">
      <w:pPr>
        <w:spacing w:line="279" w:lineRule="auto"/>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color w:val="000000"/>
          <w:kern w:val="0"/>
          <w:lang w:eastAsia="ja-JP"/>
          <w14:ligatures w14:val="none"/>
        </w:rPr>
        <w:t xml:space="preserve">Project Methods/Plan and Procedures </w:t>
      </w:r>
    </w:p>
    <w:p w14:paraId="446A8137" w14:textId="77777777" w:rsidR="007A00D2" w:rsidRPr="007A00D2" w:rsidRDefault="007A00D2" w:rsidP="007A00D2">
      <w:pPr>
        <w:spacing w:line="480" w:lineRule="auto"/>
        <w:ind w:firstLine="720"/>
        <w:contextualSpacing/>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USPSTF recommendation is a level B. This means the research backing the update is good but not as strong as it could be. Perhaps providers have been looking for this kind of support for their patients, or perhaps they disagree with the recommendation. The literature contains sparce samples of provider opinion and implementation of this recommendation. Obesity is a well-established cause of elevated blood and primary hypertension; providers must have change-oriented conversations. To assist providers in these conversations this project measures provider confidence levels before and after an educational intervention. Additionally, open ended questions will allow providers to explain their experience with this patient population. What are the barriers providers see inhibiting these necessary changes? Analyzing </w:t>
      </w:r>
      <w:r w:rsidRPr="007A00D2">
        <w:rPr>
          <w:rFonts w:ascii="Times New Roman" w:eastAsia="Times New Roman" w:hAnsi="Times New Roman" w:cs="Times New Roman"/>
          <w:color w:val="000000"/>
          <w:kern w:val="0"/>
          <w:lang w:eastAsia="ja-JP"/>
          <w14:ligatures w14:val="none"/>
        </w:rPr>
        <w:lastRenderedPageBreak/>
        <w:t xml:space="preserve">responses through thematic coding will show if there are similarities across responses. The Steven’s STAR Model of Knowledge Transformation is the EBP model which has guided the development of this project. The following are the five points of this EBP model. </w:t>
      </w:r>
    </w:p>
    <w:p w14:paraId="44EBF678" w14:textId="77777777" w:rsidR="007A00D2" w:rsidRPr="007A00D2" w:rsidRDefault="007A00D2" w:rsidP="007A00D2">
      <w:pPr>
        <w:spacing w:line="480" w:lineRule="auto"/>
        <w:contextualSpacing/>
        <w:rPr>
          <w:rFonts w:ascii="Times New Roman" w:eastAsia="Times New Roman" w:hAnsi="Times New Roman" w:cs="Times New Roman"/>
          <w:b/>
          <w:bCs/>
          <w:i/>
          <w:iCs/>
          <w:color w:val="000000"/>
          <w:kern w:val="0"/>
          <w:lang w:eastAsia="ja-JP"/>
          <w14:ligatures w14:val="none"/>
        </w:rPr>
      </w:pPr>
    </w:p>
    <w:p w14:paraId="2B5B2B1E" w14:textId="77777777" w:rsidR="007A00D2" w:rsidRPr="007A00D2" w:rsidRDefault="007A00D2" w:rsidP="007A00D2">
      <w:pPr>
        <w:spacing w:line="480" w:lineRule="auto"/>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 xml:space="preserve">Discovery Research </w:t>
      </w:r>
    </w:p>
    <w:p w14:paraId="6391E959"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The first point of the STAR model is discovery research. This step began in the development of chapter one and culminated in the research for chapter two. From the discovery process, the summary of the literature showed a paucity of provider opinion on and implementation of the USPSTF 2024 recommendation on behavioral interventions for pediatric obesity.</w:t>
      </w:r>
    </w:p>
    <w:p w14:paraId="6FB1F829" w14:textId="77777777" w:rsidR="007A00D2" w:rsidRPr="007A00D2" w:rsidRDefault="007A00D2" w:rsidP="007A00D2">
      <w:pPr>
        <w:spacing w:line="480" w:lineRule="auto"/>
        <w:contextualSpacing/>
        <w:rPr>
          <w:rFonts w:ascii="Times New Roman" w:eastAsia="Times New Roman" w:hAnsi="Times New Roman" w:cs="Times New Roman"/>
          <w:color w:val="000000"/>
          <w:kern w:val="0"/>
          <w:lang w:eastAsia="ja-JP"/>
          <w14:ligatures w14:val="none"/>
        </w:rPr>
      </w:pPr>
    </w:p>
    <w:p w14:paraId="198A2E44" w14:textId="77777777" w:rsidR="007A00D2" w:rsidRPr="007A00D2" w:rsidRDefault="007A00D2" w:rsidP="007A00D2">
      <w:pPr>
        <w:spacing w:line="480" w:lineRule="auto"/>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 xml:space="preserve">Evidence Summary </w:t>
      </w:r>
    </w:p>
    <w:p w14:paraId="651D936F"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second point of the STAR model is evidence summary, which was completed in the writing of chapters one, two, and three. The literature shows that care for patients with obesity </w:t>
      </w:r>
      <w:proofErr w:type="gramStart"/>
      <w:r w:rsidRPr="007A00D2">
        <w:rPr>
          <w:rFonts w:ascii="Times New Roman" w:eastAsia="Times New Roman" w:hAnsi="Times New Roman" w:cs="Times New Roman"/>
          <w:color w:val="000000"/>
          <w:kern w:val="0"/>
          <w:lang w:eastAsia="ja-JP"/>
          <w14:ligatures w14:val="none"/>
        </w:rPr>
        <w:t>related</w:t>
      </w:r>
      <w:proofErr w:type="gramEnd"/>
      <w:r w:rsidRPr="007A00D2">
        <w:rPr>
          <w:rFonts w:ascii="Times New Roman" w:eastAsia="Times New Roman" w:hAnsi="Times New Roman" w:cs="Times New Roman"/>
          <w:color w:val="000000"/>
          <w:kern w:val="0"/>
          <w:lang w:eastAsia="ja-JP"/>
          <w14:ligatures w14:val="none"/>
        </w:rPr>
        <w:t xml:space="preserve"> elevated blood pressure or stage one primary hypertension is inconsistent and inadequate. Another barrier to care is provider hesitancy to start </w:t>
      </w:r>
      <w:proofErr w:type="gramStart"/>
      <w:r w:rsidRPr="007A00D2">
        <w:rPr>
          <w:rFonts w:ascii="Times New Roman" w:eastAsia="Times New Roman" w:hAnsi="Times New Roman" w:cs="Times New Roman"/>
          <w:color w:val="000000"/>
          <w:kern w:val="0"/>
          <w:lang w:eastAsia="ja-JP"/>
          <w14:ligatures w14:val="none"/>
        </w:rPr>
        <w:t>change</w:t>
      </w:r>
      <w:proofErr w:type="gramEnd"/>
      <w:r w:rsidRPr="007A00D2">
        <w:rPr>
          <w:rFonts w:ascii="Times New Roman" w:eastAsia="Times New Roman" w:hAnsi="Times New Roman" w:cs="Times New Roman"/>
          <w:color w:val="000000"/>
          <w:kern w:val="0"/>
          <w:lang w:eastAsia="ja-JP"/>
          <w14:ligatures w14:val="none"/>
        </w:rPr>
        <w:t xml:space="preserve"> conversations with patient and family. The literature also shows that multicomponent behavioral interventions decrease patient BMI more significantly than educational efforts alone. From the discovery process, the summary of the literature showed a paucity of provider opinion on and implementation of the USPSTF 2024 recommendation on behavioral interventions for pediatric obesity. </w:t>
      </w:r>
    </w:p>
    <w:p w14:paraId="3AADF406" w14:textId="77777777" w:rsidR="007A00D2" w:rsidRPr="007A00D2" w:rsidRDefault="007A00D2" w:rsidP="007A00D2">
      <w:pPr>
        <w:spacing w:line="480" w:lineRule="auto"/>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Translation to Guidelines</w:t>
      </w:r>
    </w:p>
    <w:p w14:paraId="3E7756D5"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Translation to guidelines is the third point of the star and this guided the development of the project intervention. The project was centered on the need to understand provider beliefs and </w:t>
      </w:r>
      <w:r w:rsidRPr="007A00D2">
        <w:rPr>
          <w:rFonts w:ascii="Times New Roman" w:eastAsia="Times New Roman" w:hAnsi="Times New Roman" w:cs="Times New Roman"/>
          <w:color w:val="000000"/>
          <w:kern w:val="0"/>
          <w:lang w:eastAsia="ja-JP"/>
          <w14:ligatures w14:val="none"/>
        </w:rPr>
        <w:lastRenderedPageBreak/>
        <w:t>experiences with non-pharmacological multicomponent behavioral interventions for pediatric obesity related hypertension. To complete the third point of the STAR model, the PI created a mixed methods project using both the Grundy confidence scale, the Intrinsic Motivation Inventory, and open-ended questions. The goal of the project is to see how providers implement data that has already been translated into guidelines. The intervention is a short educational video with the goal of increasing provider confidence. However, the open-ended questions allow for providers to explain the complete story of their community’s unique barriers and facilitators.</w:t>
      </w:r>
    </w:p>
    <w:p w14:paraId="034AFC41" w14:textId="77777777" w:rsidR="007A00D2" w:rsidRPr="007A00D2" w:rsidRDefault="007A00D2" w:rsidP="007A00D2">
      <w:pPr>
        <w:spacing w:line="480" w:lineRule="auto"/>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 xml:space="preserve">Practice Integration </w:t>
      </w:r>
    </w:p>
    <w:p w14:paraId="6EBBF90A" w14:textId="77777777" w:rsidR="007A00D2" w:rsidRPr="007A00D2" w:rsidRDefault="007A00D2" w:rsidP="007A00D2">
      <w:pPr>
        <w:spacing w:after="0"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The fourth point of the STAR model is practice integration. This is the crux of the project in two ways. First, the PI is asking providers to discuss the practice integration of a particular recommendation. Second, the execution of the project is a culmination of the three prior points of the STAR model.</w:t>
      </w:r>
      <w:r w:rsidRPr="007A00D2">
        <w:rPr>
          <w:rFonts w:ascii="Times New Roman" w:eastAsia="Times New Roman" w:hAnsi="Times New Roman" w:cs="Times New Roman"/>
          <w:color w:val="1D2125"/>
          <w:kern w:val="0"/>
          <w:lang w:eastAsia="ja-JP"/>
          <w14:ligatures w14:val="none"/>
        </w:rPr>
        <w:t xml:space="preserve"> Offering the providers open-ended questions is a way to elicit responses that give more insight into the larger context.</w:t>
      </w:r>
      <w:r w:rsidRPr="007A00D2">
        <w:rPr>
          <w:rFonts w:ascii="Times New Roman" w:eastAsia="Times New Roman" w:hAnsi="Times New Roman" w:cs="Times New Roman"/>
          <w:color w:val="000000"/>
          <w:kern w:val="0"/>
          <w:lang w:eastAsia="ja-JP"/>
          <w14:ligatures w14:val="none"/>
        </w:rPr>
        <w:t xml:space="preserve"> The Grundy scale is effective in producing internally reliable quantitative results (Grundy, 1993). Interpretive phenomenological analysis (IPA) guided the formation of the qualitative questions. IPA reveals the tensions of unique experience while allowing the PI to condense the participant views into themes (Smith &amp; Nizza, 2022). IPA is best performed with multiple participants to perform cross case analysis which strengthens thematic coding (Smith &amp; Nizza, 2022).  The PI is allowed to group the themes through systematic interpretation and present the results in a more narrative way. This can be done by creating tables with themes and the quotes that helped to develop those themes. Then group experiential themes are drawn from those tables to distill the larger themes that were found during the project (Smith &amp; Nizza, 2022).</w:t>
      </w:r>
    </w:p>
    <w:p w14:paraId="3C4DF404" w14:textId="77777777" w:rsidR="007A00D2" w:rsidRPr="007A00D2" w:rsidRDefault="007A00D2" w:rsidP="007A00D2">
      <w:pPr>
        <w:spacing w:line="480" w:lineRule="auto"/>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Process and Outcome Evaluation</w:t>
      </w:r>
    </w:p>
    <w:p w14:paraId="1596FFEB"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lastRenderedPageBreak/>
        <w:t xml:space="preserve">Lastly, the fifth point of the STAR model is process and outcome evaluation. The evaluation of the project will be conducted by the project panel as well as the PI. The manipulation of the project process is underway until the IRB approval, after which no further changes to the process will be made. The final evaluation is more than the data analysis. The evaluation is on whether this project has meaningful transferability and in what ways it could have been performed better. The outcomes will show the next </w:t>
      </w:r>
      <w:proofErr w:type="gramStart"/>
      <w:r w:rsidRPr="007A00D2">
        <w:rPr>
          <w:rFonts w:ascii="Times New Roman" w:eastAsia="Times New Roman" w:hAnsi="Times New Roman" w:cs="Times New Roman"/>
          <w:color w:val="000000"/>
          <w:kern w:val="0"/>
          <w:lang w:eastAsia="ja-JP"/>
          <w14:ligatures w14:val="none"/>
        </w:rPr>
        <w:t>steps</w:t>
      </w:r>
      <w:proofErr w:type="gramEnd"/>
      <w:r w:rsidRPr="007A00D2">
        <w:rPr>
          <w:rFonts w:ascii="Times New Roman" w:eastAsia="Times New Roman" w:hAnsi="Times New Roman" w:cs="Times New Roman"/>
          <w:color w:val="000000"/>
          <w:kern w:val="0"/>
          <w:lang w:eastAsia="ja-JP"/>
          <w14:ligatures w14:val="none"/>
        </w:rPr>
        <w:t xml:space="preserve"> which is always the purpose of an evidence-based practice model. The goal of the STAR model is better evidence-based knowledge dissemination into patient care. This project gathers preliminary data essential to the on-going efforts to integrate multicomponent non-pharmacological care for pediatric patients. </w:t>
      </w:r>
    </w:p>
    <w:p w14:paraId="5CE49244" w14:textId="77777777" w:rsidR="007A00D2" w:rsidRPr="007A00D2" w:rsidRDefault="007A00D2" w:rsidP="007A00D2">
      <w:pPr>
        <w:spacing w:line="480" w:lineRule="auto"/>
        <w:ind w:firstLine="720"/>
        <w:contextualSpacing/>
        <w:rPr>
          <w:rFonts w:ascii="Times New Roman" w:eastAsia="Times New Roman" w:hAnsi="Times New Roman" w:cs="Times New Roman"/>
          <w:color w:val="D13438"/>
          <w:kern w:val="0"/>
          <w:lang w:eastAsia="ja-JP"/>
          <w14:ligatures w14:val="none"/>
        </w:rPr>
      </w:pPr>
    </w:p>
    <w:p w14:paraId="47CC27E0" w14:textId="77777777" w:rsidR="007A00D2" w:rsidRPr="007A00D2" w:rsidRDefault="007A00D2" w:rsidP="007A00D2">
      <w:pPr>
        <w:spacing w:line="480" w:lineRule="auto"/>
        <w:contextualSpacing/>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t xml:space="preserve">Evidence-Based Clinical Practice Question </w:t>
      </w:r>
    </w:p>
    <w:p w14:paraId="7E2288CC"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Does an educational intervention based on national guidelines for managing school aged children with pediatric obesity related prehypertension/stage one hypertension improve confidence and motivation levels in providers educating families? </w:t>
      </w:r>
    </w:p>
    <w:p w14:paraId="0DE704CE" w14:textId="77777777" w:rsidR="007A00D2" w:rsidRPr="007A00D2" w:rsidRDefault="007A00D2" w:rsidP="007A00D2">
      <w:pPr>
        <w:keepNext/>
        <w:keepLines/>
        <w:spacing w:before="360" w:after="80" w:line="480" w:lineRule="auto"/>
        <w:outlineLvl w:val="0"/>
        <w:rPr>
          <w:rFonts w:ascii="Times New Roman" w:eastAsia="Times New Roman" w:hAnsi="Times New Roman" w:cs="Times New Roman"/>
          <w:i/>
          <w:iCs/>
          <w:color w:val="D13438"/>
          <w:kern w:val="0"/>
          <w:lang w:eastAsia="ja-JP"/>
          <w14:ligatures w14:val="none"/>
        </w:rPr>
      </w:pPr>
      <w:r w:rsidRPr="007A00D2">
        <w:rPr>
          <w:rFonts w:ascii="Times New Roman" w:eastAsia="Times New Roman" w:hAnsi="Times New Roman" w:cs="Times New Roman"/>
          <w:b/>
          <w:bCs/>
          <w:color w:val="0000FF"/>
          <w:kern w:val="0"/>
          <w:lang w:eastAsia="ja-JP"/>
          <w14:ligatures w14:val="none"/>
        </w:rPr>
        <w:t xml:space="preserve">Setting </w:t>
      </w:r>
    </w:p>
    <w:p w14:paraId="72B00EB3"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setting for this project is the workplace for </w:t>
      </w:r>
      <w:r w:rsidRPr="007A00D2">
        <w:rPr>
          <w:rFonts w:ascii="Times" w:eastAsia="Times" w:hAnsi="Times" w:cs="Times"/>
          <w:color w:val="000000"/>
          <w:kern w:val="0"/>
          <w:lang w:eastAsia="ja-JP"/>
          <w14:ligatures w14:val="none"/>
        </w:rPr>
        <w:t>each participating provider.</w:t>
      </w:r>
      <w:r w:rsidRPr="007A00D2">
        <w:rPr>
          <w:rFonts w:ascii="Times New Roman" w:eastAsia="Times New Roman" w:hAnsi="Times New Roman" w:cs="Times New Roman"/>
          <w:color w:val="000000"/>
          <w:kern w:val="0"/>
          <w:lang w:eastAsia="ja-JP"/>
          <w14:ligatures w14:val="none"/>
        </w:rPr>
        <w:t xml:space="preserve"> Site permissions were collected, however, the anonymous nature of the recruitment and data collection from the surveys protected the identity of participants. Participants from a variety of settings could participate due to the snowball sampling. The participants could complete this survey in a non-work setting where they had Wi-Fi. This survey was not limited to a particular state and the data collection period was over the span of two months. Site permission for a private practice of primary care providers was obtained in November 2024</w:t>
      </w:r>
      <w:r w:rsidRPr="007A00D2">
        <w:rPr>
          <w:rFonts w:ascii="Times New Roman" w:eastAsia="Times New Roman" w:hAnsi="Times New Roman" w:cs="Times New Roman"/>
          <w:color w:val="D13438"/>
          <w:kern w:val="0"/>
          <w:u w:val="single"/>
          <w:lang w:eastAsia="ja-JP"/>
          <w14:ligatures w14:val="none"/>
        </w:rPr>
        <w:t xml:space="preserve"> </w:t>
      </w:r>
      <w:r w:rsidRPr="007A00D2">
        <w:rPr>
          <w:rFonts w:ascii="Times New Roman" w:eastAsia="Times New Roman" w:hAnsi="Times New Roman" w:cs="Times New Roman"/>
          <w:color w:val="000000"/>
          <w:kern w:val="0"/>
          <w:lang w:eastAsia="ja-JP"/>
          <w14:ligatures w14:val="none"/>
        </w:rPr>
        <w:t xml:space="preserve">and January 2025 (See Appendices K and L). </w:t>
      </w:r>
    </w:p>
    <w:p w14:paraId="6730EE3F" w14:textId="77777777" w:rsidR="007A00D2" w:rsidRPr="007A00D2" w:rsidRDefault="007A00D2" w:rsidP="007A00D2">
      <w:pPr>
        <w:spacing w:line="480" w:lineRule="auto"/>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color w:val="000000"/>
          <w:kern w:val="0"/>
          <w:lang w:eastAsia="ja-JP"/>
          <w14:ligatures w14:val="none"/>
        </w:rPr>
        <w:lastRenderedPageBreak/>
        <w:t xml:space="preserve">Sample </w:t>
      </w:r>
    </w:p>
    <w:p w14:paraId="5B30E597" w14:textId="77777777" w:rsidR="007A00D2" w:rsidRPr="007A00D2" w:rsidRDefault="007A00D2" w:rsidP="007A00D2">
      <w:pPr>
        <w:spacing w:line="480" w:lineRule="auto"/>
        <w:ind w:firstLine="720"/>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population of interest was providers who manage care for patients under 18 with obesity, overweight BMI, elevated blood pressure, or primary hypertension. The goal is to include providers integral to the early implementation of non-pharmacological interventions for obesity-related hypertension. The sample population may include a variety of licensed providers. Physicians, nurse practitioners, physician assistants, and DNP students will be encouraged to participate. The following is the recruitment plan, sample size, and criteria for participation in the project. </w:t>
      </w:r>
    </w:p>
    <w:p w14:paraId="7DE4B19C" w14:textId="77777777" w:rsidR="007A00D2" w:rsidRPr="007A00D2" w:rsidRDefault="007A00D2" w:rsidP="007A00D2">
      <w:pPr>
        <w:spacing w:line="279" w:lineRule="auto"/>
        <w:ind w:left="720" w:hanging="720"/>
        <w:rPr>
          <w:rFonts w:ascii="Times New Roman" w:eastAsia="Times New Roman" w:hAnsi="Times New Roman" w:cs="Times New Roman"/>
          <w:color w:val="000000"/>
          <w:kern w:val="0"/>
          <w:lang w:eastAsia="ja-JP"/>
          <w14:ligatures w14:val="none"/>
        </w:rPr>
      </w:pPr>
    </w:p>
    <w:p w14:paraId="497EB31E" w14:textId="77777777" w:rsidR="007A00D2" w:rsidRPr="007A00D2" w:rsidRDefault="007A00D2" w:rsidP="007A00D2">
      <w:pPr>
        <w:spacing w:line="480" w:lineRule="auto"/>
        <w:ind w:left="720" w:hanging="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Recruitment Plan</w:t>
      </w:r>
    </w:p>
    <w:p w14:paraId="1CAA7312"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Participants were recruited through two practice sites and one online Pediatric DNP student and provider platform. Snowball sampling will also be encouraged. The survey will be distributed via flyers to the office managers of the site after site approval has been obtained (See Appendix O). If the </w:t>
      </w:r>
      <w:proofErr w:type="gramStart"/>
      <w:r w:rsidRPr="007A00D2">
        <w:rPr>
          <w:rFonts w:ascii="Times New Roman" w:eastAsia="Times New Roman" w:hAnsi="Times New Roman" w:cs="Times New Roman"/>
          <w:color w:val="000000"/>
          <w:kern w:val="0"/>
          <w:lang w:eastAsia="ja-JP"/>
          <w14:ligatures w14:val="none"/>
        </w:rPr>
        <w:t>participant</w:t>
      </w:r>
      <w:proofErr w:type="gramEnd"/>
      <w:r w:rsidRPr="007A00D2">
        <w:rPr>
          <w:rFonts w:ascii="Times New Roman" w:eastAsia="Times New Roman" w:hAnsi="Times New Roman" w:cs="Times New Roman"/>
          <w:color w:val="000000"/>
          <w:kern w:val="0"/>
          <w:lang w:eastAsia="ja-JP"/>
          <w14:ligatures w14:val="none"/>
        </w:rPr>
        <w:t xml:space="preserve"> met inclusion criteria, they would complete the online survey provided in Qualtrics software. The Qualtrics link will be provided in the invitation to participate, and they must sign or agree to the consent to participate. If there are less than four total participants, then the survey period will be extended to the first week of August, and the survey will be posted to more online APRN forums and associations.</w:t>
      </w:r>
    </w:p>
    <w:p w14:paraId="520D45F7" w14:textId="77777777" w:rsidR="007A00D2" w:rsidRPr="007A00D2" w:rsidRDefault="007A00D2" w:rsidP="007A00D2">
      <w:pPr>
        <w:spacing w:line="480"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Sample Size</w:t>
      </w:r>
    </w:p>
    <w:p w14:paraId="6241F90F"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goal sample size is fifteen providers with the expectation that at least three participants are licensed as APRNs. The providers must have the authority to manage care or refer patients which is why they must be licensed as a physician, APRN, or PA to participate in </w:t>
      </w:r>
      <w:r w:rsidRPr="007A00D2">
        <w:rPr>
          <w:rFonts w:ascii="Times New Roman" w:eastAsia="Times New Roman" w:hAnsi="Times New Roman" w:cs="Times New Roman"/>
          <w:color w:val="000000"/>
          <w:kern w:val="0"/>
          <w:lang w:eastAsia="ja-JP"/>
          <w14:ligatures w14:val="none"/>
        </w:rPr>
        <w:lastRenderedPageBreak/>
        <w:t>the project. DNP students are also allowed to participate if they intend to manage care for this population in the future.</w:t>
      </w:r>
    </w:p>
    <w:p w14:paraId="17FC969C"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502A9033" w14:textId="77777777" w:rsidR="007A00D2" w:rsidRPr="007A00D2" w:rsidRDefault="007A00D2" w:rsidP="007A00D2">
      <w:pPr>
        <w:spacing w:line="480"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Sampling</w:t>
      </w:r>
    </w:p>
    <w:p w14:paraId="0BEAD0D8"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Purposive and snowball sampling will be used to achieve the sample size. With the two site permissions and permission to post on one online forum, the survey distribution process will involve multiple mediums. After the initial survey release, providers can send the survey to others they know in their own networks. The sampling is purposive because of the stringent exclusion criteria. Snowball sampling may increase the number of participants by using pre-existing social networks. The sample is limited to providers or students who can complete the survey before August. </w:t>
      </w:r>
    </w:p>
    <w:p w14:paraId="4A5A998D" w14:textId="77777777" w:rsidR="007A00D2" w:rsidRPr="007A00D2" w:rsidRDefault="007A00D2" w:rsidP="007A00D2">
      <w:pPr>
        <w:spacing w:line="480" w:lineRule="auto"/>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Inclusion Criteria</w:t>
      </w:r>
    </w:p>
    <w:p w14:paraId="10C1A113" w14:textId="77777777" w:rsidR="007A00D2" w:rsidRPr="007A00D2" w:rsidRDefault="007A00D2" w:rsidP="007A00D2">
      <w:pPr>
        <w:spacing w:line="480" w:lineRule="auto"/>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The inclusion criteria are:</w:t>
      </w:r>
    </w:p>
    <w:p w14:paraId="6F4D0A20"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1) Manages or plans to manage the care of pediatric patients with at least one of the following: overweight BMI or obesity, obesity related hypertension, elevated blood pressure, or stage one primary hypertension.</w:t>
      </w:r>
    </w:p>
    <w:p w14:paraId="798A5E9D"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2) Active state license as a PA, APRN, or physician or is enrolled as a DNP student. </w:t>
      </w:r>
    </w:p>
    <w:p w14:paraId="4C5CA9F1" w14:textId="77777777" w:rsidR="007A00D2" w:rsidRPr="007A00D2" w:rsidRDefault="007A00D2" w:rsidP="007A00D2">
      <w:pPr>
        <w:spacing w:line="480" w:lineRule="auto"/>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Exclusion Criteria</w:t>
      </w:r>
    </w:p>
    <w:p w14:paraId="19F0549A" w14:textId="77777777" w:rsidR="007A00D2" w:rsidRPr="007A00D2" w:rsidRDefault="007A00D2" w:rsidP="007A00D2">
      <w:pPr>
        <w:spacing w:line="480" w:lineRule="auto"/>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The exclusion criteria are:</w:t>
      </w:r>
    </w:p>
    <w:p w14:paraId="33EA4773" w14:textId="77777777" w:rsidR="007A00D2" w:rsidRPr="007A00D2" w:rsidRDefault="007A00D2" w:rsidP="007A00D2">
      <w:pPr>
        <w:numPr>
          <w:ilvl w:val="0"/>
          <w:numId w:val="1"/>
        </w:numPr>
        <w:spacing w:line="480" w:lineRule="auto"/>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lastRenderedPageBreak/>
        <w:t>Does not manage the care of pediatric patients with obesity related hypertension or elevated blood pressure or stage one primary hypertension or overweight BMI or obesity.</w:t>
      </w:r>
    </w:p>
    <w:p w14:paraId="3DC3E6C3" w14:textId="77777777" w:rsidR="007A00D2" w:rsidRPr="007A00D2" w:rsidRDefault="007A00D2" w:rsidP="007A00D2">
      <w:pPr>
        <w:numPr>
          <w:ilvl w:val="0"/>
          <w:numId w:val="1"/>
        </w:numPr>
        <w:spacing w:line="480" w:lineRule="auto"/>
        <w:contextualSpacing/>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Does not have an active license or is not a DNP student</w:t>
      </w:r>
    </w:p>
    <w:p w14:paraId="1F789478" w14:textId="77777777" w:rsidR="007A00D2" w:rsidRPr="007A00D2" w:rsidRDefault="007A00D2" w:rsidP="007A00D2">
      <w:pPr>
        <w:spacing w:line="480"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t xml:space="preserve">Informed Consent </w:t>
      </w:r>
    </w:p>
    <w:p w14:paraId="6FE479F6" w14:textId="77777777" w:rsidR="007A00D2" w:rsidRPr="007A00D2" w:rsidRDefault="007A00D2" w:rsidP="007A00D2">
      <w:pPr>
        <w:spacing w:line="480" w:lineRule="auto"/>
        <w:ind w:firstLine="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All steps to create and submit the project for Regis College IRB approval were completed </w:t>
      </w:r>
      <w:proofErr w:type="gramStart"/>
      <w:r w:rsidRPr="007A00D2">
        <w:rPr>
          <w:rFonts w:ascii="Times New Roman" w:eastAsia="Times New Roman" w:hAnsi="Times New Roman" w:cs="Times New Roman"/>
          <w:color w:val="000000"/>
          <w:kern w:val="0"/>
          <w:lang w:eastAsia="ja-JP"/>
          <w14:ligatures w14:val="none"/>
        </w:rPr>
        <w:t>per</w:t>
      </w:r>
      <w:proofErr w:type="gramEnd"/>
      <w:r w:rsidRPr="007A00D2">
        <w:rPr>
          <w:rFonts w:ascii="Times New Roman" w:eastAsia="Times New Roman" w:hAnsi="Times New Roman" w:cs="Times New Roman"/>
          <w:color w:val="000000"/>
          <w:kern w:val="0"/>
          <w:lang w:eastAsia="ja-JP"/>
          <w14:ligatures w14:val="none"/>
        </w:rPr>
        <w:t xml:space="preserve"> guidelines. The two participating primary care sites are both located in the (Appendix K &amp; L).  The permission to use the online platform </w:t>
      </w:r>
      <w:proofErr w:type="gramStart"/>
      <w:r w:rsidRPr="007A00D2">
        <w:rPr>
          <w:rFonts w:ascii="Times New Roman" w:eastAsia="Times New Roman" w:hAnsi="Times New Roman" w:cs="Times New Roman"/>
          <w:color w:val="000000"/>
          <w:kern w:val="0"/>
          <w:lang w:eastAsia="ja-JP"/>
          <w14:ligatures w14:val="none"/>
        </w:rPr>
        <w:t>is located in</w:t>
      </w:r>
      <w:proofErr w:type="gramEnd"/>
      <w:r w:rsidRPr="007A00D2">
        <w:rPr>
          <w:rFonts w:ascii="Times New Roman" w:eastAsia="Times New Roman" w:hAnsi="Times New Roman" w:cs="Times New Roman"/>
          <w:color w:val="000000"/>
          <w:kern w:val="0"/>
          <w:lang w:eastAsia="ja-JP"/>
          <w14:ligatures w14:val="none"/>
        </w:rPr>
        <w:t xml:space="preserve"> Appendix M. Recruitment permission for the sites was obtained from the office manager at the pediatric offices and from the platform administrator for the online forum. The rights of the human subjects will be protected by ensuring that all steps of the project are followed in accordance with IRB approval. Additionally, the ethical principles of justice, beneficence, and human dignity will be upheld in the process of snowball sampling methods and data analysis (Polit &amp; Beck, 2021). The informed consent process will begin before the participants start the survey and will continue until the patient completes the survey. In the adverse event that any information is electronically compromised the survey may need to be sent out again. The participants are given anonymity through the survey submission process </w:t>
      </w:r>
      <w:proofErr w:type="gramStart"/>
      <w:r w:rsidRPr="007A00D2">
        <w:rPr>
          <w:rFonts w:ascii="Times New Roman" w:eastAsia="Times New Roman" w:hAnsi="Times New Roman" w:cs="Times New Roman"/>
          <w:color w:val="000000"/>
          <w:kern w:val="0"/>
          <w:lang w:eastAsia="ja-JP"/>
          <w14:ligatures w14:val="none"/>
        </w:rPr>
        <w:t>as a way to</w:t>
      </w:r>
      <w:proofErr w:type="gramEnd"/>
      <w:r w:rsidRPr="007A00D2">
        <w:rPr>
          <w:rFonts w:ascii="Times New Roman" w:eastAsia="Times New Roman" w:hAnsi="Times New Roman" w:cs="Times New Roman"/>
          <w:color w:val="000000"/>
          <w:kern w:val="0"/>
          <w:lang w:eastAsia="ja-JP"/>
          <w14:ligatures w14:val="none"/>
        </w:rPr>
        <w:t xml:space="preserve"> uphold their dignity. </w:t>
      </w:r>
    </w:p>
    <w:p w14:paraId="2B27BF51"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2EE33E19"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t xml:space="preserve">Ethical Considerations </w:t>
      </w:r>
    </w:p>
    <w:p w14:paraId="5ED21D59" w14:textId="77777777" w:rsidR="007A00D2" w:rsidRPr="007A00D2" w:rsidRDefault="007A00D2" w:rsidP="007A00D2">
      <w:pPr>
        <w:spacing w:after="0" w:line="279" w:lineRule="auto"/>
        <w:ind w:firstLine="720"/>
        <w:rPr>
          <w:rFonts w:ascii="Times New Roman" w:eastAsia="Times New Roman" w:hAnsi="Times New Roman" w:cs="Times New Roman"/>
          <w:color w:val="D13438"/>
          <w:kern w:val="0"/>
          <w:lang w:eastAsia="ja-JP"/>
          <w14:ligatures w14:val="none"/>
        </w:rPr>
      </w:pPr>
    </w:p>
    <w:p w14:paraId="3DBCB81F" w14:textId="77777777" w:rsidR="007A00D2" w:rsidRPr="007A00D2" w:rsidRDefault="007A00D2" w:rsidP="007A00D2">
      <w:pPr>
        <w:spacing w:after="0"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process of informed consent will protect the participants autonomy and support the goal of doing no harm to the project participants. The respect for participant privacy through anonymity is supported in the structure of the survey. Personal identifiers like gender, state of practice, and type of license the participant holds are safeguarded through Qualtrics. Each </w:t>
      </w:r>
      <w:proofErr w:type="gramStart"/>
      <w:r w:rsidRPr="007A00D2">
        <w:rPr>
          <w:rFonts w:ascii="Times New Roman" w:eastAsia="Times New Roman" w:hAnsi="Times New Roman" w:cs="Times New Roman"/>
          <w:color w:val="000000"/>
          <w:kern w:val="0"/>
          <w:lang w:eastAsia="ja-JP"/>
          <w14:ligatures w14:val="none"/>
        </w:rPr>
        <w:lastRenderedPageBreak/>
        <w:t>participants</w:t>
      </w:r>
      <w:proofErr w:type="gramEnd"/>
      <w:r w:rsidRPr="007A00D2">
        <w:rPr>
          <w:rFonts w:ascii="Times New Roman" w:eastAsia="Times New Roman" w:hAnsi="Times New Roman" w:cs="Times New Roman"/>
          <w:color w:val="000000"/>
          <w:kern w:val="0"/>
          <w:lang w:eastAsia="ja-JP"/>
          <w14:ligatures w14:val="none"/>
        </w:rPr>
        <w:t xml:space="preserve"> signs their consent, but all names are deleted, and survey answers are assigned to numbers. The major ethical considerations of the project are warning the patients of the risks of eye strain and loss of time while participating in the project</w:t>
      </w:r>
      <w:proofErr w:type="gramStart"/>
      <w:r w:rsidRPr="007A00D2">
        <w:rPr>
          <w:rFonts w:ascii="Times New Roman" w:eastAsia="Times New Roman" w:hAnsi="Times New Roman" w:cs="Times New Roman"/>
          <w:color w:val="000000"/>
          <w:kern w:val="0"/>
          <w:lang w:eastAsia="ja-JP"/>
          <w14:ligatures w14:val="none"/>
        </w:rPr>
        <w:t xml:space="preserve"> If</w:t>
      </w:r>
      <w:proofErr w:type="gramEnd"/>
      <w:r w:rsidRPr="007A00D2">
        <w:rPr>
          <w:rFonts w:ascii="Times New Roman" w:eastAsia="Times New Roman" w:hAnsi="Times New Roman" w:cs="Times New Roman"/>
          <w:color w:val="000000"/>
          <w:kern w:val="0"/>
          <w:lang w:eastAsia="ja-JP"/>
          <w14:ligatures w14:val="none"/>
        </w:rPr>
        <w:t xml:space="preserve"> any information from the project is compromised the office managers will be notified but there will be no way to notify participants because the PI does not have any personal identifiers for the participants. The rigorous IRB approval process through Regis College will suffice for the identification of potential harm to participants. </w:t>
      </w:r>
    </w:p>
    <w:p w14:paraId="0BF06078" w14:textId="77777777" w:rsidR="007A00D2" w:rsidRPr="007A00D2" w:rsidRDefault="007A00D2" w:rsidP="007A00D2">
      <w:pPr>
        <w:spacing w:after="0" w:line="279" w:lineRule="auto"/>
        <w:rPr>
          <w:rFonts w:ascii="Times New Roman" w:eastAsia="Times New Roman" w:hAnsi="Times New Roman" w:cs="Times New Roman"/>
          <w:color w:val="D13438"/>
          <w:kern w:val="0"/>
          <w:lang w:eastAsia="ja-JP"/>
          <w14:ligatures w14:val="none"/>
        </w:rPr>
      </w:pPr>
    </w:p>
    <w:p w14:paraId="1FB1A1F4" w14:textId="77777777" w:rsidR="007A00D2" w:rsidRPr="007A00D2" w:rsidRDefault="007A00D2" w:rsidP="007A00D2">
      <w:pPr>
        <w:spacing w:after="0" w:line="279"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t xml:space="preserve">Evaluation </w:t>
      </w:r>
    </w:p>
    <w:p w14:paraId="7C9ED69E"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749C6873"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Variables</w:t>
      </w:r>
    </w:p>
    <w:p w14:paraId="2F600A20" w14:textId="77777777" w:rsidR="007A00D2" w:rsidRPr="007A00D2" w:rsidRDefault="007A00D2" w:rsidP="007A00D2">
      <w:pPr>
        <w:spacing w:line="279" w:lineRule="auto"/>
        <w:jc w:val="both"/>
        <w:rPr>
          <w:rFonts w:ascii="Times New Roman" w:eastAsia="Times New Roman" w:hAnsi="Times New Roman" w:cs="Times New Roman"/>
          <w:color w:val="D13438"/>
          <w:kern w:val="0"/>
          <w:lang w:eastAsia="ja-JP"/>
          <w14:ligatures w14:val="none"/>
        </w:rPr>
      </w:pPr>
    </w:p>
    <w:p w14:paraId="12713B54" w14:textId="77777777" w:rsidR="007A00D2" w:rsidRPr="007A00D2" w:rsidRDefault="007A00D2" w:rsidP="007A00D2">
      <w:pPr>
        <w:spacing w:line="480" w:lineRule="auto"/>
        <w:ind w:firstLine="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variable table identifies the variables of the project with the conceptual definition. The operational definition details how the variables will be measured. The Confidence scale results are dependent on the provider’s demographic questions, personal research, and clinical opportunities which is why it is considered dependent. The variable table is Table 2 under Tables. </w:t>
      </w:r>
    </w:p>
    <w:p w14:paraId="1CFDC6DB" w14:textId="77777777" w:rsidR="007A00D2" w:rsidRPr="007A00D2" w:rsidRDefault="007A00D2" w:rsidP="007A00D2">
      <w:pPr>
        <w:spacing w:line="279" w:lineRule="auto"/>
        <w:rPr>
          <w:rFonts w:ascii="Times New Roman" w:eastAsia="Times New Roman" w:hAnsi="Times New Roman" w:cs="Times New Roman"/>
          <w:color w:val="000000"/>
          <w:kern w:val="0"/>
          <w:lang w:eastAsia="ja-JP"/>
          <w14:ligatures w14:val="none"/>
        </w:rPr>
      </w:pPr>
    </w:p>
    <w:p w14:paraId="4EC28205"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i/>
          <w:iCs/>
          <w:color w:val="000000"/>
          <w:kern w:val="0"/>
          <w:lang w:eastAsia="ja-JP"/>
          <w14:ligatures w14:val="none"/>
        </w:rPr>
        <w:t>Tools/Instruments</w:t>
      </w:r>
    </w:p>
    <w:p w14:paraId="1702D814"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63283E12" w14:textId="77777777" w:rsidR="007A00D2" w:rsidRPr="007A00D2" w:rsidRDefault="007A00D2" w:rsidP="007A00D2">
      <w:pPr>
        <w:spacing w:line="480" w:lineRule="auto"/>
        <w:ind w:firstLine="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The provider is responsible for having their own electronic device to take the survey on. The data is collected through the surveys presented on the Qualtrics platform. Demographics were collected with the intent of describing characteristics of the participants. The demographic questionnaire is in Appendix E. Permission to adapt and use the Grundy C-Scale is in Appendix G.</w:t>
      </w:r>
    </w:p>
    <w:p w14:paraId="19E22B55" w14:textId="77777777" w:rsidR="007A00D2" w:rsidRPr="007A00D2" w:rsidRDefault="007A00D2" w:rsidP="007A00D2">
      <w:pPr>
        <w:spacing w:after="240"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lastRenderedPageBreak/>
        <w:t xml:space="preserve">The C-scale has been used in prior projects and studies to assess NPs as primary care providers (Faraz, 2017; </w:t>
      </w:r>
      <w:proofErr w:type="spellStart"/>
      <w:r w:rsidRPr="007A00D2">
        <w:rPr>
          <w:rFonts w:ascii="Times New Roman" w:eastAsia="Times New Roman" w:hAnsi="Times New Roman" w:cs="Times New Roman"/>
          <w:color w:val="000000"/>
          <w:kern w:val="0"/>
          <w:lang w:eastAsia="ja-JP"/>
          <w14:ligatures w14:val="none"/>
        </w:rPr>
        <w:t>Taheran</w:t>
      </w:r>
      <w:proofErr w:type="spellEnd"/>
      <w:r w:rsidRPr="007A00D2">
        <w:rPr>
          <w:rFonts w:ascii="Times New Roman" w:eastAsia="Times New Roman" w:hAnsi="Times New Roman" w:cs="Times New Roman"/>
          <w:color w:val="000000"/>
          <w:kern w:val="0"/>
          <w:lang w:eastAsia="ja-JP"/>
          <w14:ligatures w14:val="none"/>
        </w:rPr>
        <w:t xml:space="preserve">, 2019). The C-scale was validated for internal consistency in 1992. Dr. Grundy analyzed the C-scale for internal consistency, test re-test reliability, and the construct validity (Grundy, 1993). The correlation coefficients showed test-retest reliability. The C-scale has high reliability which is how it has remained relevant through the decades. The scale has high internal consistency with </w:t>
      </w:r>
      <w:proofErr w:type="spellStart"/>
      <w:r w:rsidRPr="007A00D2">
        <w:rPr>
          <w:rFonts w:ascii="Times New Roman" w:eastAsia="Times New Roman" w:hAnsi="Times New Roman" w:cs="Times New Roman"/>
          <w:color w:val="000000"/>
          <w:kern w:val="0"/>
          <w:lang w:eastAsia="ja-JP"/>
          <w14:ligatures w14:val="none"/>
        </w:rPr>
        <w:t>Cronbachs</w:t>
      </w:r>
      <w:proofErr w:type="spellEnd"/>
      <w:r w:rsidRPr="007A00D2">
        <w:rPr>
          <w:rFonts w:ascii="Times New Roman" w:eastAsia="Times New Roman" w:hAnsi="Times New Roman" w:cs="Times New Roman"/>
          <w:color w:val="000000"/>
          <w:kern w:val="0"/>
          <w:lang w:eastAsia="ja-JP"/>
          <w14:ligatures w14:val="none"/>
        </w:rPr>
        <w:t xml:space="preserve"> alpha between .84 to .93. </w:t>
      </w:r>
      <w:proofErr w:type="gramStart"/>
      <w:r w:rsidRPr="007A00D2">
        <w:rPr>
          <w:rFonts w:ascii="Times New Roman" w:eastAsia="Times New Roman" w:hAnsi="Times New Roman" w:cs="Times New Roman"/>
          <w:color w:val="000000"/>
          <w:kern w:val="0"/>
          <w:lang w:eastAsia="ja-JP"/>
          <w14:ligatures w14:val="none"/>
        </w:rPr>
        <w:t>Both of these</w:t>
      </w:r>
      <w:proofErr w:type="gramEnd"/>
      <w:r w:rsidRPr="007A00D2">
        <w:rPr>
          <w:rFonts w:ascii="Times New Roman" w:eastAsia="Times New Roman" w:hAnsi="Times New Roman" w:cs="Times New Roman"/>
          <w:color w:val="000000"/>
          <w:kern w:val="0"/>
          <w:lang w:eastAsia="ja-JP"/>
          <w14:ligatures w14:val="none"/>
        </w:rPr>
        <w:t xml:space="preserve"> tests show high construct validity. This five question Likert scale was used twice, one as a pre-test and one as a post test. </w:t>
      </w:r>
    </w:p>
    <w:p w14:paraId="14A519D9" w14:textId="77777777" w:rsidR="007A00D2" w:rsidRPr="007A00D2" w:rsidRDefault="007A00D2" w:rsidP="007A00D2">
      <w:pPr>
        <w:spacing w:after="240"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The IMI is a tool developed by the Center for Self-Determination Theory. The main idea is that intrinsic motivation is fueled by curiosity in the subject. External reward systems have a type of power over the subject but that is different than wanting to do the task or keep learning for the internal sense of satisfaction. While Self-Determination Theory is not the theory that structures this project, the tool is helpful for understanding if providers are going to keep learning about and applying the resources included in the educational module. The IMI has high internal reliability for measuring motivation with Cronbach’s alpha of .89 and .92 for composite reliability of motivation (Monteiro et al., 2015). The IMI can be especially helpful in circumstances where the task requires autonomy, creativity, and persistence which is true for this project (Monteiro et al., 2015).</w:t>
      </w:r>
    </w:p>
    <w:p w14:paraId="1CDD55A1" w14:textId="77777777" w:rsidR="007A00D2" w:rsidRPr="007A00D2" w:rsidRDefault="007A00D2" w:rsidP="007A00D2">
      <w:pPr>
        <w:spacing w:after="240" w:line="480" w:lineRule="auto"/>
        <w:ind w:firstLine="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A copy of the student-developed open-ended questions </w:t>
      </w:r>
      <w:proofErr w:type="gramStart"/>
      <w:r w:rsidRPr="007A00D2">
        <w:rPr>
          <w:rFonts w:ascii="Times New Roman" w:eastAsia="Times New Roman" w:hAnsi="Times New Roman" w:cs="Times New Roman"/>
          <w:color w:val="000000"/>
          <w:kern w:val="0"/>
          <w:lang w:eastAsia="ja-JP"/>
          <w14:ligatures w14:val="none"/>
        </w:rPr>
        <w:t>is located in</w:t>
      </w:r>
      <w:proofErr w:type="gramEnd"/>
      <w:r w:rsidRPr="007A00D2">
        <w:rPr>
          <w:rFonts w:ascii="Times New Roman" w:eastAsia="Times New Roman" w:hAnsi="Times New Roman" w:cs="Times New Roman"/>
          <w:color w:val="000000"/>
          <w:kern w:val="0"/>
          <w:lang w:eastAsia="ja-JP"/>
          <w14:ligatures w14:val="none"/>
        </w:rPr>
        <w:t xml:space="preserve"> Appendix K. In the qualitative portion of the project themes will be coded using the Delve Tool, a cloud-based software as a tool for qualitative assessment. To demonstrate trustworthiness a reflexive journal will be kept by the PI and reviewed by the project panel. The AI assisted features of the Delve Tool will also serve as structure for the development of themes. To demonstrate credibility the </w:t>
      </w:r>
      <w:r w:rsidRPr="007A00D2">
        <w:rPr>
          <w:rFonts w:ascii="Times New Roman" w:eastAsia="Times New Roman" w:hAnsi="Times New Roman" w:cs="Times New Roman"/>
          <w:color w:val="000000"/>
          <w:kern w:val="0"/>
          <w:lang w:eastAsia="ja-JP"/>
          <w14:ligatures w14:val="none"/>
        </w:rPr>
        <w:lastRenderedPageBreak/>
        <w:t xml:space="preserve">first chair of the project will review the themed codes for bias. To demonstrate confirmability, the PI used G*Power to calculate sample size to find that 15 participants is sufficient for significance (Table 3). This correlates directly to the transferability of the data from the project. If saturation is met, then transferability of project conclusions increases. </w:t>
      </w:r>
    </w:p>
    <w:p w14:paraId="722AB303"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t xml:space="preserve">Data Analysis </w:t>
      </w:r>
    </w:p>
    <w:p w14:paraId="6B227CC3"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25193CA7" w14:textId="77777777" w:rsidR="007A00D2" w:rsidRPr="007A00D2" w:rsidRDefault="007A00D2" w:rsidP="007A00D2">
      <w:pPr>
        <w:spacing w:line="480" w:lineRule="auto"/>
        <w:ind w:firstLine="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data cleaning wizard on Qualtrics is sufficient for cleaning the data. Once the surveys are completed, they will be sent to the PI’s Qualtrics account. From there the PI can select the confidence scale data and run statistical analysis. The following table describes the variable with the corresponding level of measurement in detail.  </w:t>
      </w:r>
    </w:p>
    <w:tbl>
      <w:tblPr>
        <w:tblStyle w:val="TableGrid1"/>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0"/>
        <w:gridCol w:w="2235"/>
        <w:gridCol w:w="2250"/>
        <w:gridCol w:w="2265"/>
      </w:tblGrid>
      <w:tr w:rsidR="007A00D2" w:rsidRPr="007A00D2" w14:paraId="56D28609" w14:textId="77777777" w:rsidTr="007A00D2">
        <w:trPr>
          <w:trHeight w:val="300"/>
        </w:trPr>
        <w:tc>
          <w:tcPr>
            <w:tcW w:w="2250" w:type="dxa"/>
            <w:tcMar>
              <w:left w:w="105" w:type="dxa"/>
              <w:right w:w="105" w:type="dxa"/>
            </w:tcMar>
          </w:tcPr>
          <w:p w14:paraId="5438973A"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b/>
                <w:bCs/>
              </w:rPr>
              <w:t>Variable</w:t>
            </w:r>
          </w:p>
        </w:tc>
        <w:tc>
          <w:tcPr>
            <w:tcW w:w="2235" w:type="dxa"/>
            <w:tcMar>
              <w:left w:w="105" w:type="dxa"/>
              <w:right w:w="105" w:type="dxa"/>
            </w:tcMar>
          </w:tcPr>
          <w:p w14:paraId="1A0E6DA1"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b/>
                <w:bCs/>
              </w:rPr>
              <w:t>Conceptual Definition</w:t>
            </w:r>
          </w:p>
        </w:tc>
        <w:tc>
          <w:tcPr>
            <w:tcW w:w="2250" w:type="dxa"/>
            <w:tcMar>
              <w:left w:w="105" w:type="dxa"/>
              <w:right w:w="105" w:type="dxa"/>
            </w:tcMar>
          </w:tcPr>
          <w:p w14:paraId="36907FFF"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b/>
                <w:bCs/>
              </w:rPr>
              <w:t>Operational Definition</w:t>
            </w:r>
          </w:p>
        </w:tc>
        <w:tc>
          <w:tcPr>
            <w:tcW w:w="2265" w:type="dxa"/>
            <w:tcMar>
              <w:left w:w="105" w:type="dxa"/>
              <w:right w:w="105" w:type="dxa"/>
            </w:tcMar>
          </w:tcPr>
          <w:p w14:paraId="608B308D"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b/>
                <w:bCs/>
              </w:rPr>
              <w:t>Level of Measurement</w:t>
            </w:r>
          </w:p>
        </w:tc>
      </w:tr>
      <w:tr w:rsidR="007A00D2" w:rsidRPr="007A00D2" w14:paraId="0E48120A" w14:textId="77777777" w:rsidTr="007A00D2">
        <w:trPr>
          <w:trHeight w:val="300"/>
        </w:trPr>
        <w:tc>
          <w:tcPr>
            <w:tcW w:w="2250" w:type="dxa"/>
            <w:tcMar>
              <w:left w:w="105" w:type="dxa"/>
              <w:right w:w="105" w:type="dxa"/>
            </w:tcMar>
          </w:tcPr>
          <w:p w14:paraId="656CE7ED"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Confidence (dependent)</w:t>
            </w:r>
          </w:p>
        </w:tc>
        <w:tc>
          <w:tcPr>
            <w:tcW w:w="2235" w:type="dxa"/>
            <w:tcMar>
              <w:left w:w="105" w:type="dxa"/>
              <w:right w:w="105" w:type="dxa"/>
            </w:tcMar>
          </w:tcPr>
          <w:p w14:paraId="1E0A5514"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The experience of performing a task with internal and external competence (Grundy, 1993)</w:t>
            </w:r>
          </w:p>
          <w:p w14:paraId="0D6E9BE9" w14:textId="77777777" w:rsidR="007A00D2" w:rsidRPr="007A00D2" w:rsidRDefault="007A00D2" w:rsidP="007A00D2">
            <w:pPr>
              <w:rPr>
                <w:rFonts w:ascii="Times New Roman" w:hAnsi="Times New Roman" w:cs="Times New Roman"/>
                <w:color w:val="D13438"/>
              </w:rPr>
            </w:pPr>
          </w:p>
        </w:tc>
        <w:tc>
          <w:tcPr>
            <w:tcW w:w="2250" w:type="dxa"/>
            <w:tcMar>
              <w:left w:w="105" w:type="dxa"/>
              <w:right w:w="105" w:type="dxa"/>
            </w:tcMar>
          </w:tcPr>
          <w:p w14:paraId="67600399"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lang w:val="nb-NO"/>
              </w:rPr>
              <w:t>Grundy’s Likert type C-Scale (Grundy, 1993)</w:t>
            </w:r>
          </w:p>
          <w:p w14:paraId="6976E922" w14:textId="77777777" w:rsidR="007A00D2" w:rsidRPr="007A00D2" w:rsidRDefault="007A00D2" w:rsidP="007A00D2">
            <w:pPr>
              <w:rPr>
                <w:rFonts w:ascii="Times New Roman" w:hAnsi="Times New Roman" w:cs="Times New Roman"/>
                <w:color w:val="D13438"/>
              </w:rPr>
            </w:pPr>
          </w:p>
        </w:tc>
        <w:tc>
          <w:tcPr>
            <w:tcW w:w="2265" w:type="dxa"/>
            <w:tcMar>
              <w:left w:w="105" w:type="dxa"/>
              <w:right w:w="105" w:type="dxa"/>
            </w:tcMar>
          </w:tcPr>
          <w:p w14:paraId="11DAB46A"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scale</w:t>
            </w:r>
          </w:p>
        </w:tc>
      </w:tr>
      <w:tr w:rsidR="007A00D2" w:rsidRPr="007A00D2" w14:paraId="7BA22C0C" w14:textId="77777777" w:rsidTr="007A00D2">
        <w:trPr>
          <w:trHeight w:val="300"/>
        </w:trPr>
        <w:tc>
          <w:tcPr>
            <w:tcW w:w="2250" w:type="dxa"/>
            <w:tcMar>
              <w:left w:w="105" w:type="dxa"/>
              <w:right w:w="105" w:type="dxa"/>
            </w:tcMar>
          </w:tcPr>
          <w:p w14:paraId="7DE8C0B4"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Motivation (dependent)</w:t>
            </w:r>
          </w:p>
        </w:tc>
        <w:tc>
          <w:tcPr>
            <w:tcW w:w="2235" w:type="dxa"/>
            <w:tcMar>
              <w:left w:w="105" w:type="dxa"/>
              <w:right w:w="105" w:type="dxa"/>
            </w:tcMar>
          </w:tcPr>
          <w:p w14:paraId="6535A6A2"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The desire to do a task for internal satisfaction (CSDT, 2025)</w:t>
            </w:r>
          </w:p>
        </w:tc>
        <w:tc>
          <w:tcPr>
            <w:tcW w:w="2250" w:type="dxa"/>
            <w:tcMar>
              <w:left w:w="105" w:type="dxa"/>
              <w:right w:w="105" w:type="dxa"/>
            </w:tcMar>
          </w:tcPr>
          <w:p w14:paraId="56468EC2" w14:textId="77777777" w:rsidR="007A00D2" w:rsidRPr="007A00D2" w:rsidRDefault="007A00D2" w:rsidP="007A00D2">
            <w:pPr>
              <w:rPr>
                <w:rFonts w:ascii="Times New Roman" w:hAnsi="Times New Roman" w:cs="Times New Roman"/>
              </w:rPr>
            </w:pPr>
            <w:r w:rsidRPr="007A00D2">
              <w:rPr>
                <w:rFonts w:ascii="Times New Roman" w:hAnsi="Times New Roman" w:cs="Times New Roman"/>
                <w:lang w:val="nb-NO"/>
              </w:rPr>
              <w:t xml:space="preserve">Intrinsic Motivation Inventory </w:t>
            </w:r>
          </w:p>
        </w:tc>
        <w:tc>
          <w:tcPr>
            <w:tcW w:w="2265" w:type="dxa"/>
            <w:tcMar>
              <w:left w:w="105" w:type="dxa"/>
              <w:right w:w="105" w:type="dxa"/>
            </w:tcMar>
          </w:tcPr>
          <w:p w14:paraId="6BDF969E"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scale</w:t>
            </w:r>
          </w:p>
        </w:tc>
      </w:tr>
      <w:tr w:rsidR="007A00D2" w:rsidRPr="007A00D2" w14:paraId="63822395" w14:textId="77777777" w:rsidTr="007A00D2">
        <w:trPr>
          <w:trHeight w:val="300"/>
        </w:trPr>
        <w:tc>
          <w:tcPr>
            <w:tcW w:w="2250" w:type="dxa"/>
            <w:tcMar>
              <w:left w:w="105" w:type="dxa"/>
              <w:right w:w="105" w:type="dxa"/>
            </w:tcMar>
          </w:tcPr>
          <w:p w14:paraId="1780C3EB"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Years of experience (independent)</w:t>
            </w:r>
          </w:p>
        </w:tc>
        <w:tc>
          <w:tcPr>
            <w:tcW w:w="2235" w:type="dxa"/>
            <w:tcMar>
              <w:left w:w="105" w:type="dxa"/>
              <w:right w:w="105" w:type="dxa"/>
            </w:tcMar>
          </w:tcPr>
          <w:p w14:paraId="41E8D614"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How long the participant has worked as a provider</w:t>
            </w:r>
          </w:p>
        </w:tc>
        <w:tc>
          <w:tcPr>
            <w:tcW w:w="2250" w:type="dxa"/>
            <w:tcMar>
              <w:left w:w="105" w:type="dxa"/>
              <w:right w:w="105" w:type="dxa"/>
            </w:tcMar>
          </w:tcPr>
          <w:p w14:paraId="1C699097"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Number of years in the profession (</w:t>
            </w:r>
            <w:proofErr w:type="spellStart"/>
            <w:r w:rsidRPr="007A00D2">
              <w:rPr>
                <w:rFonts w:ascii="Times New Roman" w:hAnsi="Times New Roman" w:cs="Times New Roman"/>
              </w:rPr>
              <w:t>Maashi</w:t>
            </w:r>
            <w:proofErr w:type="spellEnd"/>
            <w:r w:rsidRPr="007A00D2">
              <w:rPr>
                <w:rFonts w:ascii="Times New Roman" w:hAnsi="Times New Roman" w:cs="Times New Roman"/>
              </w:rPr>
              <w:t xml:space="preserve"> et al., 2024)</w:t>
            </w:r>
          </w:p>
        </w:tc>
        <w:tc>
          <w:tcPr>
            <w:tcW w:w="2265" w:type="dxa"/>
            <w:tcMar>
              <w:left w:w="105" w:type="dxa"/>
              <w:right w:w="105" w:type="dxa"/>
            </w:tcMar>
          </w:tcPr>
          <w:p w14:paraId="18DCA3BC"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scale</w:t>
            </w:r>
          </w:p>
        </w:tc>
      </w:tr>
      <w:tr w:rsidR="007A00D2" w:rsidRPr="007A00D2" w14:paraId="22672350" w14:textId="77777777" w:rsidTr="007A00D2">
        <w:trPr>
          <w:trHeight w:val="300"/>
        </w:trPr>
        <w:tc>
          <w:tcPr>
            <w:tcW w:w="2250" w:type="dxa"/>
            <w:tcMar>
              <w:left w:w="105" w:type="dxa"/>
              <w:right w:w="105" w:type="dxa"/>
            </w:tcMar>
          </w:tcPr>
          <w:p w14:paraId="129C057D"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Care setting (independent)</w:t>
            </w:r>
          </w:p>
        </w:tc>
        <w:tc>
          <w:tcPr>
            <w:tcW w:w="2235" w:type="dxa"/>
            <w:tcMar>
              <w:left w:w="105" w:type="dxa"/>
              <w:right w:w="105" w:type="dxa"/>
            </w:tcMar>
          </w:tcPr>
          <w:p w14:paraId="068B57A4"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The providers may work in primary care or specialty care settings</w:t>
            </w:r>
          </w:p>
        </w:tc>
        <w:tc>
          <w:tcPr>
            <w:tcW w:w="2250" w:type="dxa"/>
            <w:tcMar>
              <w:left w:w="105" w:type="dxa"/>
              <w:right w:w="105" w:type="dxa"/>
            </w:tcMar>
          </w:tcPr>
          <w:p w14:paraId="2AADF024"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The type of healthcare setting that the patient receives care (</w:t>
            </w:r>
            <w:r w:rsidRPr="007A00D2">
              <w:rPr>
                <w:rFonts w:ascii="Times New Roman" w:hAnsi="Times New Roman" w:cs="Times New Roman"/>
                <w:color w:val="000000"/>
              </w:rPr>
              <w:t>Fadaei,</w:t>
            </w:r>
            <w:r w:rsidRPr="007A00D2">
              <w:rPr>
                <w:rFonts w:ascii="Times New Roman" w:hAnsi="Times New Roman" w:cs="Times New Roman"/>
              </w:rPr>
              <w:t xml:space="preserve"> et al., 2024)</w:t>
            </w:r>
          </w:p>
        </w:tc>
        <w:tc>
          <w:tcPr>
            <w:tcW w:w="2265" w:type="dxa"/>
            <w:tcMar>
              <w:left w:w="105" w:type="dxa"/>
              <w:right w:w="105" w:type="dxa"/>
            </w:tcMar>
          </w:tcPr>
          <w:p w14:paraId="6DE26C71"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nominal</w:t>
            </w:r>
          </w:p>
        </w:tc>
      </w:tr>
      <w:tr w:rsidR="007A00D2" w:rsidRPr="007A00D2" w14:paraId="72D6EF0A" w14:textId="77777777" w:rsidTr="007A00D2">
        <w:trPr>
          <w:trHeight w:val="300"/>
        </w:trPr>
        <w:tc>
          <w:tcPr>
            <w:tcW w:w="2250" w:type="dxa"/>
            <w:tcMar>
              <w:left w:w="105" w:type="dxa"/>
              <w:right w:w="105" w:type="dxa"/>
            </w:tcMar>
          </w:tcPr>
          <w:p w14:paraId="69C27C11"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State of practice (independent)</w:t>
            </w:r>
          </w:p>
        </w:tc>
        <w:tc>
          <w:tcPr>
            <w:tcW w:w="2235" w:type="dxa"/>
            <w:tcMar>
              <w:left w:w="105" w:type="dxa"/>
              <w:right w:w="105" w:type="dxa"/>
            </w:tcMar>
          </w:tcPr>
          <w:p w14:paraId="651E875E"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Any one of the fifty states in the United States</w:t>
            </w:r>
          </w:p>
        </w:tc>
        <w:tc>
          <w:tcPr>
            <w:tcW w:w="2250" w:type="dxa"/>
            <w:tcMar>
              <w:left w:w="105" w:type="dxa"/>
              <w:right w:w="105" w:type="dxa"/>
            </w:tcMar>
          </w:tcPr>
          <w:p w14:paraId="5F3C1044"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Any one of the fifty states in the United States. Selecting option on survey</w:t>
            </w:r>
          </w:p>
          <w:p w14:paraId="1E48E8DB"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(Zhong et al., 2024)</w:t>
            </w:r>
          </w:p>
          <w:p w14:paraId="6E19DF77" w14:textId="77777777" w:rsidR="007A00D2" w:rsidRPr="007A00D2" w:rsidRDefault="007A00D2" w:rsidP="007A00D2">
            <w:pPr>
              <w:rPr>
                <w:rFonts w:ascii="Times New Roman" w:hAnsi="Times New Roman" w:cs="Times New Roman"/>
                <w:color w:val="D13438"/>
              </w:rPr>
            </w:pPr>
          </w:p>
        </w:tc>
        <w:tc>
          <w:tcPr>
            <w:tcW w:w="2265" w:type="dxa"/>
            <w:tcMar>
              <w:left w:w="105" w:type="dxa"/>
              <w:right w:w="105" w:type="dxa"/>
            </w:tcMar>
          </w:tcPr>
          <w:p w14:paraId="719EC420"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lastRenderedPageBreak/>
              <w:t>nominal</w:t>
            </w:r>
          </w:p>
        </w:tc>
      </w:tr>
      <w:tr w:rsidR="007A00D2" w:rsidRPr="007A00D2" w14:paraId="08B13BA1" w14:textId="77777777" w:rsidTr="007A00D2">
        <w:trPr>
          <w:trHeight w:val="300"/>
        </w:trPr>
        <w:tc>
          <w:tcPr>
            <w:tcW w:w="2250" w:type="dxa"/>
            <w:tcMar>
              <w:left w:w="105" w:type="dxa"/>
              <w:right w:w="105" w:type="dxa"/>
            </w:tcMar>
          </w:tcPr>
          <w:p w14:paraId="3A9D56BB"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Level of Education (independent)</w:t>
            </w:r>
          </w:p>
        </w:tc>
        <w:tc>
          <w:tcPr>
            <w:tcW w:w="2235" w:type="dxa"/>
            <w:tcMar>
              <w:left w:w="105" w:type="dxa"/>
              <w:right w:w="105" w:type="dxa"/>
            </w:tcMar>
          </w:tcPr>
          <w:p w14:paraId="411526C4"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Masters (PA, APRN)</w:t>
            </w:r>
          </w:p>
          <w:p w14:paraId="637CF715"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Or doctorate (Physician or DNP)</w:t>
            </w:r>
          </w:p>
        </w:tc>
        <w:tc>
          <w:tcPr>
            <w:tcW w:w="2250" w:type="dxa"/>
            <w:tcMar>
              <w:left w:w="105" w:type="dxa"/>
              <w:right w:w="105" w:type="dxa"/>
            </w:tcMar>
          </w:tcPr>
          <w:p w14:paraId="4C1FBE37"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Level of education select one of two options (Vitale et al., 2024)</w:t>
            </w:r>
          </w:p>
        </w:tc>
        <w:tc>
          <w:tcPr>
            <w:tcW w:w="2265" w:type="dxa"/>
            <w:tcMar>
              <w:left w:w="105" w:type="dxa"/>
              <w:right w:w="105" w:type="dxa"/>
            </w:tcMar>
          </w:tcPr>
          <w:p w14:paraId="78D118CC"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nominal</w:t>
            </w:r>
          </w:p>
        </w:tc>
      </w:tr>
      <w:tr w:rsidR="007A00D2" w:rsidRPr="007A00D2" w14:paraId="79976EC3" w14:textId="77777777" w:rsidTr="007A00D2">
        <w:trPr>
          <w:trHeight w:val="300"/>
        </w:trPr>
        <w:tc>
          <w:tcPr>
            <w:tcW w:w="2250" w:type="dxa"/>
            <w:tcMar>
              <w:left w:w="105" w:type="dxa"/>
              <w:right w:w="105" w:type="dxa"/>
            </w:tcMar>
          </w:tcPr>
          <w:p w14:paraId="12494A29"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Type of License (independent)</w:t>
            </w:r>
          </w:p>
        </w:tc>
        <w:tc>
          <w:tcPr>
            <w:tcW w:w="2235" w:type="dxa"/>
            <w:tcMar>
              <w:left w:w="105" w:type="dxa"/>
              <w:right w:w="105" w:type="dxa"/>
            </w:tcMar>
          </w:tcPr>
          <w:p w14:paraId="20AEC2FD"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 xml:space="preserve">PA, APRN, Physician </w:t>
            </w:r>
          </w:p>
        </w:tc>
        <w:tc>
          <w:tcPr>
            <w:tcW w:w="2250" w:type="dxa"/>
            <w:tcMar>
              <w:left w:w="105" w:type="dxa"/>
              <w:right w:w="105" w:type="dxa"/>
            </w:tcMar>
          </w:tcPr>
          <w:p w14:paraId="6B7B314F"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Selecting one of three provider licenses (Zhong et al., 2024)</w:t>
            </w:r>
          </w:p>
          <w:p w14:paraId="701F95E3" w14:textId="77777777" w:rsidR="007A00D2" w:rsidRPr="007A00D2" w:rsidRDefault="007A00D2" w:rsidP="007A00D2">
            <w:pPr>
              <w:rPr>
                <w:rFonts w:ascii="Times New Roman" w:hAnsi="Times New Roman" w:cs="Times New Roman"/>
                <w:color w:val="D13438"/>
              </w:rPr>
            </w:pPr>
          </w:p>
        </w:tc>
        <w:tc>
          <w:tcPr>
            <w:tcW w:w="2265" w:type="dxa"/>
            <w:tcMar>
              <w:left w:w="105" w:type="dxa"/>
              <w:right w:w="105" w:type="dxa"/>
            </w:tcMar>
          </w:tcPr>
          <w:p w14:paraId="06C61EC7" w14:textId="77777777" w:rsidR="007A00D2" w:rsidRPr="007A00D2" w:rsidRDefault="007A00D2" w:rsidP="007A00D2">
            <w:pPr>
              <w:rPr>
                <w:rFonts w:ascii="Times New Roman" w:hAnsi="Times New Roman" w:cs="Times New Roman"/>
                <w:color w:val="D13438"/>
              </w:rPr>
            </w:pPr>
            <w:r w:rsidRPr="007A00D2">
              <w:rPr>
                <w:rFonts w:ascii="Times New Roman" w:hAnsi="Times New Roman" w:cs="Times New Roman"/>
              </w:rPr>
              <w:t xml:space="preserve">nominal </w:t>
            </w:r>
          </w:p>
        </w:tc>
      </w:tr>
      <w:tr w:rsidR="007A00D2" w:rsidRPr="007A00D2" w14:paraId="3D287B0C" w14:textId="77777777" w:rsidTr="007A00D2">
        <w:trPr>
          <w:trHeight w:val="300"/>
        </w:trPr>
        <w:tc>
          <w:tcPr>
            <w:tcW w:w="2250" w:type="dxa"/>
            <w:tcMar>
              <w:left w:w="105" w:type="dxa"/>
              <w:right w:w="105" w:type="dxa"/>
            </w:tcMar>
          </w:tcPr>
          <w:p w14:paraId="41813111"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Gender</w:t>
            </w:r>
          </w:p>
        </w:tc>
        <w:tc>
          <w:tcPr>
            <w:tcW w:w="2235" w:type="dxa"/>
            <w:tcMar>
              <w:left w:w="105" w:type="dxa"/>
              <w:right w:w="105" w:type="dxa"/>
            </w:tcMar>
          </w:tcPr>
          <w:p w14:paraId="14442754"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Gender identity</w:t>
            </w:r>
          </w:p>
        </w:tc>
        <w:tc>
          <w:tcPr>
            <w:tcW w:w="2250" w:type="dxa"/>
            <w:tcMar>
              <w:left w:w="105" w:type="dxa"/>
              <w:right w:w="105" w:type="dxa"/>
            </w:tcMar>
          </w:tcPr>
          <w:p w14:paraId="15A5864D"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Gender</w:t>
            </w:r>
          </w:p>
        </w:tc>
        <w:tc>
          <w:tcPr>
            <w:tcW w:w="2265" w:type="dxa"/>
            <w:tcMar>
              <w:left w:w="105" w:type="dxa"/>
              <w:right w:w="105" w:type="dxa"/>
            </w:tcMar>
          </w:tcPr>
          <w:p w14:paraId="0A1E0813"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nominal</w:t>
            </w:r>
          </w:p>
        </w:tc>
      </w:tr>
      <w:tr w:rsidR="007A00D2" w:rsidRPr="007A00D2" w14:paraId="17C2317B" w14:textId="77777777" w:rsidTr="007A00D2">
        <w:trPr>
          <w:trHeight w:val="300"/>
        </w:trPr>
        <w:tc>
          <w:tcPr>
            <w:tcW w:w="2250" w:type="dxa"/>
            <w:tcMar>
              <w:left w:w="105" w:type="dxa"/>
              <w:right w:w="105" w:type="dxa"/>
            </w:tcMar>
          </w:tcPr>
          <w:p w14:paraId="55055366"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Race/Ethnicity</w:t>
            </w:r>
          </w:p>
        </w:tc>
        <w:tc>
          <w:tcPr>
            <w:tcW w:w="2235" w:type="dxa"/>
            <w:tcMar>
              <w:left w:w="105" w:type="dxa"/>
              <w:right w:w="105" w:type="dxa"/>
            </w:tcMar>
          </w:tcPr>
          <w:p w14:paraId="485D5A4E"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 xml:space="preserve">Race or ethnic identity </w:t>
            </w:r>
          </w:p>
        </w:tc>
        <w:tc>
          <w:tcPr>
            <w:tcW w:w="2250" w:type="dxa"/>
            <w:tcMar>
              <w:left w:w="105" w:type="dxa"/>
              <w:right w:w="105" w:type="dxa"/>
            </w:tcMar>
          </w:tcPr>
          <w:p w14:paraId="405E2B8B"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Race/ethnicity</w:t>
            </w:r>
          </w:p>
        </w:tc>
        <w:tc>
          <w:tcPr>
            <w:tcW w:w="2265" w:type="dxa"/>
            <w:tcMar>
              <w:left w:w="105" w:type="dxa"/>
              <w:right w:w="105" w:type="dxa"/>
            </w:tcMar>
          </w:tcPr>
          <w:p w14:paraId="77B938BA" w14:textId="77777777" w:rsidR="007A00D2" w:rsidRPr="007A00D2" w:rsidRDefault="007A00D2" w:rsidP="007A00D2">
            <w:pPr>
              <w:rPr>
                <w:rFonts w:ascii="Times New Roman" w:hAnsi="Times New Roman" w:cs="Times New Roman"/>
              </w:rPr>
            </w:pPr>
            <w:r w:rsidRPr="007A00D2">
              <w:rPr>
                <w:rFonts w:ascii="Times New Roman" w:hAnsi="Times New Roman" w:cs="Times New Roman"/>
              </w:rPr>
              <w:t>nominal</w:t>
            </w:r>
          </w:p>
        </w:tc>
      </w:tr>
    </w:tbl>
    <w:p w14:paraId="0FF1038B"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2C21A664"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21F91B54" w14:textId="77777777" w:rsidR="007A00D2" w:rsidRPr="007A00D2" w:rsidRDefault="007A00D2" w:rsidP="007A00D2">
      <w:pPr>
        <w:spacing w:line="480" w:lineRule="auto"/>
        <w:ind w:firstLine="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Once the survey has been collected on Qualtrics, the quantitative data will be uploaded to </w:t>
      </w:r>
      <w:proofErr w:type="spellStart"/>
      <w:r w:rsidRPr="007A00D2">
        <w:rPr>
          <w:rFonts w:ascii="Times New Roman" w:eastAsia="Times New Roman" w:hAnsi="Times New Roman" w:cs="Times New Roman"/>
          <w:color w:val="000000"/>
          <w:kern w:val="0"/>
          <w:lang w:eastAsia="ja-JP"/>
          <w14:ligatures w14:val="none"/>
        </w:rPr>
        <w:t>Intellectus</w:t>
      </w:r>
      <w:proofErr w:type="spellEnd"/>
      <w:r w:rsidRPr="007A00D2">
        <w:rPr>
          <w:rFonts w:ascii="Times New Roman" w:eastAsia="Times New Roman" w:hAnsi="Times New Roman" w:cs="Times New Roman"/>
          <w:color w:val="000000"/>
          <w:kern w:val="0"/>
          <w:lang w:eastAsia="ja-JP"/>
          <w14:ligatures w14:val="none"/>
        </w:rPr>
        <w:t xml:space="preserve"> Statistics. Descriptive statistics will be identified for all the quantitative variables. If a Pearson’s correlation test is appropriate for the demographic data, then correlations between the demographic data and the confidence scale results will be conducted. A Mann-Whitney U test will be run on the Likert scales. In this test, the scores between how providers or DNP students answered the pre and posttests will be analyzed for statistical significance. The null hypothesis for this test would be that there is no significant difference between the confidence of a provider in educating families on multicomponent behavior-based interventions after the education intervention. Any correlations within the Likert scales will be determined by Spearman’s rho. </w:t>
      </w:r>
    </w:p>
    <w:p w14:paraId="6C9A268D" w14:textId="77777777" w:rsidR="007A00D2" w:rsidRPr="007A00D2" w:rsidRDefault="007A00D2" w:rsidP="007A00D2">
      <w:pPr>
        <w:spacing w:line="480" w:lineRule="auto"/>
        <w:ind w:firstLine="720"/>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qualitative portion of this mixed methods project will be managed by uploading the provider’s responses to the Delve Tool platform. These short answers to the four open-ended questions have been typed out by the participants. The themes were coded by repetition so that each theme has numerous examples of supporting quotes. Anomalies, like themes with very few supportive quotes, were categorized as subthemes, discarded, or identified as a point that was not identified as a theme.  </w:t>
      </w:r>
    </w:p>
    <w:p w14:paraId="70C5E289"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lastRenderedPageBreak/>
        <w:t>Timetable</w:t>
      </w:r>
      <w:r w:rsidRPr="007A00D2">
        <w:rPr>
          <w:rFonts w:ascii="Times New Roman" w:eastAsia="Times New Roman" w:hAnsi="Times New Roman" w:cs="Times New Roman"/>
          <w:color w:val="000000"/>
          <w:kern w:val="0"/>
          <w:lang w:eastAsia="ja-JP"/>
          <w14:ligatures w14:val="none"/>
        </w:rPr>
        <w:t xml:space="preserve">  </w:t>
      </w:r>
    </w:p>
    <w:p w14:paraId="72909096"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2F07BD35"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proposal development began in September 2024. The proposal hearing was completed in March 2025. Recruitment began with the site permission approvals in the fall of 2024. Recruitment of participants began in May after IRB approval. Data was collected between May to July of 2025. The analysis of the data was completed by August and the writing up was completed in October. The culmination of the project, the defense, was completed in December 2025. An additional timeline table of the project is listed under Table 4. </w:t>
      </w:r>
    </w:p>
    <w:p w14:paraId="56F277B0" w14:textId="77777777" w:rsidR="007A00D2" w:rsidRPr="007A00D2" w:rsidRDefault="007A00D2" w:rsidP="007A00D2">
      <w:pPr>
        <w:spacing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The expected participant time commitment is minimal. Upon completing the informed consent, participants began a fifty-minute process of answering the demographic questions, one confidence scale, one educational PowerPoint, two post-test scales, and four open-ended questions. The participants could then copy and paste the URL link to an email, text message, or other communication platform to send the survey to other providers if they chose to do so.  </w:t>
      </w:r>
    </w:p>
    <w:p w14:paraId="2EE6882F"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5D034678"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r w:rsidRPr="007A00D2">
        <w:rPr>
          <w:rFonts w:ascii="Times New Roman" w:eastAsia="Times New Roman" w:hAnsi="Times New Roman" w:cs="Times New Roman"/>
          <w:b/>
          <w:bCs/>
          <w:color w:val="000000"/>
          <w:kern w:val="0"/>
          <w:lang w:eastAsia="ja-JP"/>
          <w14:ligatures w14:val="none"/>
        </w:rPr>
        <w:t>Conclusion</w:t>
      </w:r>
    </w:p>
    <w:p w14:paraId="61B349CD" w14:textId="77777777" w:rsidR="007A00D2" w:rsidRPr="007A00D2" w:rsidRDefault="007A00D2" w:rsidP="007A00D2">
      <w:pPr>
        <w:spacing w:line="279" w:lineRule="auto"/>
        <w:rPr>
          <w:rFonts w:ascii="Times New Roman" w:eastAsia="Times New Roman" w:hAnsi="Times New Roman" w:cs="Times New Roman"/>
          <w:color w:val="D13438"/>
          <w:kern w:val="0"/>
          <w:lang w:eastAsia="ja-JP"/>
          <w14:ligatures w14:val="none"/>
        </w:rPr>
      </w:pPr>
    </w:p>
    <w:p w14:paraId="36232001" w14:textId="77777777" w:rsidR="007A00D2" w:rsidRPr="007A00D2" w:rsidRDefault="007A00D2" w:rsidP="007A00D2">
      <w:pPr>
        <w:spacing w:after="0" w:line="480" w:lineRule="auto"/>
        <w:ind w:firstLine="720"/>
        <w:rPr>
          <w:rFonts w:ascii="Times New Roman" w:eastAsia="Times New Roman" w:hAnsi="Times New Roman" w:cs="Times New Roman"/>
          <w:color w:val="000000"/>
          <w:kern w:val="0"/>
          <w:lang w:eastAsia="ja-JP"/>
          <w14:ligatures w14:val="none"/>
        </w:rPr>
      </w:pPr>
      <w:r w:rsidRPr="007A00D2">
        <w:rPr>
          <w:rFonts w:ascii="Times New Roman" w:eastAsia="Times New Roman" w:hAnsi="Times New Roman" w:cs="Times New Roman"/>
          <w:color w:val="000000"/>
          <w:kern w:val="0"/>
          <w:lang w:eastAsia="ja-JP"/>
          <w14:ligatures w14:val="none"/>
        </w:rPr>
        <w:t xml:space="preserve">This mixed methods project required the orchestration of many moving parts. The quantitative elements of the provider survey included the C-scale and IMI data analysis. The qualitative elements included the thematic coding of the open-ended questions. Descriptive statistics were performed for both data sets. </w:t>
      </w:r>
      <w:proofErr w:type="gramStart"/>
      <w:r w:rsidRPr="007A00D2">
        <w:rPr>
          <w:rFonts w:ascii="Times New Roman" w:eastAsia="Times New Roman" w:hAnsi="Times New Roman" w:cs="Times New Roman"/>
          <w:color w:val="000000"/>
          <w:kern w:val="0"/>
          <w:lang w:eastAsia="ja-JP"/>
          <w14:ligatures w14:val="none"/>
        </w:rPr>
        <w:t>The project</w:t>
      </w:r>
      <w:proofErr w:type="gramEnd"/>
      <w:r w:rsidRPr="007A00D2">
        <w:rPr>
          <w:rFonts w:ascii="Times New Roman" w:eastAsia="Times New Roman" w:hAnsi="Times New Roman" w:cs="Times New Roman"/>
          <w:color w:val="000000"/>
          <w:kern w:val="0"/>
          <w:lang w:eastAsia="ja-JP"/>
          <w14:ligatures w14:val="none"/>
        </w:rPr>
        <w:t xml:space="preserve"> participants were recruited in May 2025 through two pediatric primary care sites and snowball sampling methods. The participants needed to meet inclusion criteria to complete the survey. All participants were protected and remained anonymous to the PI and project team. No de-identification of data was required at any </w:t>
      </w:r>
      <w:r w:rsidRPr="007A00D2">
        <w:rPr>
          <w:rFonts w:ascii="Times New Roman" w:eastAsia="Times New Roman" w:hAnsi="Times New Roman" w:cs="Times New Roman"/>
          <w:color w:val="000000"/>
          <w:kern w:val="0"/>
          <w:lang w:eastAsia="ja-JP"/>
          <w14:ligatures w14:val="none"/>
        </w:rPr>
        <w:lastRenderedPageBreak/>
        <w:t>point during the data collection. The Regis College IRB committee approved the project in April 2025 allowing the PI to commence the next stages of the project, data collection and analysis.</w:t>
      </w:r>
    </w:p>
    <w:p w14:paraId="7C8F9ABB" w14:textId="77777777" w:rsidR="007A00D2" w:rsidRPr="007A00D2" w:rsidRDefault="007A00D2" w:rsidP="007A00D2">
      <w:pPr>
        <w:spacing w:line="279" w:lineRule="auto"/>
        <w:jc w:val="center"/>
        <w:rPr>
          <w:rFonts w:ascii="Times New Roman" w:eastAsia="Times New Roman" w:hAnsi="Times New Roman" w:cs="Times New Roman"/>
          <w:color w:val="000000"/>
          <w:kern w:val="0"/>
          <w:lang w:eastAsia="ja-JP"/>
          <w14:ligatures w14:val="none"/>
        </w:rPr>
      </w:pPr>
    </w:p>
    <w:p w14:paraId="19A05494" w14:textId="77777777" w:rsidR="007A00D2" w:rsidRDefault="007A00D2"/>
    <w:p w14:paraId="3148C5F4" w14:textId="77777777" w:rsidR="007A00D2" w:rsidRDefault="007A00D2"/>
    <w:p w14:paraId="381D7276" w14:textId="77777777" w:rsidR="007A00D2" w:rsidRDefault="007A00D2"/>
    <w:p w14:paraId="5539B823" w14:textId="77777777" w:rsidR="007A00D2" w:rsidRDefault="007A00D2"/>
    <w:p w14:paraId="6E7CD41E" w14:textId="77777777" w:rsidR="007A00D2" w:rsidRDefault="007A00D2"/>
    <w:p w14:paraId="1DDD8D6B" w14:textId="77777777" w:rsidR="007A00D2" w:rsidRDefault="007A00D2"/>
    <w:p w14:paraId="72846636" w14:textId="77777777" w:rsidR="007A00D2" w:rsidRDefault="007A00D2"/>
    <w:p w14:paraId="5708D508" w14:textId="77777777" w:rsidR="007A00D2" w:rsidRDefault="007A00D2"/>
    <w:p w14:paraId="4CF99603" w14:textId="77777777" w:rsidR="007A00D2" w:rsidRDefault="007A00D2"/>
    <w:p w14:paraId="29650430" w14:textId="77777777" w:rsidR="007A00D2" w:rsidRDefault="007A00D2"/>
    <w:p w14:paraId="112DC538" w14:textId="77777777" w:rsidR="007A00D2" w:rsidRPr="007A00D2" w:rsidRDefault="007A00D2" w:rsidP="007A00D2">
      <w:pPr>
        <w:spacing w:after="0" w:line="240" w:lineRule="auto"/>
        <w:outlineLvl w:val="2"/>
        <w:rPr>
          <w:rFonts w:ascii="var(--font-family-display)" w:eastAsia="Times New Roman" w:hAnsi="var(--font-family-display)" w:cs="Times New Roman"/>
          <w:b/>
          <w:bCs/>
          <w:kern w:val="0"/>
          <w:sz w:val="27"/>
          <w:szCs w:val="27"/>
          <w14:ligatures w14:val="none"/>
        </w:rPr>
      </w:pPr>
      <w:r w:rsidRPr="007A00D2">
        <w:rPr>
          <w:rFonts w:ascii="var(--font-family-display)" w:eastAsia="Times New Roman" w:hAnsi="var(--font-family-display)" w:cs="Times New Roman"/>
          <w:b/>
          <w:bCs/>
          <w:kern w:val="0"/>
          <w:sz w:val="27"/>
          <w:szCs w:val="27"/>
          <w14:ligatures w14:val="none"/>
        </w:rPr>
        <w:t>Re: Week 10 Discussion 1: Writing and Revising Methodology</w:t>
      </w:r>
    </w:p>
    <w:p w14:paraId="23F3B363" w14:textId="77777777" w:rsidR="007A00D2" w:rsidRPr="007A00D2" w:rsidRDefault="007A00D2" w:rsidP="007A00D2">
      <w:pPr>
        <w:spacing w:after="0" w:line="240" w:lineRule="auto"/>
        <w:rPr>
          <w:rFonts w:ascii="Times New Roman" w:eastAsia="Times New Roman" w:hAnsi="Times New Roman" w:cs="Times New Roman"/>
          <w:kern w:val="0"/>
          <w14:ligatures w14:val="none"/>
        </w:rPr>
      </w:pPr>
      <w:r w:rsidRPr="007A00D2">
        <w:rPr>
          <w:rFonts w:ascii="Times New Roman" w:eastAsia="Times New Roman" w:hAnsi="Times New Roman" w:cs="Times New Roman"/>
          <w:kern w:val="0"/>
          <w14:ligatures w14:val="none"/>
        </w:rPr>
        <w:t>by </w:t>
      </w:r>
      <w:hyperlink r:id="rId7" w:history="1">
        <w:r w:rsidRPr="007A00D2">
          <w:rPr>
            <w:rFonts w:ascii="Times New Roman" w:eastAsia="Times New Roman" w:hAnsi="Times New Roman" w:cs="Times New Roman"/>
            <w:color w:val="0000FF"/>
            <w:kern w:val="0"/>
            <w:u w:val="single"/>
            <w14:ligatures w14:val="none"/>
          </w:rPr>
          <w:t xml:space="preserve">Keiandra </w:t>
        </w:r>
        <w:proofErr w:type="spellStart"/>
        <w:r w:rsidRPr="007A00D2">
          <w:rPr>
            <w:rFonts w:ascii="Times New Roman" w:eastAsia="Times New Roman" w:hAnsi="Times New Roman" w:cs="Times New Roman"/>
            <w:color w:val="0000FF"/>
            <w:kern w:val="0"/>
            <w:u w:val="single"/>
            <w14:ligatures w14:val="none"/>
          </w:rPr>
          <w:t>Bludsaw</w:t>
        </w:r>
        <w:proofErr w:type="spellEnd"/>
      </w:hyperlink>
      <w:r w:rsidRPr="007A00D2">
        <w:rPr>
          <w:rFonts w:ascii="Times New Roman" w:eastAsia="Times New Roman" w:hAnsi="Times New Roman" w:cs="Times New Roman"/>
          <w:kern w:val="0"/>
          <w14:ligatures w14:val="none"/>
        </w:rPr>
        <w:t> - Tuesday, 11 March 2025, 6:32 PM</w:t>
      </w:r>
    </w:p>
    <w:p w14:paraId="57359FBA" w14:textId="77777777" w:rsidR="007A00D2" w:rsidRPr="007A00D2" w:rsidRDefault="007A00D2" w:rsidP="007A00D2">
      <w:pPr>
        <w:shd w:val="clear" w:color="auto" w:fill="FFFFFF"/>
        <w:spacing w:after="0" w:line="240" w:lineRule="auto"/>
        <w:rPr>
          <w:rFonts w:ascii="Roboto" w:eastAsia="Times New Roman" w:hAnsi="Roboto" w:cs="Times New Roman"/>
          <w:color w:val="1D2125"/>
          <w:kern w:val="0"/>
          <w:sz w:val="23"/>
          <w:szCs w:val="23"/>
          <w14:ligatures w14:val="none"/>
        </w:rPr>
      </w:pPr>
      <w:r w:rsidRPr="007A00D2">
        <w:rPr>
          <w:rFonts w:ascii="Roboto" w:eastAsia="Times New Roman" w:hAnsi="Roboto" w:cs="Times New Roman"/>
          <w:color w:val="1D2125"/>
          <w:kern w:val="0"/>
          <w:sz w:val="23"/>
          <w:szCs w:val="23"/>
          <w14:ligatures w14:val="none"/>
        </w:rPr>
        <w:t>Happy Tuesday everyone,</w:t>
      </w:r>
    </w:p>
    <w:p w14:paraId="3F3D7657" w14:textId="77777777" w:rsidR="007A00D2" w:rsidRPr="007A00D2" w:rsidRDefault="007A00D2" w:rsidP="007A00D2">
      <w:pPr>
        <w:shd w:val="clear" w:color="auto" w:fill="FFFFFF"/>
        <w:spacing w:after="0" w:line="240" w:lineRule="auto"/>
        <w:rPr>
          <w:rFonts w:ascii="Roboto" w:eastAsia="Times New Roman" w:hAnsi="Roboto" w:cs="Times New Roman"/>
          <w:color w:val="1D2125"/>
          <w:kern w:val="0"/>
          <w:sz w:val="23"/>
          <w:szCs w:val="23"/>
          <w14:ligatures w14:val="none"/>
        </w:rPr>
      </w:pPr>
      <w:r w:rsidRPr="007A00D2">
        <w:rPr>
          <w:rFonts w:ascii="Roboto" w:eastAsia="Times New Roman" w:hAnsi="Roboto" w:cs="Times New Roman"/>
          <w:color w:val="1D2125"/>
          <w:kern w:val="0"/>
          <w:sz w:val="23"/>
          <w:szCs w:val="23"/>
          <w14:ligatures w14:val="none"/>
        </w:rPr>
        <w:t> </w:t>
      </w:r>
    </w:p>
    <w:p w14:paraId="33F1C44B" w14:textId="77777777" w:rsidR="007A00D2" w:rsidRPr="007A00D2" w:rsidRDefault="007A00D2" w:rsidP="007A00D2">
      <w:pPr>
        <w:shd w:val="clear" w:color="auto" w:fill="FFFFFF"/>
        <w:spacing w:after="0" w:line="240" w:lineRule="auto"/>
        <w:rPr>
          <w:rFonts w:ascii="Roboto" w:eastAsia="Times New Roman" w:hAnsi="Roboto" w:cs="Times New Roman"/>
          <w:color w:val="1D2125"/>
          <w:kern w:val="0"/>
          <w:sz w:val="23"/>
          <w:szCs w:val="23"/>
          <w14:ligatures w14:val="none"/>
        </w:rPr>
      </w:pPr>
      <w:r w:rsidRPr="007A00D2">
        <w:rPr>
          <w:rFonts w:ascii="Roboto" w:eastAsia="Times New Roman" w:hAnsi="Roboto" w:cs="Times New Roman"/>
          <w:color w:val="1D2125"/>
          <w:kern w:val="0"/>
          <w:sz w:val="23"/>
          <w:szCs w:val="23"/>
          <w14:ligatures w14:val="none"/>
        </w:rPr>
        <w:t>Attached please find Chapter III: Methodology.</w:t>
      </w:r>
    </w:p>
    <w:p w14:paraId="5D043F2C" w14:textId="77777777" w:rsidR="007A00D2" w:rsidRPr="007A00D2" w:rsidRDefault="007A00D2" w:rsidP="007A00D2">
      <w:pPr>
        <w:shd w:val="clear" w:color="auto" w:fill="FFFFFF"/>
        <w:spacing w:after="0" w:line="240" w:lineRule="auto"/>
        <w:rPr>
          <w:rFonts w:ascii="Roboto" w:eastAsia="Times New Roman" w:hAnsi="Roboto" w:cs="Times New Roman"/>
          <w:color w:val="1D2125"/>
          <w:kern w:val="0"/>
          <w:sz w:val="23"/>
          <w:szCs w:val="23"/>
          <w14:ligatures w14:val="none"/>
        </w:rPr>
      </w:pPr>
      <w:r w:rsidRPr="007A00D2">
        <w:rPr>
          <w:rFonts w:ascii="Roboto" w:eastAsia="Times New Roman" w:hAnsi="Roboto" w:cs="Times New Roman"/>
          <w:color w:val="1D2125"/>
          <w:kern w:val="0"/>
          <w:sz w:val="23"/>
          <w:szCs w:val="23"/>
          <w14:ligatures w14:val="none"/>
        </w:rPr>
        <w:t> </w:t>
      </w:r>
    </w:p>
    <w:p w14:paraId="06F8513B" w14:textId="77777777" w:rsidR="007A00D2" w:rsidRPr="007A00D2" w:rsidRDefault="007A00D2" w:rsidP="007A00D2">
      <w:pPr>
        <w:shd w:val="clear" w:color="auto" w:fill="FFFFFF"/>
        <w:spacing w:after="0" w:line="240" w:lineRule="auto"/>
        <w:rPr>
          <w:rFonts w:ascii="Roboto" w:eastAsia="Times New Roman" w:hAnsi="Roboto" w:cs="Times New Roman"/>
          <w:color w:val="1D2125"/>
          <w:kern w:val="0"/>
          <w:sz w:val="23"/>
          <w:szCs w:val="23"/>
          <w14:ligatures w14:val="none"/>
        </w:rPr>
      </w:pPr>
      <w:r w:rsidRPr="007A00D2">
        <w:rPr>
          <w:rFonts w:ascii="Roboto" w:eastAsia="Times New Roman" w:hAnsi="Roboto" w:cs="Times New Roman"/>
          <w:color w:val="1D2125"/>
          <w:kern w:val="0"/>
          <w:sz w:val="23"/>
          <w:szCs w:val="23"/>
          <w14:ligatures w14:val="none"/>
        </w:rPr>
        <w:t>Tell me what you think.  </w:t>
      </w:r>
    </w:p>
    <w:p w14:paraId="7B065B4F" w14:textId="77777777" w:rsidR="007A00D2" w:rsidRDefault="007A00D2"/>
    <w:p w14:paraId="430ACCF6" w14:textId="77777777" w:rsidR="007A00D2" w:rsidRDefault="007A00D2"/>
    <w:p w14:paraId="2CC930E9" w14:textId="77777777" w:rsidR="007A00D2" w:rsidRDefault="007A00D2"/>
    <w:p w14:paraId="04E0B8D6" w14:textId="77777777" w:rsidR="007A00D2" w:rsidRPr="007A00D2" w:rsidRDefault="007A00D2" w:rsidP="007A00D2">
      <w:pPr>
        <w:spacing w:after="0" w:line="279" w:lineRule="auto"/>
        <w:jc w:val="center"/>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Chapter III: Methodology</w:t>
      </w:r>
    </w:p>
    <w:p w14:paraId="3C1FAF47"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 </w:t>
      </w:r>
    </w:p>
    <w:p w14:paraId="2693FFDA"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Introduction</w:t>
      </w:r>
    </w:p>
    <w:p w14:paraId="16CB057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  </w:t>
      </w:r>
    </w:p>
    <w:p w14:paraId="059E8E91"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This chapter provides a description of the methodological approach to the scholarly practice project on The AHRQ's Fall Prevention Toolkit for nurses in a selected Long-term Care unit (LTC). This chapter will provide details of the project design features, the techniques, and </w:t>
      </w:r>
      <w:r w:rsidRPr="007A00D2">
        <w:rPr>
          <w:rFonts w:ascii="Times" w:eastAsia="Times" w:hAnsi="Times" w:cs="Times"/>
          <w:color w:val="000000"/>
          <w:kern w:val="0"/>
          <w:lang w:eastAsia="ja-JP"/>
          <w14:ligatures w14:val="none"/>
        </w:rPr>
        <w:lastRenderedPageBreak/>
        <w:t>the process that will be used to implement the project goals. This chapter also outlines steps of the evidence-based practice (EBP) model, which serves to underpin the practical evaluation of the project.</w:t>
      </w:r>
    </w:p>
    <w:p w14:paraId="2ECFF159"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This methodological approach is a helpful guide to achieving practical implementation and programming of the educational program evaluation. The approach taken in this chapter is to describe what was done and explain why certain methods and approaches were implemented. The purpose is to define clear objectives that reflect a logical framework to achieve the goals of the project dedicated to increase patient safety due to the improvement of the nursing procedures. </w:t>
      </w:r>
    </w:p>
    <w:p w14:paraId="7A6A9E4C"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 </w:t>
      </w:r>
    </w:p>
    <w:p w14:paraId="6747C7F0"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Project Design </w:t>
      </w:r>
    </w:p>
    <w:p w14:paraId="47CE259E"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The project uses a mixed project design of quantitative (pre and post-test design) and qualitative design (open-ended answers). This project is described as a mixed methods project design consisting of quantitative and qualitative components. Evidence-based practice (EBP) project where the focus is on the enhancement of nursing practices concerning fall prevention. The practice change proposal requires developing an educational session to provide nurses with the readiness and confidence for using a fall toolkit (Huang et al., 2021). The educational project aims to address the issues of fall risk factors, environmental interventions in the long-term facilities, and stimulating intervention techniques to address falls. </w:t>
      </w:r>
    </w:p>
    <w:p w14:paraId="4A85F9A9"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Project Methods/Plan and Procedures </w:t>
      </w:r>
    </w:p>
    <w:p w14:paraId="10C7AB61"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The Evidence-Based Practice (EBP) STAR model, as described by Moran, Gates, Burson, Allen, and Pence (2020), will be used to guarantee a logical workflow for the project.  </w:t>
      </w:r>
    </w:p>
    <w:p w14:paraId="570659B1" w14:textId="77777777" w:rsidR="007A00D2" w:rsidRPr="007A00D2" w:rsidRDefault="007A00D2" w:rsidP="007A00D2">
      <w:pPr>
        <w:numPr>
          <w:ilvl w:val="0"/>
          <w:numId w:val="6"/>
        </w:numPr>
        <w:spacing w:after="0" w:line="480" w:lineRule="auto"/>
        <w:ind w:left="1080"/>
        <w:contextualSpacing/>
        <w:rPr>
          <w:rFonts w:ascii="Times" w:eastAsia="Times" w:hAnsi="Times" w:cs="Times"/>
          <w:color w:val="000000"/>
          <w:kern w:val="0"/>
          <w:lang w:eastAsia="ja-JP"/>
          <w14:ligatures w14:val="none"/>
        </w:rPr>
      </w:pPr>
      <w:r w:rsidRPr="007A00D2">
        <w:rPr>
          <w:rFonts w:ascii="Times" w:eastAsia="Times" w:hAnsi="Times" w:cs="Times"/>
          <w:b/>
          <w:bCs/>
          <w:color w:val="000000"/>
          <w:kern w:val="0"/>
          <w:lang w:eastAsia="ja-JP"/>
          <w14:ligatures w14:val="none"/>
        </w:rPr>
        <w:t>Identify the Problem:</w:t>
      </w:r>
      <w:r w:rsidRPr="007A00D2">
        <w:rPr>
          <w:rFonts w:ascii="Times" w:eastAsia="Times" w:hAnsi="Times" w:cs="Times"/>
          <w:color w:val="000000"/>
          <w:kern w:val="0"/>
          <w:lang w:eastAsia="ja-JP"/>
          <w14:ligatures w14:val="none"/>
        </w:rPr>
        <w:t xml:space="preserve"> The first step is acknowledging that patient falls are standard in LTCs and, therefore, constitute a safety problem. This identification anchors the </w:t>
      </w:r>
      <w:r w:rsidRPr="007A00D2">
        <w:rPr>
          <w:rFonts w:ascii="Times" w:eastAsia="Times" w:hAnsi="Times" w:cs="Times"/>
          <w:color w:val="000000"/>
          <w:kern w:val="0"/>
          <w:lang w:eastAsia="ja-JP"/>
          <w14:ligatures w14:val="none"/>
        </w:rPr>
        <w:lastRenderedPageBreak/>
        <w:t xml:space="preserve">problem with available knowledge and best practices for fall prevention (Huang et al., 2021). </w:t>
      </w:r>
    </w:p>
    <w:p w14:paraId="29ABB0A5" w14:textId="77777777" w:rsidR="007A00D2" w:rsidRPr="007A00D2" w:rsidRDefault="007A00D2" w:rsidP="007A00D2">
      <w:pPr>
        <w:spacing w:after="0" w:line="480" w:lineRule="auto"/>
        <w:ind w:left="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2. </w:t>
      </w:r>
      <w:r w:rsidRPr="007A00D2">
        <w:rPr>
          <w:rFonts w:ascii="Times" w:eastAsia="Times" w:hAnsi="Times" w:cs="Times"/>
          <w:b/>
          <w:bCs/>
          <w:color w:val="000000"/>
          <w:kern w:val="0"/>
          <w:lang w:eastAsia="ja-JP"/>
          <w14:ligatures w14:val="none"/>
        </w:rPr>
        <w:t>Gather Evidence:</w:t>
      </w:r>
      <w:r w:rsidRPr="007A00D2">
        <w:rPr>
          <w:rFonts w:ascii="Times" w:eastAsia="Times" w:hAnsi="Times" w:cs="Times"/>
          <w:color w:val="000000"/>
          <w:kern w:val="0"/>
          <w:lang w:eastAsia="ja-JP"/>
          <w14:ligatures w14:val="none"/>
        </w:rPr>
        <w:t xml:space="preserve"> A literature search was performed to gather available information on fall prevention and educational intervention for nurses. This evidence was useful for forming the educational program, and it is said that such evidence is supported by the results of the project in the works of Davis et al., 2022. </w:t>
      </w:r>
    </w:p>
    <w:p w14:paraId="3AA47F83" w14:textId="77777777" w:rsidR="007A00D2" w:rsidRPr="007A00D2" w:rsidRDefault="007A00D2" w:rsidP="007A00D2">
      <w:pPr>
        <w:spacing w:after="0" w:line="480" w:lineRule="auto"/>
        <w:ind w:left="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3. </w:t>
      </w:r>
      <w:r w:rsidRPr="007A00D2">
        <w:rPr>
          <w:rFonts w:ascii="Times" w:eastAsia="Times" w:hAnsi="Times" w:cs="Times"/>
          <w:b/>
          <w:bCs/>
          <w:color w:val="000000"/>
          <w:kern w:val="0"/>
          <w:lang w:eastAsia="ja-JP"/>
          <w14:ligatures w14:val="none"/>
        </w:rPr>
        <w:t>Appraise Evidence</w:t>
      </w:r>
      <w:r w:rsidRPr="007A00D2">
        <w:rPr>
          <w:rFonts w:ascii="Times" w:eastAsia="Times" w:hAnsi="Times" w:cs="Times"/>
          <w:color w:val="000000"/>
          <w:kern w:val="0"/>
          <w:lang w:eastAsia="ja-JP"/>
          <w14:ligatures w14:val="none"/>
        </w:rPr>
        <w:t xml:space="preserve">: The collected data was critically analyzed in terms of its validity, reliability, and usefulness relevant to the Long-term Care setting. It was also important at this point to note that if the issue is reformulated, this evaluation is crucial for establishing that the evidence selected is appropriate to address the given problem (Bowers et al., 2023). </w:t>
      </w:r>
    </w:p>
    <w:p w14:paraId="53BC88B3" w14:textId="77777777" w:rsidR="007A00D2" w:rsidRPr="007A00D2" w:rsidRDefault="007A00D2" w:rsidP="007A00D2">
      <w:pPr>
        <w:spacing w:after="0" w:line="480" w:lineRule="auto"/>
        <w:ind w:left="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4. </w:t>
      </w:r>
      <w:r w:rsidRPr="007A00D2">
        <w:rPr>
          <w:rFonts w:ascii="Times" w:eastAsia="Times" w:hAnsi="Times" w:cs="Times"/>
          <w:b/>
          <w:bCs/>
          <w:color w:val="000000"/>
          <w:kern w:val="0"/>
          <w:lang w:eastAsia="ja-JP"/>
          <w14:ligatures w14:val="none"/>
        </w:rPr>
        <w:t xml:space="preserve">Design the Practice Change: </w:t>
      </w:r>
      <w:r w:rsidRPr="007A00D2">
        <w:rPr>
          <w:rFonts w:ascii="Times" w:eastAsia="Times" w:hAnsi="Times" w:cs="Times"/>
          <w:color w:val="000000"/>
          <w:kern w:val="0"/>
          <w:lang w:eastAsia="ja-JP"/>
          <w14:ligatures w14:val="none"/>
        </w:rPr>
        <w:t xml:space="preserve">According to the </w:t>
      </w:r>
      <w:proofErr w:type="gramStart"/>
      <w:r w:rsidRPr="007A00D2">
        <w:rPr>
          <w:rFonts w:ascii="Times" w:eastAsia="Times" w:hAnsi="Times" w:cs="Times"/>
          <w:color w:val="000000"/>
          <w:kern w:val="0"/>
          <w:lang w:eastAsia="ja-JP"/>
          <w14:ligatures w14:val="none"/>
        </w:rPr>
        <w:t>outlined evidential appraisal</w:t>
      </w:r>
      <w:proofErr w:type="gramEnd"/>
      <w:r w:rsidRPr="007A00D2">
        <w:rPr>
          <w:rFonts w:ascii="Times" w:eastAsia="Times" w:hAnsi="Times" w:cs="Times"/>
          <w:color w:val="000000"/>
          <w:kern w:val="0"/>
          <w:lang w:eastAsia="ja-JP"/>
          <w14:ligatures w14:val="none"/>
        </w:rPr>
        <w:t xml:space="preserve">, an individual educational program that encompasses curriculum content, teaching methodologies, and forms of assessment will be developed. This program will be unique and cater to the nurses' training needs in the selected geriatric units (Huang et al., 2021). </w:t>
      </w:r>
    </w:p>
    <w:p w14:paraId="02D51924" w14:textId="77777777" w:rsidR="007A00D2" w:rsidRPr="007A00D2" w:rsidRDefault="007A00D2" w:rsidP="007A00D2">
      <w:pPr>
        <w:spacing w:after="0" w:line="480" w:lineRule="auto"/>
        <w:ind w:left="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5. </w:t>
      </w:r>
      <w:r w:rsidRPr="007A00D2">
        <w:rPr>
          <w:rFonts w:ascii="Times" w:eastAsia="Times" w:hAnsi="Times" w:cs="Times"/>
          <w:b/>
          <w:bCs/>
          <w:color w:val="000000"/>
          <w:kern w:val="0"/>
          <w:lang w:eastAsia="ja-JP"/>
          <w14:ligatures w14:val="none"/>
        </w:rPr>
        <w:t xml:space="preserve">Implement the Practice Change: </w:t>
      </w:r>
      <w:r w:rsidRPr="007A00D2">
        <w:rPr>
          <w:rFonts w:ascii="Times" w:eastAsia="Times" w:hAnsi="Times" w:cs="Times"/>
          <w:color w:val="000000"/>
          <w:kern w:val="0"/>
          <w:lang w:eastAsia="ja-JP"/>
          <w14:ligatures w14:val="none"/>
        </w:rPr>
        <w:t xml:space="preserve">A pre-test assessment will be given to evaluate existing knowledge and practices in fall prevention to implement the educational initiative for nursing staff on the AHRQ's Falls Toolkit. This assessment involved conducting surveys and facilitating discussions to identify knowledge gaps and areas for improvement. </w:t>
      </w:r>
    </w:p>
    <w:p w14:paraId="443232F3"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Furthermore, an effective sequence of training sessions was planned and implemented to verbally present information and have group discussions with nurses. In these sessions, a brief of the Falls Toolkit which has been designed by the Agency for </w:t>
      </w:r>
      <w:r w:rsidRPr="007A00D2">
        <w:rPr>
          <w:rFonts w:ascii="Times" w:eastAsia="Times" w:hAnsi="Times" w:cs="Times"/>
          <w:color w:val="000000"/>
          <w:kern w:val="0"/>
          <w:lang w:eastAsia="ja-JP"/>
          <w14:ligatures w14:val="none"/>
        </w:rPr>
        <w:lastRenderedPageBreak/>
        <w:t xml:space="preserve">Healthcare Research and Quality (AHRQ) to help the healthcare professionals prevent or minimize the risk of the patient falls. This is comprised of best practices, screening and assessment, and interventions. After the training, the </w:t>
      </w:r>
      <w:proofErr w:type="gramStart"/>
      <w:r w:rsidRPr="007A00D2">
        <w:rPr>
          <w:rFonts w:ascii="Times" w:eastAsia="Times" w:hAnsi="Times" w:cs="Times"/>
          <w:color w:val="000000"/>
          <w:kern w:val="0"/>
          <w:lang w:eastAsia="ja-JP"/>
          <w14:ligatures w14:val="none"/>
        </w:rPr>
        <w:t>posttest</w:t>
      </w:r>
      <w:proofErr w:type="gramEnd"/>
      <w:r w:rsidRPr="007A00D2">
        <w:rPr>
          <w:rFonts w:ascii="Times" w:eastAsia="Times" w:hAnsi="Times" w:cs="Times"/>
          <w:color w:val="000000"/>
          <w:kern w:val="0"/>
          <w:lang w:eastAsia="ja-JP"/>
          <w14:ligatures w14:val="none"/>
        </w:rPr>
        <w:t xml:space="preserve"> is administered and feedback from the participants will be collected to assess their knowledge of the toolkit as well as their readiness toward it. This integrative approach was designed to increase the current extent of knowledge and actual practice of the nurses in preventing the occurrences of fall among the patients, hence boosting the safety of the patients.</w:t>
      </w:r>
    </w:p>
    <w:p w14:paraId="54D968F3" w14:textId="77777777" w:rsidR="007A00D2" w:rsidRPr="007A00D2" w:rsidRDefault="007A00D2" w:rsidP="007A00D2">
      <w:pPr>
        <w:spacing w:after="0" w:line="480" w:lineRule="auto"/>
        <w:ind w:left="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6. </w:t>
      </w:r>
      <w:r w:rsidRPr="007A00D2">
        <w:rPr>
          <w:rFonts w:ascii="Times" w:eastAsia="Times" w:hAnsi="Times" w:cs="Times"/>
          <w:b/>
          <w:bCs/>
          <w:color w:val="000000"/>
          <w:kern w:val="0"/>
          <w:lang w:eastAsia="ja-JP"/>
          <w14:ligatures w14:val="none"/>
        </w:rPr>
        <w:t>Evaluate the Outcomes:</w:t>
      </w:r>
      <w:r w:rsidRPr="007A00D2">
        <w:rPr>
          <w:rFonts w:ascii="Times" w:eastAsia="Times" w:hAnsi="Times" w:cs="Times"/>
          <w:color w:val="000000"/>
          <w:kern w:val="0"/>
          <w:lang w:eastAsia="ja-JP"/>
          <w14:ligatures w14:val="none"/>
        </w:rPr>
        <w:t xml:space="preserve"> The</w:t>
      </w:r>
      <w:r w:rsidRPr="007A00D2">
        <w:rPr>
          <w:rFonts w:ascii="Times" w:eastAsia="Times" w:hAnsi="Times" w:cs="Times"/>
          <w:kern w:val="0"/>
          <w:lang w:eastAsia="ja-JP"/>
          <w14:ligatures w14:val="none"/>
        </w:rPr>
        <w:t xml:space="preserve"> Iowa Evidence-Based Practice (IEBP) Model</w:t>
      </w:r>
      <w:r w:rsidRPr="007A00D2">
        <w:rPr>
          <w:rFonts w:ascii="Times" w:eastAsia="Times" w:hAnsi="Times" w:cs="Times"/>
          <w:color w:val="000000"/>
          <w:kern w:val="0"/>
          <w:lang w:eastAsia="ja-JP"/>
          <w14:ligatures w14:val="none"/>
        </w:rPr>
        <w:t xml:space="preserve"> will be used to measure data from the questionnaires pre- and post-intervention to estimate nurses' knowledge and perception of fall reduction. Further, the occurrence of falls, more specifically after the presentation of the educational program for the patient population, would help to determine the effects or otherwise on the patient's safety. </w:t>
      </w:r>
    </w:p>
    <w:p w14:paraId="339C067F" w14:textId="77777777" w:rsidR="007A00D2" w:rsidRPr="007A00D2" w:rsidRDefault="007A00D2" w:rsidP="007A00D2">
      <w:pPr>
        <w:spacing w:after="0" w:line="480" w:lineRule="auto"/>
        <w:ind w:left="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7. Disseminate: The last approach will be to incorporate measures that will ensure that the practice change is continued after the project's completion. This might require the development of a plan for follow-up training for new staff to encourage growth. These results will be shared with the department staff and the heads of facilities and may also be published in a peer-reviewed Journal of Nursing (Moran et al., 2020). </w:t>
      </w:r>
    </w:p>
    <w:p w14:paraId="03B21646" w14:textId="77777777" w:rsidR="007A00D2" w:rsidRPr="007A00D2" w:rsidRDefault="007A00D2" w:rsidP="007A00D2">
      <w:pPr>
        <w:spacing w:after="0" w:line="480" w:lineRule="auto"/>
        <w:ind w:right="-30"/>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Measurable Objectives</w:t>
      </w:r>
    </w:p>
    <w:p w14:paraId="620D30A1" w14:textId="77777777" w:rsidR="007A00D2" w:rsidRPr="007A00D2" w:rsidRDefault="007A00D2" w:rsidP="007A00D2">
      <w:pPr>
        <w:spacing w:after="0" w:line="480" w:lineRule="auto"/>
        <w:ind w:right="-3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This project seeks to:</w:t>
      </w:r>
    </w:p>
    <w:p w14:paraId="2F0F68FB" w14:textId="77777777" w:rsidR="007A00D2" w:rsidRPr="007A00D2" w:rsidRDefault="007A00D2" w:rsidP="007A00D2">
      <w:pPr>
        <w:numPr>
          <w:ilvl w:val="0"/>
          <w:numId w:val="5"/>
        </w:numPr>
        <w:spacing w:after="0" w:line="480" w:lineRule="auto"/>
        <w:ind w:left="1440" w:right="-30"/>
        <w:contextualSpacing/>
        <w:rPr>
          <w:rFonts w:ascii="Times" w:eastAsia="Times" w:hAnsi="Times" w:cs="Times"/>
          <w:color w:val="000000"/>
          <w:kern w:val="0"/>
          <w:lang w:eastAsia="ja-JP"/>
          <w14:ligatures w14:val="none"/>
        </w:rPr>
      </w:pPr>
      <w:r w:rsidRPr="007A00D2">
        <w:rPr>
          <w:rFonts w:ascii="Times" w:eastAsia="Times" w:hAnsi="Times" w:cs="Times"/>
          <w:color w:val="000000"/>
          <w:kern w:val="0"/>
          <w:lang w:eastAsia="ja-JP"/>
          <w14:ligatures w14:val="none"/>
        </w:rPr>
        <w:t>Create an educational intervention based on the AHRQ toolkit for fall prevention.</w:t>
      </w:r>
    </w:p>
    <w:p w14:paraId="7D3B2C83" w14:textId="77777777" w:rsidR="007A00D2" w:rsidRPr="007A00D2" w:rsidRDefault="007A00D2" w:rsidP="007A00D2">
      <w:pPr>
        <w:numPr>
          <w:ilvl w:val="0"/>
          <w:numId w:val="5"/>
        </w:numPr>
        <w:spacing w:after="0" w:line="480" w:lineRule="auto"/>
        <w:ind w:left="1440" w:right="-30"/>
        <w:contextualSpacing/>
        <w:rPr>
          <w:rFonts w:ascii="Times" w:eastAsia="Times" w:hAnsi="Times" w:cs="Times"/>
          <w:color w:val="000000"/>
          <w:kern w:val="0"/>
          <w:lang w:eastAsia="ja-JP"/>
          <w14:ligatures w14:val="none"/>
        </w:rPr>
      </w:pPr>
      <w:r w:rsidRPr="007A00D2">
        <w:rPr>
          <w:rFonts w:ascii="Times" w:eastAsia="Times" w:hAnsi="Times" w:cs="Times"/>
          <w:color w:val="000000"/>
          <w:kern w:val="0"/>
          <w:lang w:eastAsia="ja-JP"/>
          <w14:ligatures w14:val="none"/>
        </w:rPr>
        <w:t>Increase nurse's knowledge levels about fall prevention using current evidence.</w:t>
      </w:r>
    </w:p>
    <w:p w14:paraId="62279ACB" w14:textId="77777777" w:rsidR="007A00D2" w:rsidRPr="007A00D2" w:rsidRDefault="007A00D2" w:rsidP="007A00D2">
      <w:pPr>
        <w:numPr>
          <w:ilvl w:val="0"/>
          <w:numId w:val="5"/>
        </w:numPr>
        <w:spacing w:after="0" w:line="480" w:lineRule="auto"/>
        <w:ind w:left="1440" w:right="-30"/>
        <w:contextualSpacing/>
        <w:rPr>
          <w:rFonts w:ascii="Times" w:eastAsia="Times" w:hAnsi="Times" w:cs="Times"/>
          <w:color w:val="000000"/>
          <w:kern w:val="0"/>
          <w:lang w:eastAsia="ja-JP"/>
          <w14:ligatures w14:val="none"/>
        </w:rPr>
      </w:pPr>
      <w:r w:rsidRPr="007A00D2">
        <w:rPr>
          <w:rFonts w:ascii="Times" w:eastAsia="Times" w:hAnsi="Times" w:cs="Times"/>
          <w:color w:val="000000"/>
          <w:kern w:val="0"/>
          <w:lang w:eastAsia="ja-JP"/>
          <w14:ligatures w14:val="none"/>
        </w:rPr>
        <w:t>Improve nurse's confidence levels about fall prevention.</w:t>
      </w:r>
    </w:p>
    <w:p w14:paraId="246A4BAB" w14:textId="77777777" w:rsidR="007A00D2" w:rsidRPr="007A00D2" w:rsidRDefault="007A00D2" w:rsidP="007A00D2">
      <w:pPr>
        <w:numPr>
          <w:ilvl w:val="0"/>
          <w:numId w:val="5"/>
        </w:numPr>
        <w:spacing w:after="0" w:line="480" w:lineRule="auto"/>
        <w:ind w:left="1440" w:right="-30"/>
        <w:contextualSpacing/>
        <w:rPr>
          <w:rFonts w:ascii="Times" w:eastAsia="Times" w:hAnsi="Times" w:cs="Times"/>
          <w:color w:val="000000"/>
          <w:kern w:val="0"/>
          <w:lang w:eastAsia="ja-JP"/>
          <w14:ligatures w14:val="none"/>
        </w:rPr>
      </w:pPr>
      <w:r w:rsidRPr="007A00D2">
        <w:rPr>
          <w:rFonts w:ascii="Times" w:eastAsia="Times" w:hAnsi="Times" w:cs="Times"/>
          <w:color w:val="000000"/>
          <w:kern w:val="0"/>
          <w:lang w:eastAsia="ja-JP"/>
          <w14:ligatures w14:val="none"/>
        </w:rPr>
        <w:lastRenderedPageBreak/>
        <w:t>Inspire motivation levels in Nurses to use the AHRQ toolkit for fall prevention in practice.</w:t>
      </w:r>
    </w:p>
    <w:p w14:paraId="1CE5A482"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Evidence-Based Clinical/Practice Question </w:t>
      </w:r>
    </w:p>
    <w:p w14:paraId="30E4CA59" w14:textId="77777777" w:rsidR="007A00D2" w:rsidRPr="007A00D2" w:rsidRDefault="007A00D2" w:rsidP="007A00D2">
      <w:pPr>
        <w:spacing w:after="0" w:line="480" w:lineRule="auto"/>
        <w:ind w:firstLine="720"/>
        <w:jc w:val="both"/>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Does </w:t>
      </w:r>
      <w:proofErr w:type="gramStart"/>
      <w:r w:rsidRPr="007A00D2">
        <w:rPr>
          <w:rFonts w:ascii="Times" w:eastAsia="Times" w:hAnsi="Times" w:cs="Times"/>
          <w:color w:val="000000"/>
          <w:kern w:val="0"/>
          <w:lang w:eastAsia="ja-JP"/>
          <w14:ligatures w14:val="none"/>
        </w:rPr>
        <w:t>An educational</w:t>
      </w:r>
      <w:proofErr w:type="gramEnd"/>
      <w:r w:rsidRPr="007A00D2">
        <w:rPr>
          <w:rFonts w:ascii="Times" w:eastAsia="Times" w:hAnsi="Times" w:cs="Times"/>
          <w:color w:val="000000"/>
          <w:kern w:val="0"/>
          <w:lang w:eastAsia="ja-JP"/>
          <w14:ligatures w14:val="none"/>
        </w:rPr>
        <w:t xml:space="preserve"> intervention about the use of the AHRQ Toolkit for fall prevention improve knowledge, confidence, and motivation levels for nurses in Long-term Care?</w:t>
      </w:r>
    </w:p>
    <w:p w14:paraId="543377DF" w14:textId="77777777" w:rsidR="007A00D2" w:rsidRPr="007A00D2" w:rsidRDefault="007A00D2" w:rsidP="007A00D2">
      <w:pPr>
        <w:keepNext/>
        <w:keepLines/>
        <w:spacing w:after="0" w:line="279" w:lineRule="auto"/>
        <w:outlineLvl w:val="0"/>
        <w:rPr>
          <w:rFonts w:ascii="Aptos Display" w:eastAsia="Times New Roman" w:hAnsi="Aptos Display" w:cs="Times New Roman"/>
          <w:color w:val="0F4761"/>
          <w:kern w:val="0"/>
          <w:sz w:val="40"/>
          <w:szCs w:val="40"/>
          <w:lang w:eastAsia="ja-JP"/>
          <w14:ligatures w14:val="none"/>
        </w:rPr>
      </w:pPr>
      <w:r w:rsidRPr="007A00D2">
        <w:rPr>
          <w:rFonts w:ascii="Times" w:eastAsia="Times" w:hAnsi="Times" w:cs="Times"/>
          <w:b/>
          <w:bCs/>
          <w:color w:val="000000"/>
          <w:kern w:val="0"/>
          <w:lang w:eastAsia="ja-JP"/>
          <w14:ligatures w14:val="none"/>
        </w:rPr>
        <w:t xml:space="preserve">Setting </w:t>
      </w:r>
    </w:p>
    <w:p w14:paraId="558A810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 </w:t>
      </w:r>
    </w:p>
    <w:p w14:paraId="3D859DCC"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proposed site for this project is a Long-term Care, acute care geriatric care center, on the east coast in The United States of America. This LTC care center serves many clients and offers almost all the specialties and facilities of a rehabilitation center, such as palliative care, geriatric care, and a rehabilitation services unit. These units are known to hold occupancy 85%-90% as there is constant inflow of patients requiring acute care. Falls pose increased risk to this population of patients’ health and wellbeing; thus, the LTC is the right setting to make use of the AHRQ falls toolkit.</w:t>
      </w:r>
    </w:p>
    <w:p w14:paraId="4A037F4A"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Sample </w:t>
      </w:r>
    </w:p>
    <w:p w14:paraId="03370E1B"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G*Power tool helped find the correct number of participants for the project. The research uses a paired t-test to examine how nurses develop their subject matter expertise, comfort levels, and drive as they consume the AHRQ Fall Prevention Toolkit knowledge materials. The necessary power to distinguish important statistical results came from this sample size calculation based on these properties:</w:t>
      </w:r>
    </w:p>
    <w:p w14:paraId="7224DB93"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effect this project produced was moderate (Cohen's d = 0.5)</w:t>
      </w:r>
    </w:p>
    <w:p w14:paraId="0B089855"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Alpha (α): 0.05</w:t>
      </w:r>
    </w:p>
    <w:p w14:paraId="63C8BE15"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Power (1 - β): 0.80</w:t>
      </w:r>
    </w:p>
    <w:p w14:paraId="2731173A"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Test: Paired t-test</w:t>
      </w:r>
    </w:p>
    <w:p w14:paraId="2154DF9E"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lastRenderedPageBreak/>
        <w:t>Sample Size Range: 25-30 participants</w:t>
      </w:r>
    </w:p>
    <w:p w14:paraId="5013782E"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A project of 25 nurses has a statistical power value of 0.41, whereas a project of 30 nurses increases power to 0.46. Based on these values, the project can find significant effects of medium size and up but struggles to uncover minor effects.</w:t>
      </w:r>
    </w:p>
    <w:p w14:paraId="15F65701"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The small number of participants available in the chosen long-term care facility sets the practical sample range at 25 to 30 nurses. Results will be assessed for real-world importance through their connection to statistical data as we aim to prevent errors in conclusion. The research team will work towards maintaining perfect data records </w:t>
      </w:r>
      <w:proofErr w:type="gramStart"/>
      <w:r w:rsidRPr="007A00D2">
        <w:rPr>
          <w:rFonts w:ascii="Times" w:eastAsia="Times" w:hAnsi="Times" w:cs="Times"/>
          <w:color w:val="000000"/>
          <w:kern w:val="0"/>
          <w:lang w:eastAsia="ja-JP"/>
          <w14:ligatures w14:val="none"/>
        </w:rPr>
        <w:t>in order to</w:t>
      </w:r>
      <w:proofErr w:type="gramEnd"/>
      <w:r w:rsidRPr="007A00D2">
        <w:rPr>
          <w:rFonts w:ascii="Times" w:eastAsia="Times" w:hAnsi="Times" w:cs="Times"/>
          <w:color w:val="000000"/>
          <w:kern w:val="0"/>
          <w:lang w:eastAsia="ja-JP"/>
          <w14:ligatures w14:val="none"/>
        </w:rPr>
        <w:t xml:space="preserve"> build sound analytical outcomes.</w:t>
      </w:r>
    </w:p>
    <w:p w14:paraId="2674701F"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In identifying 25-30 participants, nurses with experience in Long-term Care settings for this scholarly project on the AHRQ’s Falls Toolkit, the primary investigator (PI) has a broad awareness of the issues and the approaches useful in implementing fall prevention across the population of interest. </w:t>
      </w:r>
    </w:p>
    <w:p w14:paraId="5BFE15EC"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Sampling Method</w:t>
      </w:r>
    </w:p>
    <w:p w14:paraId="3D9BF592"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Participant recruitment for the project will involve using a convenient sampling method. This approach has several advantages:</w:t>
      </w:r>
    </w:p>
    <w:p w14:paraId="2328BF07"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1. Efficiency: Convenience sampling enables quick identification of nurses who are easily accessible in the units of LTCs. This is a boost to the one side given the requirement that </w:t>
      </w:r>
      <w:proofErr w:type="gramStart"/>
      <w:r w:rsidRPr="007A00D2">
        <w:rPr>
          <w:rFonts w:ascii="Times" w:eastAsia="Times" w:hAnsi="Times" w:cs="Times"/>
          <w:color w:val="000000"/>
          <w:kern w:val="0"/>
          <w:lang w:eastAsia="ja-JP"/>
          <w14:ligatures w14:val="none"/>
        </w:rPr>
        <w:t>begin the fall prevention toolkit</w:t>
      </w:r>
      <w:proofErr w:type="gramEnd"/>
      <w:r w:rsidRPr="007A00D2">
        <w:rPr>
          <w:rFonts w:ascii="Times" w:eastAsia="Times" w:hAnsi="Times" w:cs="Times"/>
          <w:color w:val="000000"/>
          <w:kern w:val="0"/>
          <w:lang w:eastAsia="ja-JP"/>
          <w14:ligatures w14:val="none"/>
        </w:rPr>
        <w:t xml:space="preserve">. </w:t>
      </w:r>
    </w:p>
    <w:p w14:paraId="6D3532FA"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2. Accessibility: Since the participants will be drawn from nurses working in the identified units, the project can guarantee that participants are well acquainted with the practices and issues concerning fall prevention within their arena. Such familiarity means an increased ability to make the educational program relevant and effective in meeting the learner’s needs.</w:t>
      </w:r>
    </w:p>
    <w:p w14:paraId="2CF18CF1"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lastRenderedPageBreak/>
        <w:t>3. Immediate engagement: Convenience sampling promotes the use of immediate access to participants who have an interest in their setting. This investment may result in better chances of nurses’ stake holding in the educational program since they can easily associate the training with their work.</w:t>
      </w:r>
    </w:p>
    <w:p w14:paraId="49B8D796"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4. Limitations: It is necessary to state that convenient sampling has its drawbacks. On the one hand, it is effective in terms of the time required to implement the project. This method may also introduce bias because, during the project, only nurses who are association members will be contacted. The project could not capture the views of nurses from a few selected units or nurses with different working experience levels. The project involves a sample of 20-30 nurses and convenience sampling to guarantee the consideration of the project’s value for fall prevention education while remaining feasible and timely. </w:t>
      </w:r>
    </w:p>
    <w:p w14:paraId="53336DC2"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Recruitment Plan</w:t>
      </w:r>
    </w:p>
    <w:p w14:paraId="77068443"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Participants will be recruited via flyer invitation located on break room tables and nursing station bulletin boards across the facilities (See Appendix F). In the invitation, the scope of the project and its goals and possible outcomes if people participate will be also briefly described. The educational intervention will be provided in a power point that will be provided in Qualtrics software, once the Regis informed consent (See Appendix G), demographic survey (See Appendix H), pretests (See Appendices I-L) are complete. This will then be followed by the posttests and open-ended questions (See Appendix M). Once the consent is signed, the participants will be deidentified and given a random numerical value. This protects the confidentiality and anonymity of the participants. Only the PI and the Project Chair will have access to the data collected in Qualtrics.</w:t>
      </w:r>
    </w:p>
    <w:p w14:paraId="500D07E8"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Sample Size</w:t>
      </w:r>
    </w:p>
    <w:p w14:paraId="1EF53C0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 xml:space="preserve"> </w:t>
      </w:r>
    </w:p>
    <w:p w14:paraId="410BBB58" w14:textId="77777777" w:rsidR="007A00D2" w:rsidRPr="007A00D2" w:rsidRDefault="007A00D2" w:rsidP="007A00D2">
      <w:pPr>
        <w:numPr>
          <w:ilvl w:val="0"/>
          <w:numId w:val="4"/>
        </w:numPr>
        <w:spacing w:after="0" w:line="279" w:lineRule="auto"/>
        <w:contextualSpacing/>
        <w:rPr>
          <w:rFonts w:ascii="Times" w:eastAsia="Times" w:hAnsi="Times" w:cs="Times"/>
          <w:kern w:val="0"/>
          <w:lang w:eastAsia="ja-JP"/>
          <w14:ligatures w14:val="none"/>
        </w:rPr>
      </w:pPr>
      <w:r w:rsidRPr="007A00D2">
        <w:rPr>
          <w:rFonts w:ascii="Times" w:eastAsia="Times" w:hAnsi="Times" w:cs="Times"/>
          <w:kern w:val="0"/>
          <w:lang w:eastAsia="ja-JP"/>
          <w14:ligatures w14:val="none"/>
        </w:rPr>
        <w:lastRenderedPageBreak/>
        <w:t>Effect Size (Cohen’s d): 0.5 (moderate effect size)</w:t>
      </w:r>
    </w:p>
    <w:p w14:paraId="7A1EF5A8" w14:textId="77777777" w:rsidR="007A00D2" w:rsidRPr="007A00D2" w:rsidRDefault="007A00D2" w:rsidP="007A00D2">
      <w:pPr>
        <w:numPr>
          <w:ilvl w:val="0"/>
          <w:numId w:val="4"/>
        </w:numPr>
        <w:spacing w:after="0" w:line="279" w:lineRule="auto"/>
        <w:contextualSpacing/>
        <w:rPr>
          <w:rFonts w:ascii="Times" w:eastAsia="Times" w:hAnsi="Times" w:cs="Times"/>
          <w:kern w:val="0"/>
          <w:lang w:eastAsia="ja-JP"/>
          <w14:ligatures w14:val="none"/>
        </w:rPr>
      </w:pPr>
      <w:r w:rsidRPr="007A00D2">
        <w:rPr>
          <w:rFonts w:ascii="Times" w:eastAsia="Times" w:hAnsi="Times" w:cs="Times"/>
          <w:kern w:val="0"/>
          <w:lang w:eastAsia="ja-JP"/>
          <w14:ligatures w14:val="none"/>
        </w:rPr>
        <w:t>Alpha (α): 0.05</w:t>
      </w:r>
    </w:p>
    <w:p w14:paraId="10C3344E" w14:textId="77777777" w:rsidR="007A00D2" w:rsidRPr="007A00D2" w:rsidRDefault="007A00D2" w:rsidP="007A00D2">
      <w:pPr>
        <w:numPr>
          <w:ilvl w:val="0"/>
          <w:numId w:val="4"/>
        </w:numPr>
        <w:spacing w:after="0" w:line="279" w:lineRule="auto"/>
        <w:contextualSpacing/>
        <w:rPr>
          <w:rFonts w:ascii="Times" w:eastAsia="Times" w:hAnsi="Times" w:cs="Times"/>
          <w:kern w:val="0"/>
          <w:lang w:eastAsia="ja-JP"/>
          <w14:ligatures w14:val="none"/>
        </w:rPr>
      </w:pPr>
      <w:r w:rsidRPr="007A00D2">
        <w:rPr>
          <w:rFonts w:ascii="Times" w:eastAsia="Times" w:hAnsi="Times" w:cs="Times"/>
          <w:kern w:val="0"/>
          <w:lang w:eastAsia="ja-JP"/>
          <w14:ligatures w14:val="none"/>
        </w:rPr>
        <w:t>Power (1 - β): 0.80</w:t>
      </w:r>
    </w:p>
    <w:p w14:paraId="2BBA5AFF" w14:textId="77777777" w:rsidR="007A00D2" w:rsidRPr="007A00D2" w:rsidRDefault="007A00D2" w:rsidP="007A00D2">
      <w:pPr>
        <w:numPr>
          <w:ilvl w:val="0"/>
          <w:numId w:val="4"/>
        </w:numPr>
        <w:spacing w:after="0" w:line="279" w:lineRule="auto"/>
        <w:contextualSpacing/>
        <w:rPr>
          <w:rFonts w:ascii="Times" w:eastAsia="Times" w:hAnsi="Times" w:cs="Times"/>
          <w:kern w:val="0"/>
          <w:lang w:eastAsia="ja-JP"/>
          <w14:ligatures w14:val="none"/>
        </w:rPr>
      </w:pPr>
      <w:r w:rsidRPr="007A00D2">
        <w:rPr>
          <w:rFonts w:ascii="Times" w:eastAsia="Times" w:hAnsi="Times" w:cs="Times"/>
          <w:kern w:val="0"/>
          <w:lang w:eastAsia="ja-JP"/>
          <w14:ligatures w14:val="none"/>
        </w:rPr>
        <w:t>Test: Paired t-test</w:t>
      </w:r>
    </w:p>
    <w:p w14:paraId="2741A721" w14:textId="77777777" w:rsidR="007A00D2" w:rsidRPr="007A00D2" w:rsidRDefault="007A00D2" w:rsidP="007A00D2">
      <w:pPr>
        <w:numPr>
          <w:ilvl w:val="0"/>
          <w:numId w:val="4"/>
        </w:numPr>
        <w:spacing w:after="0" w:line="279" w:lineRule="auto"/>
        <w:contextualSpacing/>
        <w:rPr>
          <w:rFonts w:ascii="Times" w:eastAsia="Times" w:hAnsi="Times" w:cs="Times"/>
          <w:kern w:val="0"/>
          <w:lang w:eastAsia="ja-JP"/>
          <w14:ligatures w14:val="none"/>
        </w:rPr>
      </w:pPr>
      <w:r w:rsidRPr="007A00D2">
        <w:rPr>
          <w:rFonts w:ascii="Times" w:eastAsia="Times" w:hAnsi="Times" w:cs="Times"/>
          <w:kern w:val="0"/>
          <w:lang w:eastAsia="ja-JP"/>
          <w14:ligatures w14:val="none"/>
        </w:rPr>
        <w:t>Sample Size Range: 25-30 participants</w:t>
      </w:r>
    </w:p>
    <w:p w14:paraId="1CB5633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 xml:space="preserve"> </w:t>
      </w:r>
    </w:p>
    <w:p w14:paraId="75AB5691" w14:textId="77777777" w:rsidR="007A00D2" w:rsidRPr="007A00D2" w:rsidRDefault="007A00D2" w:rsidP="007A00D2">
      <w:pPr>
        <w:spacing w:after="0" w:line="257" w:lineRule="auto"/>
        <w:ind w:left="720" w:hanging="360"/>
        <w:rPr>
          <w:rFonts w:ascii="Aptos" w:eastAsia="Times New Roman" w:hAnsi="Aptos" w:cs="Times New Roman"/>
          <w:kern w:val="0"/>
          <w:lang w:eastAsia="ja-JP"/>
          <w14:ligatures w14:val="none"/>
        </w:rPr>
      </w:pPr>
      <w:r w:rsidRPr="007A00D2">
        <w:rPr>
          <w:rFonts w:ascii="Times" w:eastAsia="Times" w:hAnsi="Times" w:cs="Times"/>
          <w:b/>
          <w:bCs/>
          <w:i/>
          <w:iCs/>
          <w:color w:val="008080"/>
          <w:kern w:val="0"/>
          <w:u w:val="single"/>
          <w:lang w:eastAsia="ja-JP"/>
          <w14:ligatures w14:val="none"/>
        </w:rPr>
        <w:t xml:space="preserve"> </w:t>
      </w:r>
    </w:p>
    <w:p w14:paraId="4924FDF9"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Informed Consent </w:t>
      </w:r>
    </w:p>
    <w:p w14:paraId="2B3018B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8080"/>
          <w:kern w:val="0"/>
          <w:u w:val="single"/>
          <w:lang w:eastAsia="ja-JP"/>
          <w14:ligatures w14:val="none"/>
        </w:rPr>
        <w:t xml:space="preserve"> </w:t>
      </w:r>
    </w:p>
    <w:p w14:paraId="6F3012F8"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Informed consent and permission from the Regis IRB for this scholarly project will be obtained prior to beginning implementation of the project (See Appendix N). The informed consent document will discuss the goals, risks, benefits, time allotted, and confidentiality measures for the project. </w:t>
      </w:r>
    </w:p>
    <w:p w14:paraId="225497AD"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b/>
          <w:bCs/>
          <w:kern w:val="0"/>
          <w:lang w:eastAsia="ja-JP"/>
          <w14:ligatures w14:val="none"/>
        </w:rPr>
        <w:t>Ethical Considerations</w:t>
      </w:r>
    </w:p>
    <w:p w14:paraId="224B8AC3"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Several ethical considerations are crucial in implementing this project to safeguard respondents and the general research process. The following areas of ethical </w:t>
      </w:r>
      <w:proofErr w:type="gramStart"/>
      <w:r w:rsidRPr="007A00D2">
        <w:rPr>
          <w:rFonts w:ascii="Times" w:eastAsia="Times" w:hAnsi="Times" w:cs="Times"/>
          <w:kern w:val="0"/>
          <w:lang w:eastAsia="ja-JP"/>
          <w14:ligatures w14:val="none"/>
        </w:rPr>
        <w:t>considerations</w:t>
      </w:r>
      <w:proofErr w:type="gramEnd"/>
      <w:r w:rsidRPr="007A00D2">
        <w:rPr>
          <w:rFonts w:ascii="Times" w:eastAsia="Times" w:hAnsi="Times" w:cs="Times"/>
          <w:kern w:val="0"/>
          <w:lang w:eastAsia="ja-JP"/>
          <w14:ligatures w14:val="none"/>
        </w:rPr>
        <w:t xml:space="preserve">: consent, doing good and minimizing harm, anonymity, confidentiality, and privacy will be discussed: </w:t>
      </w:r>
    </w:p>
    <w:p w14:paraId="4717162F"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1. Informed Consent: There must be documented consent from all the participating nurses. Included in this process is a detailed description of the purpose, nature, and plan of the project, possible risks or hazards inherent in the project, and likely positive outcomes of the project for the participants. </w:t>
      </w:r>
    </w:p>
    <w:p w14:paraId="5BBADD84"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2. Beneficence – Do Not Do Harm: The principle of beneficence entails the fact that the given project must be structured in a way that optimizes benefits, while minimizing harm upon participants. The format of the educational session and the resulting evaluation should be designed to increase the knowledge of </w:t>
      </w:r>
      <w:proofErr w:type="gramStart"/>
      <w:r w:rsidRPr="007A00D2">
        <w:rPr>
          <w:rFonts w:ascii="Times" w:eastAsia="Times" w:hAnsi="Times" w:cs="Times"/>
          <w:kern w:val="0"/>
          <w:lang w:eastAsia="ja-JP"/>
          <w14:ligatures w14:val="none"/>
        </w:rPr>
        <w:t>the nurses</w:t>
      </w:r>
      <w:proofErr w:type="gramEnd"/>
      <w:r w:rsidRPr="007A00D2">
        <w:rPr>
          <w:rFonts w:ascii="Times" w:eastAsia="Times" w:hAnsi="Times" w:cs="Times"/>
          <w:kern w:val="0"/>
          <w:lang w:eastAsia="ja-JP"/>
          <w14:ligatures w14:val="none"/>
        </w:rPr>
        <w:t xml:space="preserve"> without creating burden within the setting.</w:t>
      </w:r>
    </w:p>
    <w:p w14:paraId="2AD105FE"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lastRenderedPageBreak/>
        <w:t xml:space="preserve">3. Respect for Anonymity and Confidentiality: This project also means that participants’ anonymity and confidentiality must be guaranteed to a certain extent. The questionnaires are designed in such ways that information collected bare no identifiable resemblance of people who filled them. Feedback is honest and receptive because of this protection. Anonymity and confidentiality will be maintained by PI only having access to the answers the participants complete. </w:t>
      </w:r>
    </w:p>
    <w:p w14:paraId="2FDFB079"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4. Respect for Privacy: There is the need to ensure that participants' privacy is protected during the conduct of the project. This ranges from the way data are collected, processed, analyzed, and reported. Self-information is important to protect </w:t>
      </w:r>
      <w:proofErr w:type="gramStart"/>
      <w:r w:rsidRPr="007A00D2">
        <w:rPr>
          <w:rFonts w:ascii="Times" w:eastAsia="Times" w:hAnsi="Times" w:cs="Times"/>
          <w:kern w:val="0"/>
          <w:lang w:eastAsia="ja-JP"/>
          <w14:ligatures w14:val="none"/>
        </w:rPr>
        <w:t>especially its</w:t>
      </w:r>
      <w:proofErr w:type="gramEnd"/>
      <w:r w:rsidRPr="007A00D2">
        <w:rPr>
          <w:rFonts w:ascii="Times" w:eastAsia="Times" w:hAnsi="Times" w:cs="Times"/>
          <w:kern w:val="0"/>
          <w:lang w:eastAsia="ja-JP"/>
          <w14:ligatures w14:val="none"/>
        </w:rPr>
        <w:t xml:space="preserve"> privacy, while this educational session is vital. Ensuring that all listed above are protected, the PI will be the only person who has access to the vital private information of participants. The usage of participants' names and working locations will not be used to assist in securing their identity. </w:t>
      </w:r>
    </w:p>
    <w:p w14:paraId="3381EB93"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b/>
          <w:bCs/>
          <w:kern w:val="0"/>
          <w:lang w:eastAsia="ja-JP"/>
          <w14:ligatures w14:val="none"/>
        </w:rPr>
        <w:t>Intervention (See Appendix O</w:t>
      </w:r>
      <w:r w:rsidRPr="007A00D2">
        <w:rPr>
          <w:rFonts w:ascii="Times" w:eastAsia="Times" w:hAnsi="Times" w:cs="Times"/>
          <w:kern w:val="0"/>
          <w:lang w:eastAsia="ja-JP"/>
          <w14:ligatures w14:val="none"/>
        </w:rPr>
        <w:t>)</w:t>
      </w:r>
    </w:p>
    <w:p w14:paraId="1A37232C"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Through PowerPoint slides the Principal Investigator will teach nurses in LTC facilities about the AHRQ Fall Prevention Toolkit. This presentation relies on proven research to teach LTC nurses about fall prevention techniques including how to spot risks, when to act, and how their team should work together after falling patients (AHRQ, 2023). </w:t>
      </w:r>
      <w:proofErr w:type="gramStart"/>
      <w:r w:rsidRPr="007A00D2">
        <w:rPr>
          <w:rFonts w:ascii="Times" w:eastAsia="Times" w:hAnsi="Times" w:cs="Times"/>
          <w:kern w:val="0"/>
          <w:lang w:eastAsia="ja-JP"/>
          <w14:ligatures w14:val="none"/>
        </w:rPr>
        <w:t>A PowerPoint</w:t>
      </w:r>
      <w:proofErr w:type="gramEnd"/>
      <w:r w:rsidRPr="007A00D2">
        <w:rPr>
          <w:rFonts w:ascii="Times" w:eastAsia="Times" w:hAnsi="Times" w:cs="Times"/>
          <w:kern w:val="0"/>
          <w:lang w:eastAsia="ja-JP"/>
          <w14:ligatures w14:val="none"/>
        </w:rPr>
        <w:t xml:space="preserve"> including proven fall prevention methods and valid evaluation tools such as the Morse Fall Scale will guide nurses through real-world practice implementations (Morse, 2009). Through the presentation the PI wants nurses to learn the same training methods that work best when putting fall prevention into their regular work tasks. Nurses will learn about fall prevention properly through viewing toolkits on slides and discussing real examples in the educational presentation. </w:t>
      </w:r>
      <w:r w:rsidRPr="007A00D2">
        <w:rPr>
          <w:rFonts w:ascii="Times" w:eastAsia="Times" w:hAnsi="Times" w:cs="Times"/>
          <w:kern w:val="0"/>
          <w:lang w:eastAsia="ja-JP"/>
          <w14:ligatures w14:val="none"/>
        </w:rPr>
        <w:lastRenderedPageBreak/>
        <w:t>The new approach will let nurses recognize fall hazards better and use validated methods while joining LTC quality improvement works (Tzeng &amp; Yin, 2021).</w:t>
      </w:r>
    </w:p>
    <w:p w14:paraId="504D0E5F"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 </w:t>
      </w:r>
      <w:proofErr w:type="gramStart"/>
      <w:r w:rsidRPr="007A00D2">
        <w:rPr>
          <w:rFonts w:ascii="Times" w:eastAsia="Times" w:hAnsi="Times" w:cs="Times"/>
          <w:kern w:val="0"/>
          <w:lang w:eastAsia="ja-JP"/>
          <w14:ligatures w14:val="none"/>
        </w:rPr>
        <w:t>nurses</w:t>
      </w:r>
      <w:proofErr w:type="gramEnd"/>
      <w:r w:rsidRPr="007A00D2">
        <w:rPr>
          <w:rFonts w:ascii="Times" w:eastAsia="Times" w:hAnsi="Times" w:cs="Times"/>
          <w:kern w:val="0"/>
          <w:lang w:eastAsia="ja-JP"/>
          <w14:ligatures w14:val="none"/>
        </w:rPr>
        <w:t xml:space="preserve"> who participate will learn how to properly use the AHRQ Fall Prevention Toolkit at LTC facilities through training sessions. The program teaches nurses how to recognize patient fall risks and manage them with team support along with helping patients recover </w:t>
      </w:r>
      <w:proofErr w:type="gramStart"/>
      <w:r w:rsidRPr="007A00D2">
        <w:rPr>
          <w:rFonts w:ascii="Times" w:eastAsia="Times" w:hAnsi="Times" w:cs="Times"/>
          <w:kern w:val="0"/>
          <w:lang w:eastAsia="ja-JP"/>
          <w14:ligatures w14:val="none"/>
        </w:rPr>
        <w:t>after</w:t>
      </w:r>
      <w:proofErr w:type="gramEnd"/>
      <w:r w:rsidRPr="007A00D2">
        <w:rPr>
          <w:rFonts w:ascii="Times" w:eastAsia="Times" w:hAnsi="Times" w:cs="Times"/>
          <w:kern w:val="0"/>
          <w:lang w:eastAsia="ja-JP"/>
          <w14:ligatures w14:val="none"/>
        </w:rPr>
        <w:t xml:space="preserve"> falls. Fall prevention demands all healthcare personnel work together with hospital management while improving care quality daily (AHRQ, 2023).</w:t>
      </w:r>
    </w:p>
    <w:p w14:paraId="372D45FA"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 </w:t>
      </w:r>
      <w:r w:rsidRPr="007A00D2">
        <w:rPr>
          <w:rFonts w:ascii="Aptos" w:eastAsia="Times New Roman" w:hAnsi="Aptos" w:cs="Times New Roman"/>
          <w:kern w:val="0"/>
          <w:lang w:eastAsia="ja-JP"/>
          <w14:ligatures w14:val="none"/>
        </w:rPr>
        <w:tab/>
      </w:r>
      <w:r w:rsidRPr="007A00D2">
        <w:rPr>
          <w:rFonts w:ascii="Times" w:eastAsia="Times" w:hAnsi="Times" w:cs="Times"/>
          <w:kern w:val="0"/>
          <w:lang w:eastAsia="ja-JP"/>
          <w14:ligatures w14:val="none"/>
        </w:rPr>
        <w:t xml:space="preserve">The training helps nurses properly use validated fall risk assessment systems like the Morse Scale and Timed Up and Go (TUG) Test plus the Hendrich II Model (Morse, 2009; Hendrich, 2013; CDC, 2022). Using these assessment </w:t>
      </w:r>
      <w:proofErr w:type="gramStart"/>
      <w:r w:rsidRPr="007A00D2">
        <w:rPr>
          <w:rFonts w:ascii="Times" w:eastAsia="Times" w:hAnsi="Times" w:cs="Times"/>
          <w:kern w:val="0"/>
          <w:lang w:eastAsia="ja-JP"/>
          <w14:ligatures w14:val="none"/>
        </w:rPr>
        <w:t>tools</w:t>
      </w:r>
      <w:proofErr w:type="gramEnd"/>
      <w:r w:rsidRPr="007A00D2">
        <w:rPr>
          <w:rFonts w:ascii="Times" w:eastAsia="Times" w:hAnsi="Times" w:cs="Times"/>
          <w:kern w:val="0"/>
          <w:lang w:eastAsia="ja-JP"/>
          <w14:ligatures w14:val="none"/>
        </w:rPr>
        <w:t xml:space="preserve"> healthcare providers determine what causes falls for individual patients by detecting both body (intrinsic) and facility (extrinsic) risks before developing personalized protection plans (AHRQ, 2023).</w:t>
      </w:r>
    </w:p>
    <w:p w14:paraId="5EE25E23"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Nurses will learn to use various approaches such as environment changes, medication analysis and physical therapy assistance to prevent falls (</w:t>
      </w:r>
      <w:proofErr w:type="spellStart"/>
      <w:r w:rsidRPr="007A00D2">
        <w:rPr>
          <w:rFonts w:ascii="Times" w:eastAsia="Times" w:hAnsi="Times" w:cs="Times"/>
          <w:kern w:val="0"/>
          <w:lang w:eastAsia="ja-JP"/>
          <w14:ligatures w14:val="none"/>
        </w:rPr>
        <w:t>LeLaurin</w:t>
      </w:r>
      <w:proofErr w:type="spellEnd"/>
      <w:r w:rsidRPr="007A00D2">
        <w:rPr>
          <w:rFonts w:ascii="Times" w:eastAsia="Times" w:hAnsi="Times" w:cs="Times"/>
          <w:kern w:val="0"/>
          <w:lang w:eastAsia="ja-JP"/>
          <w14:ligatures w14:val="none"/>
        </w:rPr>
        <w:t xml:space="preserve"> &amp; Shorr, 2019). The program will teach nurses to work together with CNAs pharmacists and rehabilitation teams through integrated training (Tzeng &amp; Yin, 2021). Nurses will project leadership methods at work and home through the program to command care delivery and champion fall prevention throughout their daily routines (AHRQ, 2023).</w:t>
      </w:r>
    </w:p>
    <w:p w14:paraId="2D424825"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Through the planned program nurses will start as quality improvement professionals to advocate for health policies while implementing solutions that navigate system obstacles and keep fall prevention active (Tzeng &amp; Yin, 2021). Part of </w:t>
      </w:r>
      <w:proofErr w:type="gramStart"/>
      <w:r w:rsidRPr="007A00D2">
        <w:rPr>
          <w:rFonts w:ascii="Times" w:eastAsia="Times" w:hAnsi="Times" w:cs="Times"/>
          <w:kern w:val="0"/>
          <w:lang w:eastAsia="ja-JP"/>
          <w14:ligatures w14:val="none"/>
        </w:rPr>
        <w:t>nurse's</w:t>
      </w:r>
      <w:proofErr w:type="gramEnd"/>
      <w:r w:rsidRPr="007A00D2">
        <w:rPr>
          <w:rFonts w:ascii="Times" w:eastAsia="Times" w:hAnsi="Times" w:cs="Times"/>
          <w:kern w:val="0"/>
          <w:lang w:eastAsia="ja-JP"/>
          <w14:ligatures w14:val="none"/>
        </w:rPr>
        <w:t xml:space="preserve"> training will involve monitoring post-fall routines by hosting huddles to examine root causes while analyzing fall data for quality improvement purposes (AHRQ, 2023).</w:t>
      </w:r>
    </w:p>
    <w:p w14:paraId="62D68EB4"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lastRenderedPageBreak/>
        <w:t xml:space="preserve"> </w:t>
      </w:r>
      <w:r w:rsidRPr="007A00D2">
        <w:rPr>
          <w:rFonts w:ascii="Aptos" w:eastAsia="Times New Roman" w:hAnsi="Aptos" w:cs="Times New Roman"/>
          <w:kern w:val="0"/>
          <w:lang w:eastAsia="ja-JP"/>
          <w14:ligatures w14:val="none"/>
        </w:rPr>
        <w:tab/>
      </w:r>
      <w:r w:rsidRPr="007A00D2">
        <w:rPr>
          <w:rFonts w:ascii="Times" w:eastAsia="Times" w:hAnsi="Times" w:cs="Times"/>
          <w:kern w:val="0"/>
          <w:lang w:eastAsia="ja-JP"/>
          <w14:ligatures w14:val="none"/>
        </w:rPr>
        <w:t>The complete training helps nurses become experts in spotting and stopping falls plus leading staff and delivering follow-up care for patients who have fallen. They will lead the way in decreasing patient falls while enhancing healthcare results and promoting safety throughout LTC facilities (CDC, 2022).</w:t>
      </w:r>
    </w:p>
    <w:p w14:paraId="5C2D725F" w14:textId="77777777" w:rsidR="007A00D2" w:rsidRPr="007A00D2" w:rsidRDefault="007A00D2" w:rsidP="007A00D2">
      <w:pPr>
        <w:tabs>
          <w:tab w:val="left" w:pos="2293"/>
        </w:tabs>
        <w:spacing w:after="0" w:line="279" w:lineRule="auto"/>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Evaluation </w:t>
      </w:r>
      <w:r w:rsidRPr="007A00D2">
        <w:rPr>
          <w:rFonts w:ascii="Aptos" w:eastAsia="Times New Roman" w:hAnsi="Aptos" w:cs="Times New Roman"/>
          <w:kern w:val="0"/>
          <w:lang w:eastAsia="ja-JP"/>
          <w14:ligatures w14:val="none"/>
        </w:rPr>
        <w:tab/>
      </w:r>
    </w:p>
    <w:p w14:paraId="56897E54"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 </w:t>
      </w:r>
    </w:p>
    <w:p w14:paraId="73C031DB" w14:textId="77777777" w:rsidR="007A00D2" w:rsidRPr="007A00D2" w:rsidRDefault="007A00D2" w:rsidP="007A00D2">
      <w:pPr>
        <w:spacing w:after="0" w:line="279" w:lineRule="auto"/>
        <w:jc w:val="both"/>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 </w:t>
      </w:r>
      <w:r w:rsidRPr="007A00D2">
        <w:rPr>
          <w:rFonts w:ascii="Times" w:eastAsia="Times" w:hAnsi="Times" w:cs="Times"/>
          <w:b/>
          <w:bCs/>
          <w:i/>
          <w:iCs/>
          <w:color w:val="000000"/>
          <w:kern w:val="0"/>
          <w:lang w:eastAsia="ja-JP"/>
          <w14:ligatures w14:val="none"/>
        </w:rPr>
        <w:t>Variables</w:t>
      </w:r>
    </w:p>
    <w:p w14:paraId="2F459A7E" w14:textId="77777777" w:rsidR="007A00D2" w:rsidRPr="007A00D2" w:rsidRDefault="007A00D2" w:rsidP="007A00D2">
      <w:pPr>
        <w:spacing w:after="0" w:line="279" w:lineRule="auto"/>
        <w:jc w:val="both"/>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 xml:space="preserve"> </w:t>
      </w:r>
    </w:p>
    <w:p w14:paraId="1C449809"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The table in the Appendices shows the conceptual and operational definitions for the independent and dependent variables for the scholarly practice project. The demographic data of nursing staff are established as the first independent variable defined by Polit and Beck (2017) as participants’ characteristics, such as age, gender, experience, training, etc. This profile will be assessed with the help of the demographic questionnaire that will reveal special data concerning the given factors. The level of adoption of the AHRQ Falls Toolkit is a measure of readiness, defined as the extent to which nursing staff support the use of the falls toolkit in practice based on the AHRQ (2019).  Readiness will be measured by the C-Scale, which will be given to the participants before and after the education session, and the scores will show different levels of readiness. Another dependent variable is the perceived implementation climate which Barker et al. (2020) describe as the beliefs that nursing staff </w:t>
      </w:r>
      <w:proofErr w:type="gramStart"/>
      <w:r w:rsidRPr="007A00D2">
        <w:rPr>
          <w:rFonts w:ascii="Times" w:eastAsia="Times" w:hAnsi="Times" w:cs="Times"/>
          <w:color w:val="000000"/>
          <w:kern w:val="0"/>
          <w:lang w:eastAsia="ja-JP"/>
          <w14:ligatures w14:val="none"/>
        </w:rPr>
        <w:t>has</w:t>
      </w:r>
      <w:proofErr w:type="gramEnd"/>
      <w:r w:rsidRPr="007A00D2">
        <w:rPr>
          <w:rFonts w:ascii="Times" w:eastAsia="Times" w:hAnsi="Times" w:cs="Times"/>
          <w:color w:val="000000"/>
          <w:kern w:val="0"/>
          <w:lang w:eastAsia="ja-JP"/>
          <w14:ligatures w14:val="none"/>
        </w:rPr>
        <w:t xml:space="preserve"> about factors that inhibit or facilitate use of the toolkit. These barriers would be discovered from general survey responses that include an open answer question. Finally, the willingness to implement the toolkit is another dependent variable which is defined as the readiness and intention of nursing staff to use the toolkit after receiving the educational interventions as described in Ajzen’s (1991) Theory of planned behavior. This willingness is going to be assessed by using the </w:t>
      </w:r>
      <w:r w:rsidRPr="007A00D2">
        <w:rPr>
          <w:rFonts w:ascii="Times" w:eastAsia="Times" w:hAnsi="Times" w:cs="Times"/>
          <w:kern w:val="0"/>
          <w:lang w:eastAsia="ja-JP"/>
          <w14:ligatures w14:val="none"/>
        </w:rPr>
        <w:t xml:space="preserve">Intrinsic Motivation Inventory (IMI) </w:t>
      </w:r>
      <w:r w:rsidRPr="007A00D2">
        <w:rPr>
          <w:rFonts w:ascii="Times" w:eastAsia="Times" w:hAnsi="Times" w:cs="Times"/>
          <w:color w:val="000000"/>
          <w:kern w:val="0"/>
          <w:lang w:eastAsia="ja-JP"/>
          <w14:ligatures w14:val="none"/>
        </w:rPr>
        <w:t xml:space="preserve">survey using questionnaires before and after giving the educational sessions so that we can </w:t>
      </w:r>
      <w:r w:rsidRPr="007A00D2">
        <w:rPr>
          <w:rFonts w:ascii="Times" w:eastAsia="Times" w:hAnsi="Times" w:cs="Times"/>
          <w:color w:val="000000"/>
          <w:kern w:val="0"/>
          <w:lang w:eastAsia="ja-JP"/>
          <w14:ligatures w14:val="none"/>
        </w:rPr>
        <w:lastRenderedPageBreak/>
        <w:t>determine if there are any changes in the intent. In general, this structured methodology provides sufficient clarity in the identification and operationalization of the variables considered essential for the project.</w:t>
      </w:r>
    </w:p>
    <w:p w14:paraId="0E8956F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 xml:space="preserve"> </w:t>
      </w:r>
    </w:p>
    <w:p w14:paraId="45D9A5A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Tools/Instruments</w:t>
      </w:r>
    </w:p>
    <w:p w14:paraId="49B40D4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i/>
          <w:iCs/>
          <w:color w:val="000000"/>
          <w:kern w:val="0"/>
          <w:lang w:eastAsia="ja-JP"/>
          <w14:ligatures w14:val="none"/>
        </w:rPr>
        <w:t xml:space="preserve"> </w:t>
      </w:r>
    </w:p>
    <w:p w14:paraId="1B6DEC9B"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The Iowa Evidence Based Practice (EBP) Model is used as a theoretical framework for determining long term care (LTC) nurses’ readiness and confidence for implementing the Agency for Healthcare Research and Quality (AHRQ) Fall Prevention Toolkit. Evidence based practices are integrated into operational protocols using this model. This project begins with nurse readiness as the trigger for adoption of the toolkit. Falls are still a major issue in LTC, where they are a source of great safety and cost issues. In the prevention of similar incidents, nurses can succeed only when they are confident and equipped.  </w:t>
      </w:r>
    </w:p>
    <w:p w14:paraId="631AB64C"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 LTC nurses will be provided education by the principal investigator on the AHRQ’s Falls Toolkit; perceived barriers are strength to implementation will be evaluated. The outcome of nurse preparedness and confidence is measured using standardized surveys. Customized educational programs are informed by </w:t>
      </w:r>
      <w:proofErr w:type="gramStart"/>
      <w:r w:rsidRPr="007A00D2">
        <w:rPr>
          <w:rFonts w:ascii="Times" w:eastAsia="Times" w:hAnsi="Times" w:cs="Times"/>
          <w:kern w:val="0"/>
          <w:lang w:eastAsia="ja-JP"/>
          <w14:ligatures w14:val="none"/>
        </w:rPr>
        <w:t>the prior</w:t>
      </w:r>
      <w:proofErr w:type="gramEnd"/>
      <w:r w:rsidRPr="007A00D2">
        <w:rPr>
          <w:rFonts w:ascii="Times" w:eastAsia="Times" w:hAnsi="Times" w:cs="Times"/>
          <w:kern w:val="0"/>
          <w:lang w:eastAsia="ja-JP"/>
          <w14:ligatures w14:val="none"/>
        </w:rPr>
        <w:t xml:space="preserve"> evaluations and are used to increase staff commitment (Melnyk &amp; Fineout-Overholt, 2022). There are pre- and post-intervention surveys that indicate the changes in nurse readiness and confidence. The data from the surveys offer areas where further support is needed to maintain the use of the toolkits.  </w:t>
      </w:r>
    </w:p>
    <w:p w14:paraId="12D06019"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The surveys obtained numerical data as to the nurses’ perspectives at different stages before and after the training while tracking the implementation barriers (</w:t>
      </w:r>
      <w:proofErr w:type="spellStart"/>
      <w:r w:rsidRPr="007A00D2">
        <w:rPr>
          <w:rFonts w:ascii="Times" w:eastAsia="Times" w:hAnsi="Times" w:cs="Times"/>
          <w:kern w:val="0"/>
          <w:lang w:eastAsia="ja-JP"/>
          <w14:ligatures w14:val="none"/>
        </w:rPr>
        <w:t>Titler</w:t>
      </w:r>
      <w:proofErr w:type="spellEnd"/>
      <w:r w:rsidRPr="007A00D2">
        <w:rPr>
          <w:rFonts w:ascii="Times" w:eastAsia="Times" w:hAnsi="Times" w:cs="Times"/>
          <w:kern w:val="0"/>
          <w:lang w:eastAsia="ja-JP"/>
          <w14:ligatures w14:val="none"/>
        </w:rPr>
        <w:t xml:space="preserve">, 2021). Through data analysis, it is determined that workplace challenges, resource limitations, training needs can be identified (Cullen et al., 2023). </w:t>
      </w:r>
    </w:p>
    <w:p w14:paraId="5F03546E"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lastRenderedPageBreak/>
        <w:t>The nurses' self-assessed ability to implement fall prevention strategies is assessed by the Confidence Scale (C Scale). Therefore, nurses rate their skill in applying AHRQ guidelines via the Likert scale (1 = Not Confident at All, 10 = Completely Confident) (Bandura, 1997; Quigley &amp; White, 2013). Assessments are then repeated to identify knowledge implementation gaps (Melnyk &amp; Fineout Overholt, 2019). C-Scale results are used by organizations to inform the organization's course of action to improve quality (</w:t>
      </w:r>
      <w:proofErr w:type="spellStart"/>
      <w:r w:rsidRPr="007A00D2">
        <w:rPr>
          <w:rFonts w:ascii="Times" w:eastAsia="Times" w:hAnsi="Times" w:cs="Times"/>
          <w:kern w:val="0"/>
          <w:lang w:eastAsia="ja-JP"/>
          <w14:ligatures w14:val="none"/>
        </w:rPr>
        <w:t>Titler</w:t>
      </w:r>
      <w:proofErr w:type="spellEnd"/>
      <w:r w:rsidRPr="007A00D2">
        <w:rPr>
          <w:rFonts w:ascii="Times" w:eastAsia="Times" w:hAnsi="Times" w:cs="Times"/>
          <w:kern w:val="0"/>
          <w:lang w:eastAsia="ja-JP"/>
          <w14:ligatures w14:val="none"/>
        </w:rPr>
        <w:t xml:space="preserve">, 2018).  </w:t>
      </w:r>
    </w:p>
    <w:p w14:paraId="1DCAE664"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C-Scale interpretation informs training needs. Melnyk and Fineout-Overholt (2019) explain that scores of 8–10 indicate readiness for implementation at the independent level, 4–7 indicate the need for additional support for moderate confidence, and 1–3 indicate the need for additional education (p. 102). Despite this, self-reported confidence does not always correlate with competence (Polit &amp; Beck, 2021). Through integrating the C-Scale a thorough assessment is done on adoption of toolkit and its effect on patient outcomes (</w:t>
      </w:r>
      <w:proofErr w:type="spellStart"/>
      <w:r w:rsidRPr="007A00D2">
        <w:rPr>
          <w:rFonts w:ascii="Times" w:eastAsia="Times" w:hAnsi="Times" w:cs="Times"/>
          <w:kern w:val="0"/>
          <w:lang w:eastAsia="ja-JP"/>
          <w14:ligatures w14:val="none"/>
        </w:rPr>
        <w:t>Titler</w:t>
      </w:r>
      <w:proofErr w:type="spellEnd"/>
      <w:r w:rsidRPr="007A00D2">
        <w:rPr>
          <w:rFonts w:ascii="Times" w:eastAsia="Times" w:hAnsi="Times" w:cs="Times"/>
          <w:kern w:val="0"/>
          <w:lang w:eastAsia="ja-JP"/>
          <w14:ligatures w14:val="none"/>
        </w:rPr>
        <w:t xml:space="preserve"> et al., 2001).  </w:t>
      </w:r>
    </w:p>
    <w:p w14:paraId="0BF5496C"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The training includes 80 minutes of hands-on training on implementation of the toolkit. Before and after training, nurses use the C-Scale to determine confidence and readiness. Open-ended interviews capture additional insights. Improvement in project design and LTC implementation strategies is informed by survey data. </w:t>
      </w:r>
    </w:p>
    <w:p w14:paraId="5C0E6576"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 This research employs </w:t>
      </w:r>
      <w:proofErr w:type="gramStart"/>
      <w:r w:rsidRPr="007A00D2">
        <w:rPr>
          <w:rFonts w:ascii="Times" w:eastAsia="Times" w:hAnsi="Times" w:cs="Times"/>
          <w:kern w:val="0"/>
          <w:lang w:eastAsia="ja-JP"/>
          <w14:ligatures w14:val="none"/>
        </w:rPr>
        <w:t>a mixed</w:t>
      </w:r>
      <w:proofErr w:type="gramEnd"/>
      <w:r w:rsidRPr="007A00D2">
        <w:rPr>
          <w:rFonts w:ascii="Times" w:eastAsia="Times" w:hAnsi="Times" w:cs="Times"/>
          <w:kern w:val="0"/>
          <w:lang w:eastAsia="ja-JP"/>
          <w14:ligatures w14:val="none"/>
        </w:rPr>
        <w:t xml:space="preserve">-methods pre-test/post-test design. The impact of training on practices to prevent falls is assessed through educational interventions, surveys and interviews. Hence, it is paramount for nurses to be well prepared and enlightened with the AHRQ Toolkit to mitigate falls and improve older adults’ quality of life. In evaluating nurses’ internal motivation regarding the adoption of the AHRQ toolkit, the Intrinsic Motivation Inventory (IMI) post-test (Deci &amp; Ryan, 1985) is used. Long-term adoption by IMI results and dictate the changing required training.  </w:t>
      </w:r>
    </w:p>
    <w:p w14:paraId="2F5746AC"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lastRenderedPageBreak/>
        <w:t xml:space="preserve">IMI is applied directly after training by the trainee using a 7-point Likert scale. The stronger the scores on Interest/Enjoyment, Perceived Competence, Effort/Importance, and Value/Usefulness, the more motivated the practitioner is to implement the toolkit. Low Pressure/Tension scores are considered positive learning experiences. The IMI provides insight </w:t>
      </w:r>
      <w:proofErr w:type="gramStart"/>
      <w:r w:rsidRPr="007A00D2">
        <w:rPr>
          <w:rFonts w:ascii="Times" w:eastAsia="Times" w:hAnsi="Times" w:cs="Times"/>
          <w:kern w:val="0"/>
          <w:lang w:eastAsia="ja-JP"/>
          <w14:ligatures w14:val="none"/>
        </w:rPr>
        <w:t>on</w:t>
      </w:r>
      <w:proofErr w:type="gramEnd"/>
      <w:r w:rsidRPr="007A00D2">
        <w:rPr>
          <w:rFonts w:ascii="Times" w:eastAsia="Times" w:hAnsi="Times" w:cs="Times"/>
          <w:kern w:val="0"/>
          <w:lang w:eastAsia="ja-JP"/>
          <w14:ligatures w14:val="none"/>
        </w:rPr>
        <w:t xml:space="preserve"> how to improve engagement strategies, what training content should look like, and how it should be implemented.  </w:t>
      </w:r>
    </w:p>
    <w:p w14:paraId="423EF00D" w14:textId="77777777" w:rsidR="007A00D2" w:rsidRPr="007A00D2" w:rsidRDefault="007A00D2" w:rsidP="007A00D2">
      <w:pPr>
        <w:spacing w:before="240" w:after="24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 The C-Scale are also included in the post-test assessments. The C-Scale measures organizational support and cultural alignment. Collectively, these tools give a thorough overview of LTC nurses’ motivation to adopt, and capability to execute, fall prevention practice. </w:t>
      </w:r>
      <w:proofErr w:type="gramStart"/>
      <w:r w:rsidRPr="007A00D2">
        <w:rPr>
          <w:rFonts w:ascii="Times" w:eastAsia="Times" w:hAnsi="Times" w:cs="Times"/>
          <w:kern w:val="0"/>
          <w:lang w:eastAsia="ja-JP"/>
          <w14:ligatures w14:val="none"/>
        </w:rPr>
        <w:t>Aligning</w:t>
      </w:r>
      <w:proofErr w:type="gramEnd"/>
      <w:r w:rsidRPr="007A00D2">
        <w:rPr>
          <w:rFonts w:ascii="Times" w:eastAsia="Times" w:hAnsi="Times" w:cs="Times"/>
          <w:kern w:val="0"/>
          <w:lang w:eastAsia="ja-JP"/>
          <w14:ligatures w14:val="none"/>
        </w:rPr>
        <w:t xml:space="preserve"> the project’s goal of fostering intrinsic motivation to fall prevention, the IMI applies activities to focus on increasing perceived autonomy, competence, and relatedness in old age. Interventions will be informed by findings to motivate more nurses, improve implementation outcomes and prevent falls in LTC settings. </w:t>
      </w:r>
      <w:r w:rsidRPr="007A00D2">
        <w:rPr>
          <w:rFonts w:ascii="Times" w:eastAsia="Times" w:hAnsi="Times" w:cs="Times"/>
          <w:color w:val="000000"/>
          <w:kern w:val="0"/>
          <w:lang w:eastAsia="ja-JP"/>
          <w14:ligatures w14:val="none"/>
        </w:rPr>
        <w:t>The measurement levels for these instruments will vary, demographic questions will be nominal, while attitudes will be assessed using an ordinal scale for Likert items, allowing for qualitative insights.</w:t>
      </w:r>
    </w:p>
    <w:p w14:paraId="038C0C13"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1</w:t>
      </w:r>
      <w:proofErr w:type="gramStart"/>
      <w:r w:rsidRPr="007A00D2">
        <w:rPr>
          <w:rFonts w:ascii="Times" w:eastAsia="Times" w:hAnsi="Times" w:cs="Times"/>
          <w:color w:val="000000"/>
          <w:kern w:val="0"/>
          <w:lang w:eastAsia="ja-JP"/>
          <w14:ligatures w14:val="none"/>
        </w:rPr>
        <w:t>.  Demographic</w:t>
      </w:r>
      <w:proofErr w:type="gramEnd"/>
      <w:r w:rsidRPr="007A00D2">
        <w:rPr>
          <w:rFonts w:ascii="Times" w:eastAsia="Times" w:hAnsi="Times" w:cs="Times"/>
          <w:color w:val="000000"/>
          <w:kern w:val="0"/>
          <w:lang w:eastAsia="ja-JP"/>
          <w14:ligatures w14:val="none"/>
        </w:rPr>
        <w:t xml:space="preserve"> Survey (See Appendix H):</w:t>
      </w:r>
    </w:p>
    <w:p w14:paraId="2EB7F737"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evaluation of educational intervention findings requires information collection through the demographic data sheet which is shown in Appendix H. This will include:</w:t>
      </w:r>
    </w:p>
    <w:p w14:paraId="6293C94D"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Age  </w:t>
      </w:r>
    </w:p>
    <w:p w14:paraId="5A9E8462"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A project will evaluate how participant age impacts their usage readiness and self-confidence and motivation regarding the AHRQ Fall Prevention Toolkit.</w:t>
      </w:r>
    </w:p>
    <w:p w14:paraId="0E4995A5"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Gender </w:t>
      </w:r>
    </w:p>
    <w:p w14:paraId="37FE9FF4"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lastRenderedPageBreak/>
        <w:t>The evaluation determines whether staff members display different levels of perception and execution for fall prevention approaches.</w:t>
      </w:r>
    </w:p>
    <w:p w14:paraId="3E4B1248"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Years of Nursing Experience </w:t>
      </w:r>
    </w:p>
    <w:p w14:paraId="6109284D"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project aims to determine whether nurses with different working levels demonstrate various levels of confidence and preparedness when implementing fall prevention methods.</w:t>
      </w:r>
    </w:p>
    <w:p w14:paraId="375BEB23"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Prior Training in Fall Prevention </w:t>
      </w:r>
    </w:p>
    <w:p w14:paraId="5C587D66"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previous education nurses received is being assessed for its effect on their present-day knowledge base and confidence levels.</w:t>
      </w:r>
    </w:p>
    <w:p w14:paraId="49CF8A2C"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Primary Role in the Facility </w:t>
      </w:r>
    </w:p>
    <w:p w14:paraId="39F484D7"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data collection consists of collecting responses according to different healthcare staff designations such as registered nurse, licensed practical nurse and nurse aide.</w:t>
      </w:r>
    </w:p>
    <w:p w14:paraId="7498F130"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Shift Schedule </w:t>
      </w:r>
    </w:p>
    <w:p w14:paraId="2A69AA69"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project aims to determine if nurses working different shifts (day, evening or night) display different assessments regarding both fall risks and intervention methods.</w:t>
      </w:r>
    </w:p>
    <w:p w14:paraId="32BB4E3E"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Highest Level of Nursing Education </w:t>
      </w:r>
    </w:p>
    <w:p w14:paraId="56B58108"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project determines how education level influences the preparedness and self-assurance of nurses when applying fall prevention approaches.</w:t>
      </w:r>
    </w:p>
    <w:p w14:paraId="0C23E7F3"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Previous Use of the AHRQ Fall Prevention Toolkit  </w:t>
      </w:r>
    </w:p>
    <w:p w14:paraId="58861929"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Staff members will be evaluated on their understanding of the toolkit alongside their experience with adopting the toolkit before.</w:t>
      </w:r>
    </w:p>
    <w:p w14:paraId="2B802977" w14:textId="77777777" w:rsidR="007A00D2" w:rsidRPr="007A00D2" w:rsidRDefault="007A00D2" w:rsidP="007A00D2">
      <w:pPr>
        <w:numPr>
          <w:ilvl w:val="0"/>
          <w:numId w:val="3"/>
        </w:numPr>
        <w:spacing w:after="0" w:line="480" w:lineRule="auto"/>
        <w:contextualSpacing/>
        <w:rPr>
          <w:rFonts w:ascii="Times" w:eastAsia="Times" w:hAnsi="Times" w:cs="Times"/>
          <w:b/>
          <w:bCs/>
          <w:color w:val="000000"/>
          <w:kern w:val="0"/>
          <w:lang w:eastAsia="ja-JP"/>
          <w14:ligatures w14:val="none"/>
        </w:rPr>
      </w:pPr>
      <w:r w:rsidRPr="007A00D2">
        <w:rPr>
          <w:rFonts w:ascii="Times" w:eastAsia="Times" w:hAnsi="Times" w:cs="Times"/>
          <w:b/>
          <w:bCs/>
          <w:color w:val="000000"/>
          <w:kern w:val="0"/>
          <w:lang w:eastAsia="ja-JP"/>
          <w14:ligatures w14:val="none"/>
        </w:rPr>
        <w:t xml:space="preserve">Facility Type and Unit  </w:t>
      </w:r>
    </w:p>
    <w:p w14:paraId="6EC37F76" w14:textId="77777777" w:rsidR="007A00D2" w:rsidRPr="007A00D2" w:rsidRDefault="007A00D2" w:rsidP="007A00D2">
      <w:pPr>
        <w:spacing w:after="0" w:line="480" w:lineRule="auto"/>
        <w:ind w:left="720"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lastRenderedPageBreak/>
        <w:t>The Project seeks to identify what type of unit’s participants work in between skilled nursing and rehabilitation and memory care because these affect both risk factors for falls and intervention methods.</w:t>
      </w:r>
    </w:p>
    <w:p w14:paraId="5CFDCBC6"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This demographic information will reveal patterns and relationships as well as possible hindrances that influence successful implementation of fall prevention methods in long-term care (LTC) facilities.</w:t>
      </w:r>
    </w:p>
    <w:p w14:paraId="0F7F5927"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highlight w:val="yellow"/>
          <w:lang w:eastAsia="ja-JP"/>
          <w14:ligatures w14:val="none"/>
        </w:rPr>
        <w:t xml:space="preserve">2. </w:t>
      </w:r>
      <w:r w:rsidRPr="007A00D2">
        <w:rPr>
          <w:rFonts w:ascii="Times" w:eastAsia="Times" w:hAnsi="Times" w:cs="Times"/>
          <w:color w:val="000000"/>
          <w:kern w:val="0"/>
          <w:lang w:eastAsia="ja-JP"/>
          <w14:ligatures w14:val="none"/>
        </w:rPr>
        <w:t>Confidence Scale (C-Scale)</w:t>
      </w:r>
    </w:p>
    <w:p w14:paraId="238BE810"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highlight w:val="yellow"/>
          <w:lang w:eastAsia="ja-JP"/>
          <w14:ligatures w14:val="none"/>
        </w:rPr>
        <w:t xml:space="preserve"> Instrument #2 (See Appendices S &amp; T):</w:t>
      </w:r>
    </w:p>
    <w:p w14:paraId="49527ECF"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highlight w:val="yellow"/>
          <w:lang w:eastAsia="ja-JP"/>
          <w14:ligatures w14:val="none"/>
        </w:rPr>
        <w:t>Put actual instrument in Appendix Q.</w:t>
      </w:r>
    </w:p>
    <w:p w14:paraId="7CD7B299"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highlight w:val="yellow"/>
          <w:lang w:eastAsia="ja-JP"/>
          <w14:ligatures w14:val="none"/>
        </w:rPr>
        <w:t>Put permission to use in Appendix R</w:t>
      </w:r>
    </w:p>
    <w:p w14:paraId="79EB8AE5"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C-Scale exists as an assessment tool for determining how skilled nurses feel about risk assessment for falls and implementing prevention approaches through the AHRQ Fall Prevention Toolkit. The tool assists in assessing nurse self-confidence when using evidence-based fall prevention techniques in long-term care environments.</w:t>
      </w:r>
    </w:p>
    <w:p w14:paraId="5C3C6202"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Reliability (Cronbach’s Alpha): </w:t>
      </w:r>
    </w:p>
    <w:p w14:paraId="1388D972"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reliability score of the C-Scale reaches above 0.85 when assessed using Cronbach’s alpha which signifies its effectiveness in clinical practice confidence assessment (Melnyk &amp; Fineout-Overholt, 2022).</w:t>
      </w:r>
    </w:p>
    <w:p w14:paraId="040AA16A"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highlight w:val="yellow"/>
          <w:lang w:eastAsia="ja-JP"/>
          <w14:ligatures w14:val="none"/>
        </w:rPr>
        <w:t>3</w:t>
      </w:r>
      <w:proofErr w:type="gramStart"/>
      <w:r w:rsidRPr="007A00D2">
        <w:rPr>
          <w:rFonts w:ascii="Times" w:eastAsia="Times" w:hAnsi="Times" w:cs="Times"/>
          <w:color w:val="000000"/>
          <w:kern w:val="0"/>
          <w:highlight w:val="yellow"/>
          <w:lang w:eastAsia="ja-JP"/>
          <w14:ligatures w14:val="none"/>
        </w:rPr>
        <w:t xml:space="preserve">.  </w:t>
      </w:r>
      <w:r w:rsidRPr="007A00D2">
        <w:rPr>
          <w:rFonts w:ascii="Times" w:eastAsia="Times" w:hAnsi="Times" w:cs="Times"/>
          <w:color w:val="000000"/>
          <w:kern w:val="0"/>
          <w:lang w:eastAsia="ja-JP"/>
          <w14:ligatures w14:val="none"/>
        </w:rPr>
        <w:t>Intrinsic</w:t>
      </w:r>
      <w:proofErr w:type="gramEnd"/>
      <w:r w:rsidRPr="007A00D2">
        <w:rPr>
          <w:rFonts w:ascii="Times" w:eastAsia="Times" w:hAnsi="Times" w:cs="Times"/>
          <w:color w:val="000000"/>
          <w:kern w:val="0"/>
          <w:lang w:eastAsia="ja-JP"/>
          <w14:ligatures w14:val="none"/>
        </w:rPr>
        <w:t xml:space="preserve"> Motivation Inventory (IMI)</w:t>
      </w:r>
    </w:p>
    <w:p w14:paraId="26DF1F6C"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highlight w:val="yellow"/>
          <w:lang w:eastAsia="ja-JP"/>
          <w14:ligatures w14:val="none"/>
        </w:rPr>
        <w:t>Instrument #3 (See Appendices U &amp; V):</w:t>
      </w:r>
    </w:p>
    <w:p w14:paraId="58C549C0"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The IMI functions as an assessment tool to determine nursing practitioners' motivation for using the AHRQ Fall Prevention Toolkit based on intrinsic factors. The assessment tool </w:t>
      </w:r>
      <w:r w:rsidRPr="007A00D2">
        <w:rPr>
          <w:rFonts w:ascii="Times" w:eastAsia="Times" w:hAnsi="Times" w:cs="Times"/>
          <w:color w:val="000000"/>
          <w:kern w:val="0"/>
          <w:lang w:eastAsia="ja-JP"/>
          <w14:ligatures w14:val="none"/>
        </w:rPr>
        <w:lastRenderedPageBreak/>
        <w:t>measures the key motivational aspects of interest/enjoyment together with perceived competence and effort/importance and value/usefulness of the intervention.</w:t>
      </w:r>
    </w:p>
    <w:p w14:paraId="23AB2A96"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Reliability (Cronbach’s Alpha): </w:t>
      </w:r>
    </w:p>
    <w:p w14:paraId="788D7C2E"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The IMI measurement tool has proven reliable according to numerous studies showing that Cronbach’s alpha values lie between 0.80 and 0.91 which demonstrates its strength as a tool for evaluating practice implementation motivations (Deci &amp; Ryan, 1985).</w:t>
      </w:r>
    </w:p>
    <w:p w14:paraId="66E1D9AF"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highlight w:val="yellow"/>
          <w:lang w:eastAsia="ja-JP"/>
          <w14:ligatures w14:val="none"/>
        </w:rPr>
        <w:t>4</w:t>
      </w:r>
      <w:proofErr w:type="gramStart"/>
      <w:r w:rsidRPr="007A00D2">
        <w:rPr>
          <w:rFonts w:ascii="Times" w:eastAsia="Times" w:hAnsi="Times" w:cs="Times"/>
          <w:color w:val="000000"/>
          <w:kern w:val="0"/>
          <w:highlight w:val="yellow"/>
          <w:lang w:eastAsia="ja-JP"/>
          <w14:ligatures w14:val="none"/>
        </w:rPr>
        <w:t>.  Instrument #</w:t>
      </w:r>
      <w:proofErr w:type="gramEnd"/>
      <w:r w:rsidRPr="007A00D2">
        <w:rPr>
          <w:rFonts w:ascii="Times" w:eastAsia="Times" w:hAnsi="Times" w:cs="Times"/>
          <w:color w:val="000000"/>
          <w:kern w:val="0"/>
          <w:highlight w:val="yellow"/>
          <w:lang w:eastAsia="ja-JP"/>
          <w14:ligatures w14:val="none"/>
        </w:rPr>
        <w:t>5 Open-Ended Questions (See Appendix M:)</w:t>
      </w:r>
    </w:p>
    <w:p w14:paraId="0168FADA" w14:textId="77777777" w:rsidR="007A00D2" w:rsidRPr="007A00D2" w:rsidRDefault="007A00D2" w:rsidP="007A00D2">
      <w:pPr>
        <w:spacing w:after="0" w:line="480" w:lineRule="auto"/>
        <w:ind w:left="360" w:firstLine="360"/>
        <w:rPr>
          <w:rFonts w:ascii="Aptos" w:eastAsia="Times New Roman" w:hAnsi="Aptos" w:cs="Times New Roman"/>
          <w:kern w:val="0"/>
          <w:lang w:eastAsia="ja-JP"/>
          <w14:ligatures w14:val="none"/>
        </w:rPr>
      </w:pPr>
      <w:r w:rsidRPr="007A00D2">
        <w:rPr>
          <w:rFonts w:ascii="Times" w:eastAsia="Times" w:hAnsi="Times" w:cs="Times"/>
          <w:b/>
          <w:bCs/>
          <w:color w:val="0E101A"/>
          <w:kern w:val="0"/>
          <w:lang w:eastAsia="ja-JP"/>
          <w14:ligatures w14:val="none"/>
        </w:rPr>
        <w:t xml:space="preserve">Readiness and Knowledge </w:t>
      </w:r>
    </w:p>
    <w:p w14:paraId="336C1C5E" w14:textId="77777777" w:rsidR="007A00D2" w:rsidRPr="007A00D2" w:rsidRDefault="007A00D2" w:rsidP="007A00D2">
      <w:pPr>
        <w:numPr>
          <w:ilvl w:val="0"/>
          <w:numId w:val="2"/>
        </w:numPr>
        <w:spacing w:after="0" w:line="480" w:lineRule="auto"/>
        <w:contextualSpacing/>
        <w:rPr>
          <w:rFonts w:ascii="Times" w:eastAsia="Times" w:hAnsi="Times" w:cs="Times"/>
          <w:color w:val="0E101A"/>
          <w:kern w:val="0"/>
          <w:lang w:eastAsia="ja-JP"/>
          <w14:ligatures w14:val="none"/>
        </w:rPr>
      </w:pPr>
      <w:r w:rsidRPr="007A00D2">
        <w:rPr>
          <w:rFonts w:ascii="Times" w:eastAsia="Times" w:hAnsi="Times" w:cs="Times"/>
          <w:color w:val="0E101A"/>
          <w:kern w:val="0"/>
          <w:lang w:eastAsia="ja-JP"/>
          <w14:ligatures w14:val="none"/>
        </w:rPr>
        <w:t xml:space="preserve">How familiar are you with the AHRQ Falls Toolkit, and what aspects of the toolkit do you find most useful in your current practice? </w:t>
      </w:r>
    </w:p>
    <w:p w14:paraId="55890B34" w14:textId="77777777" w:rsidR="007A00D2" w:rsidRPr="007A00D2" w:rsidRDefault="007A00D2" w:rsidP="007A00D2">
      <w:pPr>
        <w:numPr>
          <w:ilvl w:val="0"/>
          <w:numId w:val="2"/>
        </w:numPr>
        <w:spacing w:after="0" w:line="480" w:lineRule="auto"/>
        <w:contextualSpacing/>
        <w:rPr>
          <w:rFonts w:ascii="Times" w:eastAsia="Times" w:hAnsi="Times" w:cs="Times"/>
          <w:color w:val="0E101A"/>
          <w:kern w:val="0"/>
          <w:lang w:eastAsia="ja-JP"/>
          <w14:ligatures w14:val="none"/>
        </w:rPr>
      </w:pPr>
      <w:r w:rsidRPr="007A00D2">
        <w:rPr>
          <w:rFonts w:ascii="Times" w:eastAsia="Times" w:hAnsi="Times" w:cs="Times"/>
          <w:color w:val="0E101A"/>
          <w:kern w:val="0"/>
          <w:lang w:eastAsia="ja-JP"/>
          <w14:ligatures w14:val="none"/>
        </w:rPr>
        <w:t xml:space="preserve">In what ways do you think the toolkit can enhance patient safety and fall prevention efforts in your facility? </w:t>
      </w:r>
    </w:p>
    <w:p w14:paraId="057FB30E" w14:textId="77777777" w:rsidR="007A00D2" w:rsidRPr="007A00D2" w:rsidRDefault="007A00D2" w:rsidP="007A00D2">
      <w:pPr>
        <w:spacing w:after="0" w:line="480" w:lineRule="auto"/>
        <w:ind w:left="360"/>
        <w:rPr>
          <w:rFonts w:ascii="Aptos" w:eastAsia="Times New Roman" w:hAnsi="Aptos" w:cs="Times New Roman"/>
          <w:kern w:val="0"/>
          <w:lang w:eastAsia="ja-JP"/>
          <w14:ligatures w14:val="none"/>
        </w:rPr>
      </w:pPr>
      <w:r w:rsidRPr="007A00D2">
        <w:rPr>
          <w:rFonts w:ascii="Times" w:eastAsia="Times" w:hAnsi="Times" w:cs="Times"/>
          <w:b/>
          <w:bCs/>
          <w:color w:val="0E101A"/>
          <w:kern w:val="0"/>
          <w:lang w:eastAsia="ja-JP"/>
          <w14:ligatures w14:val="none"/>
        </w:rPr>
        <w:t xml:space="preserve">Confidence in Implementation </w:t>
      </w:r>
    </w:p>
    <w:p w14:paraId="0F04E420" w14:textId="77777777" w:rsidR="007A00D2" w:rsidRPr="007A00D2" w:rsidRDefault="007A00D2" w:rsidP="007A00D2">
      <w:pPr>
        <w:numPr>
          <w:ilvl w:val="0"/>
          <w:numId w:val="2"/>
        </w:numPr>
        <w:spacing w:after="0" w:line="480" w:lineRule="auto"/>
        <w:contextualSpacing/>
        <w:rPr>
          <w:rFonts w:ascii="Times" w:eastAsia="Times" w:hAnsi="Times" w:cs="Times"/>
          <w:color w:val="0E101A"/>
          <w:kern w:val="0"/>
          <w:lang w:eastAsia="ja-JP"/>
          <w14:ligatures w14:val="none"/>
        </w:rPr>
      </w:pPr>
      <w:r w:rsidRPr="007A00D2">
        <w:rPr>
          <w:rFonts w:ascii="Times" w:eastAsia="Times" w:hAnsi="Times" w:cs="Times"/>
          <w:color w:val="0E101A"/>
          <w:kern w:val="0"/>
          <w:lang w:eastAsia="ja-JP"/>
          <w14:ligatures w14:val="none"/>
        </w:rPr>
        <w:t xml:space="preserve">How confident do you feel in assessing fall risks and applying fall prevention strategies outlined in the AHRQ Falls Toolkit? </w:t>
      </w:r>
    </w:p>
    <w:p w14:paraId="49B05067" w14:textId="77777777" w:rsidR="007A00D2" w:rsidRPr="007A00D2" w:rsidRDefault="007A00D2" w:rsidP="007A00D2">
      <w:pPr>
        <w:numPr>
          <w:ilvl w:val="0"/>
          <w:numId w:val="2"/>
        </w:numPr>
        <w:spacing w:after="0" w:line="480" w:lineRule="auto"/>
        <w:contextualSpacing/>
        <w:rPr>
          <w:rFonts w:ascii="Times" w:eastAsia="Times" w:hAnsi="Times" w:cs="Times"/>
          <w:color w:val="0E101A"/>
          <w:kern w:val="0"/>
          <w:lang w:eastAsia="ja-JP"/>
          <w14:ligatures w14:val="none"/>
        </w:rPr>
      </w:pPr>
      <w:r w:rsidRPr="007A00D2">
        <w:rPr>
          <w:rFonts w:ascii="Times" w:eastAsia="Times" w:hAnsi="Times" w:cs="Times"/>
          <w:color w:val="0E101A"/>
          <w:kern w:val="0"/>
          <w:lang w:eastAsia="ja-JP"/>
          <w14:ligatures w14:val="none"/>
        </w:rPr>
        <w:t xml:space="preserve">Can you describe a time when you successfully implemented a fall prevention strategy? What factors contributed to your confidence in that situation? </w:t>
      </w:r>
    </w:p>
    <w:p w14:paraId="0C0962C7" w14:textId="77777777" w:rsidR="007A00D2" w:rsidRPr="007A00D2" w:rsidRDefault="007A00D2" w:rsidP="007A00D2">
      <w:pPr>
        <w:spacing w:after="0" w:line="480" w:lineRule="auto"/>
        <w:ind w:left="360"/>
        <w:rPr>
          <w:rFonts w:ascii="Aptos" w:eastAsia="Times New Roman" w:hAnsi="Aptos" w:cs="Times New Roman"/>
          <w:kern w:val="0"/>
          <w:lang w:eastAsia="ja-JP"/>
          <w14:ligatures w14:val="none"/>
        </w:rPr>
      </w:pPr>
      <w:r w:rsidRPr="007A00D2">
        <w:rPr>
          <w:rFonts w:ascii="Times" w:eastAsia="Times" w:hAnsi="Times" w:cs="Times"/>
          <w:b/>
          <w:bCs/>
          <w:color w:val="0E101A"/>
          <w:kern w:val="0"/>
          <w:lang w:eastAsia="ja-JP"/>
          <w14:ligatures w14:val="none"/>
        </w:rPr>
        <w:t xml:space="preserve">Motivation and Willingness to Use the Toolkit </w:t>
      </w:r>
    </w:p>
    <w:p w14:paraId="5F1F1A39" w14:textId="77777777" w:rsidR="007A00D2" w:rsidRPr="007A00D2" w:rsidRDefault="007A00D2" w:rsidP="007A00D2">
      <w:pPr>
        <w:numPr>
          <w:ilvl w:val="0"/>
          <w:numId w:val="2"/>
        </w:numPr>
        <w:spacing w:after="0" w:line="480" w:lineRule="auto"/>
        <w:contextualSpacing/>
        <w:rPr>
          <w:rFonts w:ascii="Times" w:eastAsia="Times" w:hAnsi="Times" w:cs="Times"/>
          <w:color w:val="0E101A"/>
          <w:kern w:val="0"/>
          <w:lang w:eastAsia="ja-JP"/>
          <w14:ligatures w14:val="none"/>
        </w:rPr>
      </w:pPr>
      <w:r w:rsidRPr="007A00D2">
        <w:rPr>
          <w:rFonts w:ascii="Times" w:eastAsia="Times" w:hAnsi="Times" w:cs="Times"/>
          <w:color w:val="0E101A"/>
          <w:kern w:val="0"/>
          <w:lang w:eastAsia="ja-JP"/>
          <w14:ligatures w14:val="none"/>
        </w:rPr>
        <w:t xml:space="preserve">What motivates you to integrate the AHRQ Falls Toolkit into your practice? </w:t>
      </w:r>
    </w:p>
    <w:p w14:paraId="473DE3CF" w14:textId="77777777" w:rsidR="007A00D2" w:rsidRPr="007A00D2" w:rsidRDefault="007A00D2" w:rsidP="007A00D2">
      <w:pPr>
        <w:spacing w:after="0" w:line="480" w:lineRule="auto"/>
        <w:ind w:left="360"/>
        <w:rPr>
          <w:rFonts w:ascii="Aptos" w:eastAsia="Times New Roman" w:hAnsi="Aptos" w:cs="Times New Roman"/>
          <w:kern w:val="0"/>
          <w:lang w:eastAsia="ja-JP"/>
          <w14:ligatures w14:val="none"/>
        </w:rPr>
      </w:pPr>
      <w:r w:rsidRPr="007A00D2">
        <w:rPr>
          <w:rFonts w:ascii="Times" w:eastAsia="Times" w:hAnsi="Times" w:cs="Times"/>
          <w:b/>
          <w:bCs/>
          <w:color w:val="0E101A"/>
          <w:kern w:val="0"/>
          <w:lang w:eastAsia="ja-JP"/>
          <w14:ligatures w14:val="none"/>
        </w:rPr>
        <w:t xml:space="preserve">Perceived Effectiveness and Practicality </w:t>
      </w:r>
    </w:p>
    <w:p w14:paraId="2C5953A4" w14:textId="77777777" w:rsidR="007A00D2" w:rsidRPr="007A00D2" w:rsidRDefault="007A00D2" w:rsidP="007A00D2">
      <w:pPr>
        <w:numPr>
          <w:ilvl w:val="0"/>
          <w:numId w:val="2"/>
        </w:numPr>
        <w:spacing w:after="0" w:line="480" w:lineRule="auto"/>
        <w:contextualSpacing/>
        <w:rPr>
          <w:rFonts w:ascii="Times" w:eastAsia="Times" w:hAnsi="Times" w:cs="Times"/>
          <w:color w:val="0E101A"/>
          <w:kern w:val="0"/>
          <w:lang w:eastAsia="ja-JP"/>
          <w14:ligatures w14:val="none"/>
        </w:rPr>
      </w:pPr>
      <w:r w:rsidRPr="007A00D2">
        <w:rPr>
          <w:rFonts w:ascii="Times" w:eastAsia="Times" w:hAnsi="Times" w:cs="Times"/>
          <w:color w:val="0E101A"/>
          <w:kern w:val="0"/>
          <w:lang w:eastAsia="ja-JP"/>
          <w14:ligatures w14:val="none"/>
        </w:rPr>
        <w:t>What impact do you believe a more structured approach to fall prevention would have on patient outcomes in long-term care settings?</w:t>
      </w:r>
    </w:p>
    <w:p w14:paraId="79EA937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 xml:space="preserve">Data Analysis </w:t>
      </w:r>
    </w:p>
    <w:p w14:paraId="3727403A"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8080"/>
          <w:kern w:val="0"/>
          <w:u w:val="single"/>
          <w:lang w:eastAsia="ja-JP"/>
          <w14:ligatures w14:val="none"/>
        </w:rPr>
        <w:t xml:space="preserve"> </w:t>
      </w:r>
    </w:p>
    <w:p w14:paraId="77D7B361"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lastRenderedPageBreak/>
        <w:t>Quantitative data will be analyzed using</w:t>
      </w:r>
      <w:r w:rsidRPr="007A00D2">
        <w:rPr>
          <w:rFonts w:ascii="Times" w:eastAsia="Times" w:hAnsi="Times" w:cs="Times"/>
          <w:kern w:val="0"/>
          <w:lang w:eastAsia="ja-JP"/>
          <w14:ligatures w14:val="none"/>
        </w:rPr>
        <w:t xml:space="preserve"> </w:t>
      </w:r>
      <w:proofErr w:type="spellStart"/>
      <w:r w:rsidRPr="007A00D2">
        <w:rPr>
          <w:rFonts w:ascii="Times" w:eastAsia="Times" w:hAnsi="Times" w:cs="Times"/>
          <w:color w:val="000000"/>
          <w:kern w:val="0"/>
          <w:lang w:eastAsia="ja-JP"/>
          <w14:ligatures w14:val="none"/>
        </w:rPr>
        <w:t>Intellectus</w:t>
      </w:r>
      <w:proofErr w:type="spellEnd"/>
      <w:r w:rsidRPr="007A00D2">
        <w:rPr>
          <w:rFonts w:ascii="Times" w:eastAsia="Times" w:hAnsi="Times" w:cs="Times"/>
          <w:color w:val="000000"/>
          <w:kern w:val="0"/>
          <w:lang w:eastAsia="ja-JP"/>
          <w14:ligatures w14:val="none"/>
        </w:rPr>
        <w:t xml:space="preserve"> Statistics software. while qualitative data will involve summarizing and listing constant themes and patterns of the participant's views about fall prevention. The data collected in Qualtrics will be cleaned and downloaded to an Excel spreadsheet and uploaded to </w:t>
      </w:r>
      <w:proofErr w:type="spellStart"/>
      <w:r w:rsidRPr="007A00D2">
        <w:rPr>
          <w:rFonts w:ascii="Times" w:eastAsia="Times" w:hAnsi="Times" w:cs="Times"/>
          <w:color w:val="000000"/>
          <w:kern w:val="0"/>
          <w:lang w:eastAsia="ja-JP"/>
          <w14:ligatures w14:val="none"/>
        </w:rPr>
        <w:t>Intellectus</w:t>
      </w:r>
      <w:proofErr w:type="spellEnd"/>
      <w:r w:rsidRPr="007A00D2">
        <w:rPr>
          <w:rFonts w:ascii="Times" w:eastAsia="Times" w:hAnsi="Times" w:cs="Times"/>
          <w:color w:val="000000"/>
          <w:kern w:val="0"/>
          <w:lang w:eastAsia="ja-JP"/>
          <w14:ligatures w14:val="none"/>
        </w:rPr>
        <w:t xml:space="preserve"> Statistics for analysis. Descriptive statistics will be used to determine the percentages of </w:t>
      </w:r>
      <w:proofErr w:type="gramStart"/>
      <w:r w:rsidRPr="007A00D2">
        <w:rPr>
          <w:rFonts w:ascii="Times" w:eastAsia="Times" w:hAnsi="Times" w:cs="Times"/>
          <w:color w:val="000000"/>
          <w:kern w:val="0"/>
          <w:lang w:eastAsia="ja-JP"/>
          <w14:ligatures w14:val="none"/>
        </w:rPr>
        <w:t>the demographic</w:t>
      </w:r>
      <w:proofErr w:type="gramEnd"/>
      <w:r w:rsidRPr="007A00D2">
        <w:rPr>
          <w:rFonts w:ascii="Times" w:eastAsia="Times" w:hAnsi="Times" w:cs="Times"/>
          <w:color w:val="000000"/>
          <w:kern w:val="0"/>
          <w:lang w:eastAsia="ja-JP"/>
          <w14:ligatures w14:val="none"/>
        </w:rPr>
        <w:t xml:space="preserve"> data to create a profile of the population. For the quantitative data, paired t-tests will be conducted to analyze the group means from the pretests to the posttests. The IMI will be calculated as a posttest data point alone, with a score of 5 indicating high levels of intrinsic motivation. The alpha will be set for the p-value at </w:t>
      </w:r>
      <w:r w:rsidRPr="007A00D2">
        <w:rPr>
          <w:rFonts w:ascii="Times" w:eastAsia="Times" w:hAnsi="Times" w:cs="Times"/>
          <w:color w:val="000000"/>
          <w:kern w:val="0"/>
          <w:u w:val="single"/>
          <w:lang w:eastAsia="ja-JP"/>
          <w14:ligatures w14:val="none"/>
        </w:rPr>
        <w:t>&lt;</w:t>
      </w:r>
      <w:r w:rsidRPr="007A00D2">
        <w:rPr>
          <w:rFonts w:ascii="Times" w:eastAsia="Times" w:hAnsi="Times" w:cs="Times"/>
          <w:color w:val="000000"/>
          <w:kern w:val="0"/>
          <w:lang w:eastAsia="ja-JP"/>
          <w14:ligatures w14:val="none"/>
        </w:rPr>
        <w:t>0.05.</w:t>
      </w:r>
    </w:p>
    <w:p w14:paraId="290986ED" w14:textId="77777777" w:rsidR="007A00D2" w:rsidRPr="007A00D2" w:rsidRDefault="007A00D2" w:rsidP="007A00D2">
      <w:pPr>
        <w:spacing w:after="0" w:line="480" w:lineRule="auto"/>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Qualitative data including responses to the five open-ended questions will be collected in Qualtrics and downloaded to review for common themes. These will be presented in a table for Chapter IV.</w:t>
      </w:r>
    </w:p>
    <w:p w14:paraId="6D8A0125"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Timetable</w:t>
      </w:r>
      <w:r w:rsidRPr="007A00D2">
        <w:rPr>
          <w:rFonts w:ascii="Times" w:eastAsia="Times" w:hAnsi="Times" w:cs="Times"/>
          <w:color w:val="000000"/>
          <w:kern w:val="0"/>
          <w:lang w:eastAsia="ja-JP"/>
          <w14:ligatures w14:val="none"/>
        </w:rPr>
        <w:t xml:space="preserve">  </w:t>
      </w:r>
    </w:p>
    <w:tbl>
      <w:tblPr>
        <w:tblW w:w="0" w:type="auto"/>
        <w:tblLayout w:type="fixed"/>
        <w:tblLook w:val="06A0" w:firstRow="1" w:lastRow="0" w:firstColumn="1" w:lastColumn="0" w:noHBand="1" w:noVBand="1"/>
      </w:tblPr>
      <w:tblGrid>
        <w:gridCol w:w="3046"/>
        <w:gridCol w:w="1627"/>
        <w:gridCol w:w="848"/>
        <w:gridCol w:w="887"/>
        <w:gridCol w:w="896"/>
        <w:gridCol w:w="843"/>
        <w:gridCol w:w="1213"/>
      </w:tblGrid>
      <w:tr w:rsidR="007A00D2" w:rsidRPr="007A00D2" w14:paraId="44470F3F" w14:textId="77777777" w:rsidTr="007A00D2">
        <w:trPr>
          <w:trHeight w:val="375"/>
        </w:trPr>
        <w:tc>
          <w:tcPr>
            <w:tcW w:w="3046" w:type="dxa"/>
            <w:tcBorders>
              <w:top w:val="single" w:sz="8" w:space="0" w:color="000000"/>
              <w:left w:val="single" w:sz="8" w:space="0" w:color="000000"/>
              <w:bottom w:val="nil"/>
              <w:right w:val="single" w:sz="8" w:space="0" w:color="000000"/>
            </w:tcBorders>
            <w:shd w:val="clear" w:color="auto" w:fill="F2CEEF"/>
            <w:tcMar>
              <w:top w:w="15" w:type="dxa"/>
              <w:left w:w="15" w:type="dxa"/>
              <w:right w:w="15" w:type="dxa"/>
            </w:tcMar>
            <w:vAlign w:val="bottom"/>
          </w:tcPr>
          <w:p w14:paraId="625ADA7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DNP Activity/Task</w:t>
            </w:r>
          </w:p>
        </w:tc>
        <w:tc>
          <w:tcPr>
            <w:tcW w:w="1627" w:type="dxa"/>
            <w:tcBorders>
              <w:top w:val="single" w:sz="8" w:space="0" w:color="000000"/>
              <w:left w:val="single" w:sz="8" w:space="0" w:color="000000"/>
              <w:bottom w:val="nil"/>
              <w:right w:val="single" w:sz="8" w:space="0" w:color="000000"/>
            </w:tcBorders>
            <w:shd w:val="clear" w:color="auto" w:fill="F2CEEF"/>
            <w:tcMar>
              <w:top w:w="15" w:type="dxa"/>
              <w:left w:w="15" w:type="dxa"/>
              <w:right w:w="15" w:type="dxa"/>
            </w:tcMar>
            <w:vAlign w:val="bottom"/>
          </w:tcPr>
          <w:p w14:paraId="527C8C34"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NU740</w:t>
            </w:r>
          </w:p>
        </w:tc>
        <w:tc>
          <w:tcPr>
            <w:tcW w:w="848" w:type="dxa"/>
            <w:tcBorders>
              <w:top w:val="single" w:sz="8" w:space="0" w:color="000000"/>
              <w:left w:val="single" w:sz="8" w:space="0" w:color="000000"/>
              <w:bottom w:val="nil"/>
              <w:right w:val="single" w:sz="8" w:space="0" w:color="000000"/>
            </w:tcBorders>
            <w:shd w:val="clear" w:color="auto" w:fill="F2CEEF"/>
            <w:tcMar>
              <w:top w:w="15" w:type="dxa"/>
              <w:left w:w="15" w:type="dxa"/>
              <w:right w:w="15" w:type="dxa"/>
            </w:tcMar>
            <w:vAlign w:val="bottom"/>
          </w:tcPr>
          <w:p w14:paraId="0F1B99D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NU726</w:t>
            </w:r>
          </w:p>
        </w:tc>
        <w:tc>
          <w:tcPr>
            <w:tcW w:w="887" w:type="dxa"/>
            <w:tcBorders>
              <w:top w:val="single" w:sz="8" w:space="0" w:color="000000"/>
              <w:left w:val="single" w:sz="8" w:space="0" w:color="000000"/>
              <w:bottom w:val="nil"/>
              <w:right w:val="single" w:sz="8" w:space="0" w:color="000000"/>
            </w:tcBorders>
            <w:shd w:val="clear" w:color="auto" w:fill="F2CEEF"/>
            <w:tcMar>
              <w:top w:w="15" w:type="dxa"/>
              <w:left w:w="15" w:type="dxa"/>
              <w:right w:w="15" w:type="dxa"/>
            </w:tcMar>
            <w:vAlign w:val="bottom"/>
          </w:tcPr>
          <w:p w14:paraId="30E94C48"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NU727</w:t>
            </w:r>
          </w:p>
        </w:tc>
        <w:tc>
          <w:tcPr>
            <w:tcW w:w="896" w:type="dxa"/>
            <w:tcBorders>
              <w:top w:val="single" w:sz="8" w:space="0" w:color="000000"/>
              <w:left w:val="single" w:sz="8" w:space="0" w:color="000000"/>
              <w:bottom w:val="nil"/>
              <w:right w:val="single" w:sz="8" w:space="0" w:color="000000"/>
            </w:tcBorders>
            <w:shd w:val="clear" w:color="auto" w:fill="F2CEEF"/>
            <w:tcMar>
              <w:top w:w="15" w:type="dxa"/>
              <w:left w:w="15" w:type="dxa"/>
              <w:right w:w="15" w:type="dxa"/>
            </w:tcMar>
            <w:vAlign w:val="bottom"/>
          </w:tcPr>
          <w:p w14:paraId="0120401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NU741</w:t>
            </w:r>
          </w:p>
        </w:tc>
        <w:tc>
          <w:tcPr>
            <w:tcW w:w="843" w:type="dxa"/>
            <w:tcBorders>
              <w:top w:val="single" w:sz="8" w:space="0" w:color="000000"/>
              <w:left w:val="single" w:sz="8" w:space="0" w:color="000000"/>
              <w:bottom w:val="nil"/>
              <w:right w:val="single" w:sz="8" w:space="0" w:color="000000"/>
            </w:tcBorders>
            <w:shd w:val="clear" w:color="auto" w:fill="F2CEEF"/>
            <w:tcMar>
              <w:top w:w="15" w:type="dxa"/>
              <w:left w:w="15" w:type="dxa"/>
              <w:right w:w="15" w:type="dxa"/>
            </w:tcMar>
            <w:vAlign w:val="bottom"/>
          </w:tcPr>
          <w:p w14:paraId="4D46CB2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NU742</w:t>
            </w:r>
          </w:p>
        </w:tc>
        <w:tc>
          <w:tcPr>
            <w:tcW w:w="1213" w:type="dxa"/>
            <w:tcBorders>
              <w:top w:val="single" w:sz="8" w:space="0" w:color="000000"/>
              <w:left w:val="single" w:sz="8" w:space="0" w:color="000000"/>
              <w:bottom w:val="nil"/>
              <w:right w:val="single" w:sz="8" w:space="0" w:color="000000"/>
            </w:tcBorders>
            <w:shd w:val="clear" w:color="auto" w:fill="F2CEEF"/>
            <w:tcMar>
              <w:top w:w="15" w:type="dxa"/>
              <w:left w:w="15" w:type="dxa"/>
              <w:right w:w="15" w:type="dxa"/>
            </w:tcMar>
            <w:vAlign w:val="bottom"/>
          </w:tcPr>
          <w:p w14:paraId="2FED78F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NU743</w:t>
            </w:r>
          </w:p>
        </w:tc>
      </w:tr>
      <w:tr w:rsidR="007A00D2" w:rsidRPr="007A00D2" w14:paraId="7DDB627A"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7520CA7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Choose your practice problem for EBP Project</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604044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Decide &amp; </w:t>
            </w:r>
            <w:proofErr w:type="gramStart"/>
            <w:r w:rsidRPr="007A00D2">
              <w:rPr>
                <w:rFonts w:ascii="Times" w:eastAsia="Times" w:hAnsi="Times" w:cs="Times"/>
                <w:color w:val="000000"/>
                <w:kern w:val="0"/>
                <w:sz w:val="20"/>
                <w:szCs w:val="20"/>
                <w:lang w:eastAsia="ja-JP"/>
                <w14:ligatures w14:val="none"/>
              </w:rPr>
              <w:t>Completed</w:t>
            </w:r>
            <w:proofErr w:type="gramEnd"/>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324275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D0582B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7740E47"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A54A05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B99298A"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r>
      <w:tr w:rsidR="007A00D2" w:rsidRPr="007A00D2" w14:paraId="5A6D67E2"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645DF03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SPP PowerPoint</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2D608D7"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81DC7D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Refining</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987811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Refining</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E70D408"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9830DFA"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3BBE5D9"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Pending the completion</w:t>
            </w:r>
          </w:p>
        </w:tc>
      </w:tr>
      <w:tr w:rsidR="007A00D2" w:rsidRPr="007A00D2" w14:paraId="7C469905"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32372FD4"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SPP Paper</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A32B2F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6090E4A"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Refining</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476152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Refining</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1177FE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D933E0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4BF5C59"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Pending the completion</w:t>
            </w:r>
          </w:p>
        </w:tc>
      </w:tr>
      <w:tr w:rsidR="007A00D2" w:rsidRPr="007A00D2" w14:paraId="4A466896"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3B695B17"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SPP Poster</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3D8480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B4F7FF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Refining</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3EC2D20"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Refining</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68BDFA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F10820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75A323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Pending the completion</w:t>
            </w:r>
          </w:p>
        </w:tc>
      </w:tr>
      <w:tr w:rsidR="007A00D2" w:rsidRPr="007A00D2" w14:paraId="46B7B227"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0A272A3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Chapter I</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B8A82A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BC2126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Refining</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F4826C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Refining</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E04465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50BF564"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6D1B91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Pending the completion</w:t>
            </w:r>
          </w:p>
        </w:tc>
      </w:tr>
      <w:tr w:rsidR="007A00D2" w:rsidRPr="007A00D2" w14:paraId="3123A209"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103A5E7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Chapter II</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A47662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025EAD7"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9AEEE5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Refining</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6F9FD8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F7F3AC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EFE6989"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Pending the completion</w:t>
            </w:r>
          </w:p>
        </w:tc>
      </w:tr>
      <w:tr w:rsidR="007A00D2" w:rsidRPr="007A00D2" w14:paraId="25AAE3DF"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3F0BF11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Chapter III</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82CAD3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4FDD0B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83E3150"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4F6A2B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4CCA8A8"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A6F29F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Pending the completion</w:t>
            </w:r>
          </w:p>
        </w:tc>
      </w:tr>
      <w:tr w:rsidR="007A00D2" w:rsidRPr="007A00D2" w14:paraId="2471FB2F"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27F4996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Chapter IV</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DAD275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6CBB75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04519A8"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5F643C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Begin</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39426C0"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59F89B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Pending the completion</w:t>
            </w:r>
          </w:p>
        </w:tc>
      </w:tr>
      <w:tr w:rsidR="007A00D2" w:rsidRPr="007A00D2" w14:paraId="237AB127"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43BDF02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Chapter V</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8B3A75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F28A3C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51EFE7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1146BB9"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7759244"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Begin</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479107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Pending the completion</w:t>
            </w:r>
          </w:p>
        </w:tc>
      </w:tr>
      <w:tr w:rsidR="007A00D2" w:rsidRPr="007A00D2" w14:paraId="5E4BC2E0"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34EAF6EA"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Proposal Defense</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50F4F5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7649341"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871F0BD"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62D717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86747F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D407EC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Pending the completion</w:t>
            </w:r>
          </w:p>
        </w:tc>
      </w:tr>
      <w:tr w:rsidR="007A00D2" w:rsidRPr="007A00D2" w14:paraId="6F75A2AF"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1B7FE28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lastRenderedPageBreak/>
              <w:t>IRB/ Site Permission</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421C550"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E9B3BF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4596660"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4B9485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Pending the completion</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318244A"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035150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r>
      <w:tr w:rsidR="007A00D2" w:rsidRPr="007A00D2" w14:paraId="0B47890E"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0EEF034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IRB Regis</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25E277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11DDF0B"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20293C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Begin</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7EBD730"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Pending the completion</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DAB387D"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CA2C409"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r>
      <w:tr w:rsidR="007A00D2" w:rsidRPr="007A00D2" w14:paraId="1E10DF87"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5261944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proofErr w:type="spellStart"/>
            <w:r w:rsidRPr="007A00D2">
              <w:rPr>
                <w:rFonts w:ascii="Times" w:eastAsia="Times" w:hAnsi="Times" w:cs="Times"/>
                <w:b/>
                <w:bCs/>
                <w:color w:val="000000"/>
                <w:kern w:val="0"/>
                <w:sz w:val="20"/>
                <w:szCs w:val="20"/>
                <w:lang w:eastAsia="ja-JP"/>
                <w14:ligatures w14:val="none"/>
              </w:rPr>
              <w:t>Spp</w:t>
            </w:r>
            <w:proofErr w:type="spellEnd"/>
            <w:r w:rsidRPr="007A00D2">
              <w:rPr>
                <w:rFonts w:ascii="Times" w:eastAsia="Times" w:hAnsi="Times" w:cs="Times"/>
                <w:b/>
                <w:bCs/>
                <w:color w:val="000000"/>
                <w:kern w:val="0"/>
                <w:sz w:val="20"/>
                <w:szCs w:val="20"/>
                <w:lang w:eastAsia="ja-JP"/>
                <w14:ligatures w14:val="none"/>
              </w:rPr>
              <w:t xml:space="preserve"> Conduct the Project</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4818E5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93E0AF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5C38DAB6"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0C2B5E8C"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 xml:space="preserve"> </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76D6DFF2"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Begin</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C5A44DF"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Pending the completion</w:t>
            </w:r>
          </w:p>
        </w:tc>
      </w:tr>
      <w:tr w:rsidR="007A00D2" w:rsidRPr="007A00D2" w14:paraId="67D1CDDC" w14:textId="77777777" w:rsidTr="007A00D2">
        <w:trPr>
          <w:trHeight w:val="375"/>
        </w:trPr>
        <w:tc>
          <w:tcPr>
            <w:tcW w:w="3046" w:type="dxa"/>
            <w:tcBorders>
              <w:top w:val="single" w:sz="12" w:space="0" w:color="000000"/>
              <w:left w:val="single" w:sz="12" w:space="0" w:color="000000"/>
              <w:bottom w:val="single" w:sz="12" w:space="0" w:color="000000"/>
              <w:right w:val="nil"/>
            </w:tcBorders>
            <w:shd w:val="clear" w:color="auto" w:fill="E8E8E8"/>
            <w:tcMar>
              <w:top w:w="15" w:type="dxa"/>
              <w:left w:w="15" w:type="dxa"/>
              <w:right w:w="15" w:type="dxa"/>
            </w:tcMar>
            <w:vAlign w:val="bottom"/>
          </w:tcPr>
          <w:p w14:paraId="085C0095"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sz w:val="20"/>
                <w:szCs w:val="20"/>
                <w:lang w:eastAsia="ja-JP"/>
                <w14:ligatures w14:val="none"/>
              </w:rPr>
              <w:t>Portfolio</w:t>
            </w:r>
          </w:p>
        </w:tc>
        <w:tc>
          <w:tcPr>
            <w:tcW w:w="162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C8F12FE"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Started</w:t>
            </w:r>
          </w:p>
        </w:tc>
        <w:tc>
          <w:tcPr>
            <w:tcW w:w="848"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27D8835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Refining</w:t>
            </w:r>
          </w:p>
        </w:tc>
        <w:tc>
          <w:tcPr>
            <w:tcW w:w="887"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3832D3F4"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Refining</w:t>
            </w:r>
          </w:p>
        </w:tc>
        <w:tc>
          <w:tcPr>
            <w:tcW w:w="896"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10FA1874"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Refine</w:t>
            </w:r>
          </w:p>
        </w:tc>
        <w:tc>
          <w:tcPr>
            <w:tcW w:w="84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6588C153"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000000"/>
                <w:kern w:val="0"/>
                <w:sz w:val="20"/>
                <w:szCs w:val="20"/>
                <w:lang w:eastAsia="ja-JP"/>
                <w14:ligatures w14:val="none"/>
              </w:rPr>
              <w:t>Refine</w:t>
            </w:r>
          </w:p>
        </w:tc>
        <w:tc>
          <w:tcPr>
            <w:tcW w:w="1213" w:type="dxa"/>
            <w:tcBorders>
              <w:top w:val="single" w:sz="12" w:space="0" w:color="000000"/>
              <w:left w:val="single" w:sz="12" w:space="0" w:color="000000"/>
              <w:bottom w:val="single" w:sz="12" w:space="0" w:color="000000"/>
              <w:right w:val="single" w:sz="12" w:space="0" w:color="000000"/>
            </w:tcBorders>
            <w:tcMar>
              <w:top w:w="15" w:type="dxa"/>
              <w:left w:w="15" w:type="dxa"/>
              <w:right w:w="15" w:type="dxa"/>
            </w:tcMar>
            <w:vAlign w:val="bottom"/>
          </w:tcPr>
          <w:p w14:paraId="4A6D8D48"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color w:val="242424"/>
                <w:kern w:val="0"/>
                <w:sz w:val="20"/>
                <w:szCs w:val="20"/>
                <w:lang w:eastAsia="ja-JP"/>
                <w14:ligatures w14:val="none"/>
              </w:rPr>
              <w:t>Pending the completion</w:t>
            </w:r>
          </w:p>
        </w:tc>
      </w:tr>
    </w:tbl>
    <w:p w14:paraId="76D34E6E"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color w:val="000000"/>
          <w:kern w:val="0"/>
          <w:lang w:eastAsia="ja-JP"/>
          <w14:ligatures w14:val="none"/>
        </w:rPr>
        <w:t xml:space="preserve"> </w:t>
      </w:r>
    </w:p>
    <w:p w14:paraId="2374C62D"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r w:rsidRPr="007A00D2">
        <w:rPr>
          <w:rFonts w:ascii="Times" w:eastAsia="Times" w:hAnsi="Times" w:cs="Times"/>
          <w:b/>
          <w:bCs/>
          <w:color w:val="000000"/>
          <w:kern w:val="0"/>
          <w:lang w:eastAsia="ja-JP"/>
          <w14:ligatures w14:val="none"/>
        </w:rPr>
        <w:t>Conclusion</w:t>
      </w:r>
    </w:p>
    <w:p w14:paraId="51E37BB2"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This chapter offers a framework to implement educational strategies of the AHRQ Fall Prevention Toolkit implementation among nursing staff working in an LTC unit. The project design utilizes mixed methods with pre-test and post-test measurements combined with qualitative open-ended responses to examine knowledge growth as well as gather nurse feedback about their thoughts regarding fall prevention strategies. Through the Evidence-Based Practice (EBP) STAR model, healthcare organizations can systemically handle problems by evaluating evidence to generate interventions and perform implementation and evaluation. </w:t>
      </w:r>
    </w:p>
    <w:p w14:paraId="1F0D4338"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The project runs a step-by-step process where base assessment tests determine initial knowledge and readiness, followed by training with AHRQ Fall Prevention Toolkit PowerPoint before concluding with end assessment tests that gauge knowledge and attitude modifications. The Iowa EBP Model functions as a theoretical systematic approach to evaluate confidence levels and readiness by using the C-Scale assessment and Intrinsic Motivation Inventory (IMI) to generate quantitative data about the intervention outcomes. Through open-ended surveys, the project team can collect qualitative information that reveals factors that assist or obstruct nurses in implementing fall prevention practices. The analysis of demographic data by </w:t>
      </w:r>
      <w:proofErr w:type="spellStart"/>
      <w:r w:rsidRPr="007A00D2">
        <w:rPr>
          <w:rFonts w:ascii="Times" w:eastAsia="Times" w:hAnsi="Times" w:cs="Times"/>
          <w:kern w:val="0"/>
          <w:lang w:eastAsia="ja-JP"/>
          <w14:ligatures w14:val="none"/>
        </w:rPr>
        <w:t>Intellectus</w:t>
      </w:r>
      <w:proofErr w:type="spellEnd"/>
      <w:r w:rsidRPr="007A00D2">
        <w:rPr>
          <w:rFonts w:ascii="Times" w:eastAsia="Times" w:hAnsi="Times" w:cs="Times"/>
          <w:kern w:val="0"/>
          <w:lang w:eastAsia="ja-JP"/>
          <w14:ligatures w14:val="none"/>
        </w:rPr>
        <w:t xml:space="preserve"> Statistics uses descriptive statistics, but paired t-tests monitor pretest-</w:t>
      </w:r>
      <w:proofErr w:type="gramStart"/>
      <w:r w:rsidRPr="007A00D2">
        <w:rPr>
          <w:rFonts w:ascii="Times" w:eastAsia="Times" w:hAnsi="Times" w:cs="Times"/>
          <w:kern w:val="0"/>
          <w:lang w:eastAsia="ja-JP"/>
          <w14:ligatures w14:val="none"/>
        </w:rPr>
        <w:t>posttest</w:t>
      </w:r>
      <w:proofErr w:type="gramEnd"/>
      <w:r w:rsidRPr="007A00D2">
        <w:rPr>
          <w:rFonts w:ascii="Times" w:eastAsia="Times" w:hAnsi="Times" w:cs="Times"/>
          <w:kern w:val="0"/>
          <w:lang w:eastAsia="ja-JP"/>
          <w14:ligatures w14:val="none"/>
        </w:rPr>
        <w:t xml:space="preserve"> changes. The </w:t>
      </w:r>
      <w:r w:rsidRPr="007A00D2">
        <w:rPr>
          <w:rFonts w:ascii="Times" w:eastAsia="Times" w:hAnsi="Times" w:cs="Times"/>
          <w:kern w:val="0"/>
          <w:lang w:eastAsia="ja-JP"/>
          <w14:ligatures w14:val="none"/>
        </w:rPr>
        <w:lastRenderedPageBreak/>
        <w:t xml:space="preserve">follow-up analysis through the Intrinsic Motivation Inventory (IMI) assesses the nursing staff's intrinsic drive toward using the fall prevention toolkit. </w:t>
      </w:r>
      <w:proofErr w:type="gramStart"/>
      <w:r w:rsidRPr="007A00D2">
        <w:rPr>
          <w:rFonts w:ascii="Times" w:eastAsia="Times" w:hAnsi="Times" w:cs="Times"/>
          <w:kern w:val="0"/>
          <w:lang w:eastAsia="ja-JP"/>
          <w14:ligatures w14:val="none"/>
        </w:rPr>
        <w:t>The</w:t>
      </w:r>
      <w:proofErr w:type="gramEnd"/>
      <w:r w:rsidRPr="007A00D2">
        <w:rPr>
          <w:rFonts w:ascii="Times" w:eastAsia="Times" w:hAnsi="Times" w:cs="Times"/>
          <w:kern w:val="0"/>
          <w:lang w:eastAsia="ja-JP"/>
          <w14:ligatures w14:val="none"/>
        </w:rPr>
        <w:t xml:space="preserve"> open-ended response analysis through the thematic method will identify what barriers exist and what elements create favorable conditions for implementing positive practices.</w:t>
      </w:r>
    </w:p>
    <w:p w14:paraId="5AD86FDE" w14:textId="77777777" w:rsidR="007A00D2" w:rsidRPr="007A00D2" w:rsidRDefault="007A00D2" w:rsidP="007A00D2">
      <w:pPr>
        <w:spacing w:after="0" w:line="480" w:lineRule="auto"/>
        <w:ind w:firstLine="720"/>
        <w:rPr>
          <w:rFonts w:ascii="Aptos" w:eastAsia="Times New Roman" w:hAnsi="Aptos" w:cs="Times New Roman"/>
          <w:kern w:val="0"/>
          <w:lang w:eastAsia="ja-JP"/>
          <w14:ligatures w14:val="none"/>
        </w:rPr>
      </w:pPr>
      <w:r w:rsidRPr="007A00D2">
        <w:rPr>
          <w:rFonts w:ascii="Times" w:eastAsia="Times" w:hAnsi="Times" w:cs="Times"/>
          <w:kern w:val="0"/>
          <w:lang w:eastAsia="ja-JP"/>
          <w14:ligatures w14:val="none"/>
        </w:rPr>
        <w:t xml:space="preserve">The intervention receives comprehensive evaluation through research methods that track nursing knowledge development together with measuring their increasing confidence levels and motivation in fall prevention. The </w:t>
      </w:r>
      <w:proofErr w:type="gramStart"/>
      <w:r w:rsidRPr="007A00D2">
        <w:rPr>
          <w:rFonts w:ascii="Times" w:eastAsia="Times" w:hAnsi="Times" w:cs="Times"/>
          <w:kern w:val="0"/>
          <w:lang w:eastAsia="ja-JP"/>
          <w14:ligatures w14:val="none"/>
        </w:rPr>
        <w:t>produced research findings</w:t>
      </w:r>
      <w:proofErr w:type="gramEnd"/>
      <w:r w:rsidRPr="007A00D2">
        <w:rPr>
          <w:rFonts w:ascii="Times" w:eastAsia="Times" w:hAnsi="Times" w:cs="Times"/>
          <w:kern w:val="0"/>
          <w:lang w:eastAsia="ja-JP"/>
          <w14:ligatures w14:val="none"/>
        </w:rPr>
        <w:t xml:space="preserve"> will contribute to the scientific understanding of effective educational methods that facilitate the adoption of evidence-based practice in long-term care facilities. Research findings will provide guidance for quality enhancement activities aiming to reduce fall hazards as well as strengthen patient protection practices in long-term care facilities.</w:t>
      </w:r>
    </w:p>
    <w:p w14:paraId="3C487E27" w14:textId="77777777" w:rsidR="007A00D2" w:rsidRPr="007A00D2" w:rsidRDefault="007A00D2" w:rsidP="007A00D2">
      <w:pPr>
        <w:spacing w:after="0" w:line="279" w:lineRule="auto"/>
        <w:rPr>
          <w:rFonts w:ascii="Aptos" w:eastAsia="Times New Roman" w:hAnsi="Aptos" w:cs="Times New Roman"/>
          <w:kern w:val="0"/>
          <w:lang w:eastAsia="ja-JP"/>
          <w14:ligatures w14:val="none"/>
        </w:rPr>
      </w:pPr>
    </w:p>
    <w:p w14:paraId="441C643A" w14:textId="77777777" w:rsidR="007A00D2" w:rsidRPr="007A00D2" w:rsidRDefault="007A00D2" w:rsidP="007A00D2">
      <w:pPr>
        <w:spacing w:line="279" w:lineRule="auto"/>
        <w:rPr>
          <w:rFonts w:ascii="Aptos" w:eastAsia="Times New Roman" w:hAnsi="Aptos" w:cs="Times New Roman"/>
          <w:kern w:val="0"/>
          <w:lang w:eastAsia="ja-JP"/>
          <w14:ligatures w14:val="none"/>
        </w:rPr>
      </w:pPr>
    </w:p>
    <w:p w14:paraId="13C1D8B0" w14:textId="77777777" w:rsidR="007A00D2" w:rsidRDefault="007A00D2"/>
    <w:sectPr w:rsidR="007A0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Times">
    <w:panose1 w:val="020206030504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C616"/>
    <w:multiLevelType w:val="hybridMultilevel"/>
    <w:tmpl w:val="711CCEF6"/>
    <w:lvl w:ilvl="0" w:tplc="6CF6A420">
      <w:start w:val="1"/>
      <w:numFmt w:val="decimal"/>
      <w:lvlText w:val="%1."/>
      <w:lvlJc w:val="left"/>
      <w:pPr>
        <w:ind w:left="720" w:hanging="360"/>
      </w:pPr>
    </w:lvl>
    <w:lvl w:ilvl="1" w:tplc="075CC79C">
      <w:start w:val="1"/>
      <w:numFmt w:val="lowerLetter"/>
      <w:lvlText w:val="%2."/>
      <w:lvlJc w:val="left"/>
      <w:pPr>
        <w:ind w:left="1440" w:hanging="360"/>
      </w:pPr>
    </w:lvl>
    <w:lvl w:ilvl="2" w:tplc="4C282036">
      <w:start w:val="1"/>
      <w:numFmt w:val="lowerRoman"/>
      <w:lvlText w:val="%3."/>
      <w:lvlJc w:val="right"/>
      <w:pPr>
        <w:ind w:left="2160" w:hanging="180"/>
      </w:pPr>
    </w:lvl>
    <w:lvl w:ilvl="3" w:tplc="0FD0200A">
      <w:start w:val="1"/>
      <w:numFmt w:val="decimal"/>
      <w:lvlText w:val="%4."/>
      <w:lvlJc w:val="left"/>
      <w:pPr>
        <w:ind w:left="2880" w:hanging="360"/>
      </w:pPr>
    </w:lvl>
    <w:lvl w:ilvl="4" w:tplc="9C96CEFC">
      <w:start w:val="1"/>
      <w:numFmt w:val="lowerLetter"/>
      <w:lvlText w:val="%5."/>
      <w:lvlJc w:val="left"/>
      <w:pPr>
        <w:ind w:left="3600" w:hanging="360"/>
      </w:pPr>
    </w:lvl>
    <w:lvl w:ilvl="5" w:tplc="1B724196">
      <w:start w:val="1"/>
      <w:numFmt w:val="lowerRoman"/>
      <w:lvlText w:val="%6."/>
      <w:lvlJc w:val="right"/>
      <w:pPr>
        <w:ind w:left="4320" w:hanging="180"/>
      </w:pPr>
    </w:lvl>
    <w:lvl w:ilvl="6" w:tplc="90E638D2">
      <w:start w:val="1"/>
      <w:numFmt w:val="decimal"/>
      <w:lvlText w:val="%7."/>
      <w:lvlJc w:val="left"/>
      <w:pPr>
        <w:ind w:left="5040" w:hanging="360"/>
      </w:pPr>
    </w:lvl>
    <w:lvl w:ilvl="7" w:tplc="1FE266B0">
      <w:start w:val="1"/>
      <w:numFmt w:val="lowerLetter"/>
      <w:lvlText w:val="%8."/>
      <w:lvlJc w:val="left"/>
      <w:pPr>
        <w:ind w:left="5760" w:hanging="360"/>
      </w:pPr>
    </w:lvl>
    <w:lvl w:ilvl="8" w:tplc="D16E1582">
      <w:start w:val="1"/>
      <w:numFmt w:val="lowerRoman"/>
      <w:lvlText w:val="%9."/>
      <w:lvlJc w:val="right"/>
      <w:pPr>
        <w:ind w:left="6480" w:hanging="180"/>
      </w:pPr>
    </w:lvl>
  </w:abstractNum>
  <w:abstractNum w:abstractNumId="1" w15:restartNumberingAfterBreak="0">
    <w:nsid w:val="367619E0"/>
    <w:multiLevelType w:val="hybridMultilevel"/>
    <w:tmpl w:val="0BF8ACDA"/>
    <w:lvl w:ilvl="0" w:tplc="A46425F2">
      <w:start w:val="1"/>
      <w:numFmt w:val="bullet"/>
      <w:lvlText w:val="·"/>
      <w:lvlJc w:val="left"/>
      <w:pPr>
        <w:ind w:left="720" w:hanging="360"/>
      </w:pPr>
      <w:rPr>
        <w:rFonts w:ascii="Symbol" w:hAnsi="Symbol" w:hint="default"/>
      </w:rPr>
    </w:lvl>
    <w:lvl w:ilvl="1" w:tplc="1D664844">
      <w:start w:val="1"/>
      <w:numFmt w:val="bullet"/>
      <w:lvlText w:val="o"/>
      <w:lvlJc w:val="left"/>
      <w:pPr>
        <w:ind w:left="1440" w:hanging="360"/>
      </w:pPr>
      <w:rPr>
        <w:rFonts w:ascii="Courier New" w:hAnsi="Courier New" w:hint="default"/>
      </w:rPr>
    </w:lvl>
    <w:lvl w:ilvl="2" w:tplc="C6900284">
      <w:start w:val="1"/>
      <w:numFmt w:val="bullet"/>
      <w:lvlText w:val=""/>
      <w:lvlJc w:val="left"/>
      <w:pPr>
        <w:ind w:left="2160" w:hanging="360"/>
      </w:pPr>
      <w:rPr>
        <w:rFonts w:ascii="Wingdings" w:hAnsi="Wingdings" w:hint="default"/>
      </w:rPr>
    </w:lvl>
    <w:lvl w:ilvl="3" w:tplc="F2EA855A">
      <w:start w:val="1"/>
      <w:numFmt w:val="bullet"/>
      <w:lvlText w:val=""/>
      <w:lvlJc w:val="left"/>
      <w:pPr>
        <w:ind w:left="2880" w:hanging="360"/>
      </w:pPr>
      <w:rPr>
        <w:rFonts w:ascii="Symbol" w:hAnsi="Symbol" w:hint="default"/>
      </w:rPr>
    </w:lvl>
    <w:lvl w:ilvl="4" w:tplc="55CE4500">
      <w:start w:val="1"/>
      <w:numFmt w:val="bullet"/>
      <w:lvlText w:val="o"/>
      <w:lvlJc w:val="left"/>
      <w:pPr>
        <w:ind w:left="3600" w:hanging="360"/>
      </w:pPr>
      <w:rPr>
        <w:rFonts w:ascii="Courier New" w:hAnsi="Courier New" w:hint="default"/>
      </w:rPr>
    </w:lvl>
    <w:lvl w:ilvl="5" w:tplc="722C6D80">
      <w:start w:val="1"/>
      <w:numFmt w:val="bullet"/>
      <w:lvlText w:val=""/>
      <w:lvlJc w:val="left"/>
      <w:pPr>
        <w:ind w:left="4320" w:hanging="360"/>
      </w:pPr>
      <w:rPr>
        <w:rFonts w:ascii="Wingdings" w:hAnsi="Wingdings" w:hint="default"/>
      </w:rPr>
    </w:lvl>
    <w:lvl w:ilvl="6" w:tplc="5D6C6436">
      <w:start w:val="1"/>
      <w:numFmt w:val="bullet"/>
      <w:lvlText w:val=""/>
      <w:lvlJc w:val="left"/>
      <w:pPr>
        <w:ind w:left="5040" w:hanging="360"/>
      </w:pPr>
      <w:rPr>
        <w:rFonts w:ascii="Symbol" w:hAnsi="Symbol" w:hint="default"/>
      </w:rPr>
    </w:lvl>
    <w:lvl w:ilvl="7" w:tplc="F3AA8AF8">
      <w:start w:val="1"/>
      <w:numFmt w:val="bullet"/>
      <w:lvlText w:val="o"/>
      <w:lvlJc w:val="left"/>
      <w:pPr>
        <w:ind w:left="5760" w:hanging="360"/>
      </w:pPr>
      <w:rPr>
        <w:rFonts w:ascii="Courier New" w:hAnsi="Courier New" w:hint="default"/>
      </w:rPr>
    </w:lvl>
    <w:lvl w:ilvl="8" w:tplc="D3FAD88C">
      <w:start w:val="1"/>
      <w:numFmt w:val="bullet"/>
      <w:lvlText w:val=""/>
      <w:lvlJc w:val="left"/>
      <w:pPr>
        <w:ind w:left="6480" w:hanging="360"/>
      </w:pPr>
      <w:rPr>
        <w:rFonts w:ascii="Wingdings" w:hAnsi="Wingdings" w:hint="default"/>
      </w:rPr>
    </w:lvl>
  </w:abstractNum>
  <w:abstractNum w:abstractNumId="2" w15:restartNumberingAfterBreak="0">
    <w:nsid w:val="44773058"/>
    <w:multiLevelType w:val="hybridMultilevel"/>
    <w:tmpl w:val="33F488DC"/>
    <w:lvl w:ilvl="0" w:tplc="EEF6F360">
      <w:start w:val="1"/>
      <w:numFmt w:val="decimal"/>
      <w:lvlText w:val="%1."/>
      <w:lvlJc w:val="left"/>
      <w:pPr>
        <w:ind w:left="720" w:hanging="360"/>
      </w:pPr>
    </w:lvl>
    <w:lvl w:ilvl="1" w:tplc="2CAC18DA">
      <w:start w:val="1"/>
      <w:numFmt w:val="lowerLetter"/>
      <w:lvlText w:val="%2."/>
      <w:lvlJc w:val="left"/>
      <w:pPr>
        <w:ind w:left="1440" w:hanging="360"/>
      </w:pPr>
    </w:lvl>
    <w:lvl w:ilvl="2" w:tplc="D5FE11C4">
      <w:start w:val="1"/>
      <w:numFmt w:val="lowerRoman"/>
      <w:lvlText w:val="%3."/>
      <w:lvlJc w:val="right"/>
      <w:pPr>
        <w:ind w:left="2160" w:hanging="180"/>
      </w:pPr>
    </w:lvl>
    <w:lvl w:ilvl="3" w:tplc="C8F85D44">
      <w:start w:val="1"/>
      <w:numFmt w:val="decimal"/>
      <w:lvlText w:val="%4."/>
      <w:lvlJc w:val="left"/>
      <w:pPr>
        <w:ind w:left="2880" w:hanging="360"/>
      </w:pPr>
    </w:lvl>
    <w:lvl w:ilvl="4" w:tplc="89F4B988">
      <w:start w:val="1"/>
      <w:numFmt w:val="lowerLetter"/>
      <w:lvlText w:val="%5."/>
      <w:lvlJc w:val="left"/>
      <w:pPr>
        <w:ind w:left="3600" w:hanging="360"/>
      </w:pPr>
    </w:lvl>
    <w:lvl w:ilvl="5" w:tplc="0BA28FD6">
      <w:start w:val="1"/>
      <w:numFmt w:val="lowerRoman"/>
      <w:lvlText w:val="%6."/>
      <w:lvlJc w:val="right"/>
      <w:pPr>
        <w:ind w:left="4320" w:hanging="180"/>
      </w:pPr>
    </w:lvl>
    <w:lvl w:ilvl="6" w:tplc="A432B840">
      <w:start w:val="1"/>
      <w:numFmt w:val="decimal"/>
      <w:lvlText w:val="%7."/>
      <w:lvlJc w:val="left"/>
      <w:pPr>
        <w:ind w:left="5040" w:hanging="360"/>
      </w:pPr>
    </w:lvl>
    <w:lvl w:ilvl="7" w:tplc="F5A8B1F4">
      <w:start w:val="1"/>
      <w:numFmt w:val="lowerLetter"/>
      <w:lvlText w:val="%8."/>
      <w:lvlJc w:val="left"/>
      <w:pPr>
        <w:ind w:left="5760" w:hanging="360"/>
      </w:pPr>
    </w:lvl>
    <w:lvl w:ilvl="8" w:tplc="689ECD30">
      <w:start w:val="1"/>
      <w:numFmt w:val="lowerRoman"/>
      <w:lvlText w:val="%9."/>
      <w:lvlJc w:val="right"/>
      <w:pPr>
        <w:ind w:left="6480" w:hanging="180"/>
      </w:pPr>
    </w:lvl>
  </w:abstractNum>
  <w:abstractNum w:abstractNumId="3" w15:restartNumberingAfterBreak="0">
    <w:nsid w:val="49D98E82"/>
    <w:multiLevelType w:val="hybridMultilevel"/>
    <w:tmpl w:val="A87AE95A"/>
    <w:lvl w:ilvl="0" w:tplc="B9A4725E">
      <w:start w:val="1"/>
      <w:numFmt w:val="decimal"/>
      <w:lvlText w:val="%1)"/>
      <w:lvlJc w:val="left"/>
      <w:pPr>
        <w:ind w:left="1080" w:hanging="360"/>
      </w:pPr>
      <w:rPr>
        <w:rFonts w:ascii="Times New Roman" w:hAnsi="Times New Roman" w:hint="default"/>
      </w:rPr>
    </w:lvl>
    <w:lvl w:ilvl="1" w:tplc="0E1ED27A">
      <w:start w:val="1"/>
      <w:numFmt w:val="lowerLetter"/>
      <w:lvlText w:val="%2."/>
      <w:lvlJc w:val="left"/>
      <w:pPr>
        <w:ind w:left="1440" w:hanging="360"/>
      </w:pPr>
    </w:lvl>
    <w:lvl w:ilvl="2" w:tplc="52888636">
      <w:start w:val="1"/>
      <w:numFmt w:val="lowerRoman"/>
      <w:lvlText w:val="%3."/>
      <w:lvlJc w:val="right"/>
      <w:pPr>
        <w:ind w:left="2160" w:hanging="180"/>
      </w:pPr>
    </w:lvl>
    <w:lvl w:ilvl="3" w:tplc="49BC17DE">
      <w:start w:val="1"/>
      <w:numFmt w:val="decimal"/>
      <w:lvlText w:val="%4."/>
      <w:lvlJc w:val="left"/>
      <w:pPr>
        <w:ind w:left="2880" w:hanging="360"/>
      </w:pPr>
    </w:lvl>
    <w:lvl w:ilvl="4" w:tplc="17986FD8">
      <w:start w:val="1"/>
      <w:numFmt w:val="lowerLetter"/>
      <w:lvlText w:val="%5."/>
      <w:lvlJc w:val="left"/>
      <w:pPr>
        <w:ind w:left="3600" w:hanging="360"/>
      </w:pPr>
    </w:lvl>
    <w:lvl w:ilvl="5" w:tplc="49022A46">
      <w:start w:val="1"/>
      <w:numFmt w:val="lowerRoman"/>
      <w:lvlText w:val="%6."/>
      <w:lvlJc w:val="right"/>
      <w:pPr>
        <w:ind w:left="4320" w:hanging="180"/>
      </w:pPr>
    </w:lvl>
    <w:lvl w:ilvl="6" w:tplc="36B07F80">
      <w:start w:val="1"/>
      <w:numFmt w:val="decimal"/>
      <w:lvlText w:val="%7."/>
      <w:lvlJc w:val="left"/>
      <w:pPr>
        <w:ind w:left="5040" w:hanging="360"/>
      </w:pPr>
    </w:lvl>
    <w:lvl w:ilvl="7" w:tplc="F9DAAED2">
      <w:start w:val="1"/>
      <w:numFmt w:val="lowerLetter"/>
      <w:lvlText w:val="%8."/>
      <w:lvlJc w:val="left"/>
      <w:pPr>
        <w:ind w:left="5760" w:hanging="360"/>
      </w:pPr>
    </w:lvl>
    <w:lvl w:ilvl="8" w:tplc="2112F872">
      <w:start w:val="1"/>
      <w:numFmt w:val="lowerRoman"/>
      <w:lvlText w:val="%9."/>
      <w:lvlJc w:val="right"/>
      <w:pPr>
        <w:ind w:left="6480" w:hanging="180"/>
      </w:pPr>
    </w:lvl>
  </w:abstractNum>
  <w:abstractNum w:abstractNumId="4" w15:restartNumberingAfterBreak="0">
    <w:nsid w:val="50B242D4"/>
    <w:multiLevelType w:val="hybridMultilevel"/>
    <w:tmpl w:val="572EE920"/>
    <w:lvl w:ilvl="0" w:tplc="26725EC0">
      <w:start w:val="1"/>
      <w:numFmt w:val="bullet"/>
      <w:lvlText w:val="·"/>
      <w:lvlJc w:val="left"/>
      <w:pPr>
        <w:ind w:left="720" w:hanging="360"/>
      </w:pPr>
      <w:rPr>
        <w:rFonts w:ascii="Symbol" w:hAnsi="Symbol" w:hint="default"/>
      </w:rPr>
    </w:lvl>
    <w:lvl w:ilvl="1" w:tplc="509CE368">
      <w:start w:val="1"/>
      <w:numFmt w:val="bullet"/>
      <w:lvlText w:val="o"/>
      <w:lvlJc w:val="left"/>
      <w:pPr>
        <w:ind w:left="1440" w:hanging="360"/>
      </w:pPr>
      <w:rPr>
        <w:rFonts w:ascii="Courier New" w:hAnsi="Courier New" w:hint="default"/>
      </w:rPr>
    </w:lvl>
    <w:lvl w:ilvl="2" w:tplc="CC58C10A">
      <w:start w:val="1"/>
      <w:numFmt w:val="bullet"/>
      <w:lvlText w:val=""/>
      <w:lvlJc w:val="left"/>
      <w:pPr>
        <w:ind w:left="2160" w:hanging="360"/>
      </w:pPr>
      <w:rPr>
        <w:rFonts w:ascii="Wingdings" w:hAnsi="Wingdings" w:hint="default"/>
      </w:rPr>
    </w:lvl>
    <w:lvl w:ilvl="3" w:tplc="53E60934">
      <w:start w:val="1"/>
      <w:numFmt w:val="bullet"/>
      <w:lvlText w:val=""/>
      <w:lvlJc w:val="left"/>
      <w:pPr>
        <w:ind w:left="2880" w:hanging="360"/>
      </w:pPr>
      <w:rPr>
        <w:rFonts w:ascii="Symbol" w:hAnsi="Symbol" w:hint="default"/>
      </w:rPr>
    </w:lvl>
    <w:lvl w:ilvl="4" w:tplc="79CAA296">
      <w:start w:val="1"/>
      <w:numFmt w:val="bullet"/>
      <w:lvlText w:val="o"/>
      <w:lvlJc w:val="left"/>
      <w:pPr>
        <w:ind w:left="3600" w:hanging="360"/>
      </w:pPr>
      <w:rPr>
        <w:rFonts w:ascii="Courier New" w:hAnsi="Courier New" w:hint="default"/>
      </w:rPr>
    </w:lvl>
    <w:lvl w:ilvl="5" w:tplc="D83616F2">
      <w:start w:val="1"/>
      <w:numFmt w:val="bullet"/>
      <w:lvlText w:val=""/>
      <w:lvlJc w:val="left"/>
      <w:pPr>
        <w:ind w:left="4320" w:hanging="360"/>
      </w:pPr>
      <w:rPr>
        <w:rFonts w:ascii="Wingdings" w:hAnsi="Wingdings" w:hint="default"/>
      </w:rPr>
    </w:lvl>
    <w:lvl w:ilvl="6" w:tplc="A9A81A74">
      <w:start w:val="1"/>
      <w:numFmt w:val="bullet"/>
      <w:lvlText w:val=""/>
      <w:lvlJc w:val="left"/>
      <w:pPr>
        <w:ind w:left="5040" w:hanging="360"/>
      </w:pPr>
      <w:rPr>
        <w:rFonts w:ascii="Symbol" w:hAnsi="Symbol" w:hint="default"/>
      </w:rPr>
    </w:lvl>
    <w:lvl w:ilvl="7" w:tplc="59C67B00">
      <w:start w:val="1"/>
      <w:numFmt w:val="bullet"/>
      <w:lvlText w:val="o"/>
      <w:lvlJc w:val="left"/>
      <w:pPr>
        <w:ind w:left="5760" w:hanging="360"/>
      </w:pPr>
      <w:rPr>
        <w:rFonts w:ascii="Courier New" w:hAnsi="Courier New" w:hint="default"/>
      </w:rPr>
    </w:lvl>
    <w:lvl w:ilvl="8" w:tplc="54744840">
      <w:start w:val="1"/>
      <w:numFmt w:val="bullet"/>
      <w:lvlText w:val=""/>
      <w:lvlJc w:val="left"/>
      <w:pPr>
        <w:ind w:left="6480" w:hanging="360"/>
      </w:pPr>
      <w:rPr>
        <w:rFonts w:ascii="Wingdings" w:hAnsi="Wingdings" w:hint="default"/>
      </w:rPr>
    </w:lvl>
  </w:abstractNum>
  <w:abstractNum w:abstractNumId="5" w15:restartNumberingAfterBreak="0">
    <w:nsid w:val="6AD30D4E"/>
    <w:multiLevelType w:val="hybridMultilevel"/>
    <w:tmpl w:val="9C7E3BB0"/>
    <w:lvl w:ilvl="0" w:tplc="4EEE937E">
      <w:start w:val="1"/>
      <w:numFmt w:val="decimal"/>
      <w:lvlText w:val="%1."/>
      <w:lvlJc w:val="left"/>
      <w:pPr>
        <w:ind w:left="720" w:hanging="360"/>
      </w:pPr>
    </w:lvl>
    <w:lvl w:ilvl="1" w:tplc="E3420554">
      <w:start w:val="1"/>
      <w:numFmt w:val="lowerLetter"/>
      <w:lvlText w:val="%2."/>
      <w:lvlJc w:val="left"/>
      <w:pPr>
        <w:ind w:left="1440" w:hanging="360"/>
      </w:pPr>
    </w:lvl>
    <w:lvl w:ilvl="2" w:tplc="D214DF1A">
      <w:start w:val="1"/>
      <w:numFmt w:val="lowerRoman"/>
      <w:lvlText w:val="%3."/>
      <w:lvlJc w:val="right"/>
      <w:pPr>
        <w:ind w:left="2160" w:hanging="180"/>
      </w:pPr>
    </w:lvl>
    <w:lvl w:ilvl="3" w:tplc="63A407C8">
      <w:start w:val="1"/>
      <w:numFmt w:val="decimal"/>
      <w:lvlText w:val="%4."/>
      <w:lvlJc w:val="left"/>
      <w:pPr>
        <w:ind w:left="2880" w:hanging="360"/>
      </w:pPr>
    </w:lvl>
    <w:lvl w:ilvl="4" w:tplc="C8027838">
      <w:start w:val="1"/>
      <w:numFmt w:val="lowerLetter"/>
      <w:lvlText w:val="%5."/>
      <w:lvlJc w:val="left"/>
      <w:pPr>
        <w:ind w:left="3600" w:hanging="360"/>
      </w:pPr>
    </w:lvl>
    <w:lvl w:ilvl="5" w:tplc="94BEE1BE">
      <w:start w:val="1"/>
      <w:numFmt w:val="lowerRoman"/>
      <w:lvlText w:val="%6."/>
      <w:lvlJc w:val="right"/>
      <w:pPr>
        <w:ind w:left="4320" w:hanging="180"/>
      </w:pPr>
    </w:lvl>
    <w:lvl w:ilvl="6" w:tplc="BADC0ABE">
      <w:start w:val="1"/>
      <w:numFmt w:val="decimal"/>
      <w:lvlText w:val="%7."/>
      <w:lvlJc w:val="left"/>
      <w:pPr>
        <w:ind w:left="5040" w:hanging="360"/>
      </w:pPr>
    </w:lvl>
    <w:lvl w:ilvl="7" w:tplc="75B2CCEE">
      <w:start w:val="1"/>
      <w:numFmt w:val="lowerLetter"/>
      <w:lvlText w:val="%8."/>
      <w:lvlJc w:val="left"/>
      <w:pPr>
        <w:ind w:left="5760" w:hanging="360"/>
      </w:pPr>
    </w:lvl>
    <w:lvl w:ilvl="8" w:tplc="6EB6CC20">
      <w:start w:val="1"/>
      <w:numFmt w:val="lowerRoman"/>
      <w:lvlText w:val="%9."/>
      <w:lvlJc w:val="right"/>
      <w:pPr>
        <w:ind w:left="6480" w:hanging="180"/>
      </w:pPr>
    </w:lvl>
  </w:abstractNum>
  <w:num w:numId="1" w16cid:durableId="1822192374">
    <w:abstractNumId w:val="3"/>
  </w:num>
  <w:num w:numId="2" w16cid:durableId="1130705627">
    <w:abstractNumId w:val="2"/>
  </w:num>
  <w:num w:numId="3" w16cid:durableId="703023858">
    <w:abstractNumId w:val="1"/>
  </w:num>
  <w:num w:numId="4" w16cid:durableId="780685276">
    <w:abstractNumId w:val="4"/>
  </w:num>
  <w:num w:numId="5" w16cid:durableId="1823694987">
    <w:abstractNumId w:val="0"/>
  </w:num>
  <w:num w:numId="6" w16cid:durableId="67084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D2"/>
    <w:rsid w:val="000E6D4A"/>
    <w:rsid w:val="007A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66AFA"/>
  <w15:chartTrackingRefBased/>
  <w15:docId w15:val="{59181CC7-96D4-4E78-A4F0-952D72A2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0D2"/>
    <w:rPr>
      <w:rFonts w:eastAsiaTheme="majorEastAsia" w:cstheme="majorBidi"/>
      <w:color w:val="272727" w:themeColor="text1" w:themeTint="D8"/>
    </w:rPr>
  </w:style>
  <w:style w:type="paragraph" w:styleId="Title">
    <w:name w:val="Title"/>
    <w:basedOn w:val="Normal"/>
    <w:next w:val="Normal"/>
    <w:link w:val="TitleChar"/>
    <w:uiPriority w:val="10"/>
    <w:qFormat/>
    <w:rsid w:val="007A0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0D2"/>
    <w:pPr>
      <w:spacing w:before="160"/>
      <w:jc w:val="center"/>
    </w:pPr>
    <w:rPr>
      <w:i/>
      <w:iCs/>
      <w:color w:val="404040" w:themeColor="text1" w:themeTint="BF"/>
    </w:rPr>
  </w:style>
  <w:style w:type="character" w:customStyle="1" w:styleId="QuoteChar">
    <w:name w:val="Quote Char"/>
    <w:basedOn w:val="DefaultParagraphFont"/>
    <w:link w:val="Quote"/>
    <w:uiPriority w:val="29"/>
    <w:rsid w:val="007A00D2"/>
    <w:rPr>
      <w:i/>
      <w:iCs/>
      <w:color w:val="404040" w:themeColor="text1" w:themeTint="BF"/>
    </w:rPr>
  </w:style>
  <w:style w:type="paragraph" w:styleId="ListParagraph">
    <w:name w:val="List Paragraph"/>
    <w:basedOn w:val="Normal"/>
    <w:uiPriority w:val="34"/>
    <w:qFormat/>
    <w:rsid w:val="007A00D2"/>
    <w:pPr>
      <w:ind w:left="720"/>
      <w:contextualSpacing/>
    </w:pPr>
  </w:style>
  <w:style w:type="character" w:styleId="IntenseEmphasis">
    <w:name w:val="Intense Emphasis"/>
    <w:basedOn w:val="DefaultParagraphFont"/>
    <w:uiPriority w:val="21"/>
    <w:qFormat/>
    <w:rsid w:val="007A00D2"/>
    <w:rPr>
      <w:i/>
      <w:iCs/>
      <w:color w:val="0F4761" w:themeColor="accent1" w:themeShade="BF"/>
    </w:rPr>
  </w:style>
  <w:style w:type="paragraph" w:styleId="IntenseQuote">
    <w:name w:val="Intense Quote"/>
    <w:basedOn w:val="Normal"/>
    <w:next w:val="Normal"/>
    <w:link w:val="IntenseQuoteChar"/>
    <w:uiPriority w:val="30"/>
    <w:qFormat/>
    <w:rsid w:val="007A0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0D2"/>
    <w:rPr>
      <w:i/>
      <w:iCs/>
      <w:color w:val="0F4761" w:themeColor="accent1" w:themeShade="BF"/>
    </w:rPr>
  </w:style>
  <w:style w:type="character" w:styleId="IntenseReference">
    <w:name w:val="Intense Reference"/>
    <w:basedOn w:val="DefaultParagraphFont"/>
    <w:uiPriority w:val="32"/>
    <w:qFormat/>
    <w:rsid w:val="007A00D2"/>
    <w:rPr>
      <w:b/>
      <w:bCs/>
      <w:smallCaps/>
      <w:color w:val="0F4761" w:themeColor="accent1" w:themeShade="BF"/>
      <w:spacing w:val="5"/>
    </w:rPr>
  </w:style>
  <w:style w:type="table" w:customStyle="1" w:styleId="TableGrid1">
    <w:name w:val="Table Grid1"/>
    <w:basedOn w:val="TableNormal"/>
    <w:next w:val="TableGrid"/>
    <w:uiPriority w:val="59"/>
    <w:rsid w:val="007A00D2"/>
    <w:pPr>
      <w:spacing w:after="0" w:line="240" w:lineRule="auto"/>
    </w:pPr>
    <w:rPr>
      <w:rFonts w:eastAsia="Times New Roman"/>
      <w:kern w:val="0"/>
      <w:lang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A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355412">
      <w:bodyDiv w:val="1"/>
      <w:marLeft w:val="0"/>
      <w:marRight w:val="0"/>
      <w:marTop w:val="0"/>
      <w:marBottom w:val="0"/>
      <w:divBdr>
        <w:top w:val="none" w:sz="0" w:space="0" w:color="auto"/>
        <w:left w:val="none" w:sz="0" w:space="0" w:color="auto"/>
        <w:bottom w:val="none" w:sz="0" w:space="0" w:color="auto"/>
        <w:right w:val="none" w:sz="0" w:space="0" w:color="auto"/>
      </w:divBdr>
      <w:divsChild>
        <w:div w:id="649557807">
          <w:marLeft w:val="0"/>
          <w:marRight w:val="0"/>
          <w:marTop w:val="0"/>
          <w:marBottom w:val="0"/>
          <w:divBdr>
            <w:top w:val="none" w:sz="0" w:space="0" w:color="auto"/>
            <w:left w:val="none" w:sz="0" w:space="0" w:color="auto"/>
            <w:bottom w:val="none" w:sz="0" w:space="0" w:color="auto"/>
            <w:right w:val="none" w:sz="0" w:space="0" w:color="auto"/>
          </w:divBdr>
          <w:divsChild>
            <w:div w:id="171800749">
              <w:marLeft w:val="0"/>
              <w:marRight w:val="0"/>
              <w:marTop w:val="0"/>
              <w:marBottom w:val="0"/>
              <w:divBdr>
                <w:top w:val="none" w:sz="0" w:space="0" w:color="auto"/>
                <w:left w:val="none" w:sz="0" w:space="0" w:color="auto"/>
                <w:bottom w:val="none" w:sz="0" w:space="0" w:color="auto"/>
                <w:right w:val="none" w:sz="0" w:space="0" w:color="auto"/>
              </w:divBdr>
            </w:div>
          </w:divsChild>
        </w:div>
        <w:div w:id="949705048">
          <w:marLeft w:val="0"/>
          <w:marRight w:val="0"/>
          <w:marTop w:val="0"/>
          <w:marBottom w:val="0"/>
          <w:divBdr>
            <w:top w:val="none" w:sz="0" w:space="0" w:color="auto"/>
            <w:left w:val="none" w:sz="0" w:space="0" w:color="auto"/>
            <w:bottom w:val="none" w:sz="0" w:space="0" w:color="auto"/>
            <w:right w:val="none" w:sz="0" w:space="0" w:color="auto"/>
          </w:divBdr>
          <w:divsChild>
            <w:div w:id="2041977335">
              <w:marLeft w:val="0"/>
              <w:marRight w:val="0"/>
              <w:marTop w:val="0"/>
              <w:marBottom w:val="0"/>
              <w:divBdr>
                <w:top w:val="none" w:sz="0" w:space="0" w:color="auto"/>
                <w:left w:val="none" w:sz="0" w:space="0" w:color="auto"/>
                <w:bottom w:val="none" w:sz="0" w:space="0" w:color="auto"/>
                <w:right w:val="none" w:sz="0" w:space="0" w:color="auto"/>
              </w:divBdr>
              <w:divsChild>
                <w:div w:id="2086680786">
                  <w:marLeft w:val="0"/>
                  <w:marRight w:val="0"/>
                  <w:marTop w:val="0"/>
                  <w:marBottom w:val="0"/>
                  <w:divBdr>
                    <w:top w:val="none" w:sz="0" w:space="0" w:color="auto"/>
                    <w:left w:val="none" w:sz="0" w:space="0" w:color="auto"/>
                    <w:bottom w:val="none" w:sz="0" w:space="0" w:color="auto"/>
                    <w:right w:val="none" w:sz="0" w:space="0" w:color="auto"/>
                  </w:divBdr>
                  <w:divsChild>
                    <w:div w:id="1779258307">
                      <w:marLeft w:val="0"/>
                      <w:marRight w:val="0"/>
                      <w:marTop w:val="0"/>
                      <w:marBottom w:val="0"/>
                      <w:divBdr>
                        <w:top w:val="none" w:sz="0" w:space="0" w:color="auto"/>
                        <w:left w:val="none" w:sz="0" w:space="0" w:color="auto"/>
                        <w:bottom w:val="none" w:sz="0" w:space="0" w:color="auto"/>
                        <w:right w:val="none" w:sz="0" w:space="0" w:color="auto"/>
                      </w:divBdr>
                      <w:divsChild>
                        <w:div w:id="193083041">
                          <w:marLeft w:val="0"/>
                          <w:marRight w:val="0"/>
                          <w:marTop w:val="0"/>
                          <w:marBottom w:val="0"/>
                          <w:divBdr>
                            <w:top w:val="none" w:sz="0" w:space="0" w:color="auto"/>
                            <w:left w:val="none" w:sz="0" w:space="0" w:color="auto"/>
                            <w:bottom w:val="none" w:sz="0" w:space="0" w:color="auto"/>
                            <w:right w:val="none" w:sz="0" w:space="0" w:color="auto"/>
                          </w:divBdr>
                          <w:divsChild>
                            <w:div w:id="1621260533">
                              <w:marLeft w:val="0"/>
                              <w:marRight w:val="0"/>
                              <w:marTop w:val="0"/>
                              <w:marBottom w:val="0"/>
                              <w:divBdr>
                                <w:top w:val="none" w:sz="0" w:space="0" w:color="auto"/>
                                <w:left w:val="none" w:sz="0" w:space="0" w:color="auto"/>
                                <w:bottom w:val="none" w:sz="0" w:space="0" w:color="auto"/>
                                <w:right w:val="none" w:sz="0" w:space="0" w:color="auto"/>
                              </w:divBdr>
                            </w:div>
                            <w:div w:id="970524479">
                              <w:marLeft w:val="0"/>
                              <w:marRight w:val="0"/>
                              <w:marTop w:val="0"/>
                              <w:marBottom w:val="0"/>
                              <w:divBdr>
                                <w:top w:val="none" w:sz="0" w:space="0" w:color="auto"/>
                                <w:left w:val="none" w:sz="0" w:space="0" w:color="auto"/>
                                <w:bottom w:val="none" w:sz="0" w:space="0" w:color="auto"/>
                                <w:right w:val="none" w:sz="0" w:space="0" w:color="auto"/>
                              </w:divBdr>
                              <w:divsChild>
                                <w:div w:id="18050594">
                                  <w:marLeft w:val="0"/>
                                  <w:marRight w:val="0"/>
                                  <w:marTop w:val="0"/>
                                  <w:marBottom w:val="0"/>
                                  <w:divBdr>
                                    <w:top w:val="none" w:sz="0" w:space="0" w:color="auto"/>
                                    <w:left w:val="none" w:sz="0" w:space="0" w:color="auto"/>
                                    <w:bottom w:val="none" w:sz="0" w:space="0" w:color="auto"/>
                                    <w:right w:val="none" w:sz="0" w:space="0" w:color="auto"/>
                                  </w:divBdr>
                                  <w:divsChild>
                                    <w:div w:id="20921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40258">
                          <w:marLeft w:val="0"/>
                          <w:marRight w:val="0"/>
                          <w:marTop w:val="0"/>
                          <w:marBottom w:val="0"/>
                          <w:divBdr>
                            <w:top w:val="none" w:sz="0" w:space="0" w:color="auto"/>
                            <w:left w:val="none" w:sz="0" w:space="0" w:color="auto"/>
                            <w:bottom w:val="none" w:sz="0" w:space="0" w:color="auto"/>
                            <w:right w:val="none" w:sz="0" w:space="0" w:color="auto"/>
                          </w:divBdr>
                          <w:divsChild>
                            <w:div w:id="844511985">
                              <w:marLeft w:val="0"/>
                              <w:marRight w:val="0"/>
                              <w:marTop w:val="0"/>
                              <w:marBottom w:val="0"/>
                              <w:divBdr>
                                <w:top w:val="none" w:sz="0" w:space="0" w:color="auto"/>
                                <w:left w:val="none" w:sz="0" w:space="0" w:color="auto"/>
                                <w:bottom w:val="none" w:sz="0" w:space="0" w:color="auto"/>
                                <w:right w:val="none" w:sz="0" w:space="0" w:color="auto"/>
                              </w:divBdr>
                              <w:divsChild>
                                <w:div w:id="2028871246">
                                  <w:marLeft w:val="0"/>
                                  <w:marRight w:val="0"/>
                                  <w:marTop w:val="0"/>
                                  <w:marBottom w:val="0"/>
                                  <w:divBdr>
                                    <w:top w:val="none" w:sz="0" w:space="0" w:color="auto"/>
                                    <w:left w:val="none" w:sz="0" w:space="0" w:color="auto"/>
                                    <w:bottom w:val="none" w:sz="0" w:space="0" w:color="auto"/>
                                    <w:right w:val="none" w:sz="0" w:space="0" w:color="auto"/>
                                  </w:divBdr>
                                  <w:divsChild>
                                    <w:div w:id="884558766">
                                      <w:marLeft w:val="0"/>
                                      <w:marRight w:val="0"/>
                                      <w:marTop w:val="0"/>
                                      <w:marBottom w:val="0"/>
                                      <w:divBdr>
                                        <w:top w:val="none" w:sz="0" w:space="0" w:color="auto"/>
                                        <w:left w:val="none" w:sz="0" w:space="0" w:color="auto"/>
                                        <w:bottom w:val="none" w:sz="0" w:space="0" w:color="auto"/>
                                        <w:right w:val="none" w:sz="0" w:space="0" w:color="auto"/>
                                      </w:divBdr>
                                      <w:divsChild>
                                        <w:div w:id="15019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266916">
      <w:bodyDiv w:val="1"/>
      <w:marLeft w:val="0"/>
      <w:marRight w:val="0"/>
      <w:marTop w:val="0"/>
      <w:marBottom w:val="0"/>
      <w:divBdr>
        <w:top w:val="none" w:sz="0" w:space="0" w:color="auto"/>
        <w:left w:val="none" w:sz="0" w:space="0" w:color="auto"/>
        <w:bottom w:val="none" w:sz="0" w:space="0" w:color="auto"/>
        <w:right w:val="none" w:sz="0" w:space="0" w:color="auto"/>
      </w:divBdr>
      <w:divsChild>
        <w:div w:id="1822647601">
          <w:marLeft w:val="0"/>
          <w:marRight w:val="0"/>
          <w:marTop w:val="0"/>
          <w:marBottom w:val="0"/>
          <w:divBdr>
            <w:top w:val="none" w:sz="0" w:space="0" w:color="auto"/>
            <w:left w:val="none" w:sz="0" w:space="0" w:color="auto"/>
            <w:bottom w:val="none" w:sz="0" w:space="0" w:color="auto"/>
            <w:right w:val="none" w:sz="0" w:space="0" w:color="auto"/>
          </w:divBdr>
          <w:divsChild>
            <w:div w:id="70592374">
              <w:marLeft w:val="0"/>
              <w:marRight w:val="0"/>
              <w:marTop w:val="0"/>
              <w:marBottom w:val="0"/>
              <w:divBdr>
                <w:top w:val="none" w:sz="0" w:space="0" w:color="auto"/>
                <w:left w:val="none" w:sz="0" w:space="0" w:color="auto"/>
                <w:bottom w:val="none" w:sz="0" w:space="0" w:color="auto"/>
                <w:right w:val="none" w:sz="0" w:space="0" w:color="auto"/>
              </w:divBdr>
            </w:div>
          </w:divsChild>
        </w:div>
        <w:div w:id="492187953">
          <w:marLeft w:val="0"/>
          <w:marRight w:val="0"/>
          <w:marTop w:val="0"/>
          <w:marBottom w:val="0"/>
          <w:divBdr>
            <w:top w:val="none" w:sz="0" w:space="0" w:color="auto"/>
            <w:left w:val="none" w:sz="0" w:space="0" w:color="auto"/>
            <w:bottom w:val="none" w:sz="0" w:space="0" w:color="auto"/>
            <w:right w:val="none" w:sz="0" w:space="0" w:color="auto"/>
          </w:divBdr>
          <w:divsChild>
            <w:div w:id="936984945">
              <w:marLeft w:val="0"/>
              <w:marRight w:val="0"/>
              <w:marTop w:val="0"/>
              <w:marBottom w:val="0"/>
              <w:divBdr>
                <w:top w:val="none" w:sz="0" w:space="0" w:color="auto"/>
                <w:left w:val="none" w:sz="0" w:space="0" w:color="auto"/>
                <w:bottom w:val="none" w:sz="0" w:space="0" w:color="auto"/>
                <w:right w:val="none" w:sz="0" w:space="0" w:color="auto"/>
              </w:divBdr>
              <w:divsChild>
                <w:div w:id="676467483">
                  <w:marLeft w:val="0"/>
                  <w:marRight w:val="0"/>
                  <w:marTop w:val="0"/>
                  <w:marBottom w:val="0"/>
                  <w:divBdr>
                    <w:top w:val="none" w:sz="0" w:space="0" w:color="auto"/>
                    <w:left w:val="none" w:sz="0" w:space="0" w:color="auto"/>
                    <w:bottom w:val="none" w:sz="0" w:space="0" w:color="auto"/>
                    <w:right w:val="none" w:sz="0" w:space="0" w:color="auto"/>
                  </w:divBdr>
                </w:div>
                <w:div w:id="137722305">
                  <w:marLeft w:val="0"/>
                  <w:marRight w:val="0"/>
                  <w:marTop w:val="0"/>
                  <w:marBottom w:val="0"/>
                  <w:divBdr>
                    <w:top w:val="none" w:sz="0" w:space="0" w:color="auto"/>
                    <w:left w:val="none" w:sz="0" w:space="0" w:color="auto"/>
                    <w:bottom w:val="none" w:sz="0" w:space="0" w:color="auto"/>
                    <w:right w:val="none" w:sz="0" w:space="0" w:color="auto"/>
                  </w:divBdr>
                </w:div>
                <w:div w:id="21173602">
                  <w:marLeft w:val="0"/>
                  <w:marRight w:val="0"/>
                  <w:marTop w:val="0"/>
                  <w:marBottom w:val="0"/>
                  <w:divBdr>
                    <w:top w:val="none" w:sz="0" w:space="0" w:color="auto"/>
                    <w:left w:val="none" w:sz="0" w:space="0" w:color="auto"/>
                    <w:bottom w:val="none" w:sz="0" w:space="0" w:color="auto"/>
                    <w:right w:val="none" w:sz="0" w:space="0" w:color="auto"/>
                  </w:divBdr>
                </w:div>
                <w:div w:id="1377973723">
                  <w:marLeft w:val="0"/>
                  <w:marRight w:val="0"/>
                  <w:marTop w:val="0"/>
                  <w:marBottom w:val="0"/>
                  <w:divBdr>
                    <w:top w:val="none" w:sz="0" w:space="0" w:color="auto"/>
                    <w:left w:val="none" w:sz="0" w:space="0" w:color="auto"/>
                    <w:bottom w:val="none" w:sz="0" w:space="0" w:color="auto"/>
                    <w:right w:val="none" w:sz="0" w:space="0" w:color="auto"/>
                  </w:divBdr>
                </w:div>
                <w:div w:id="8747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user/view.php?id=6974&amp;course=6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college2-my.sharepoint.com/personal/acap888_regiscollege_edu/Documents/Chapter%20III%20(741).docx" TargetMode="External"/><Relationship Id="rId5" Type="http://schemas.openxmlformats.org/officeDocument/2006/relationships/hyperlink" Target="https://myonline.regiscollege.edu/user/view.php?id=7601&amp;course=634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8049</Words>
  <Characters>46181</Characters>
  <Application>Microsoft Office Word</Application>
  <DocSecurity>0</DocSecurity>
  <Lines>962</Lines>
  <Paragraphs>366</Paragraphs>
  <ScaleCrop>false</ScaleCrop>
  <Company/>
  <LinksUpToDate>false</LinksUpToDate>
  <CharactersWithSpaces>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2025-03-14T02:23:00Z</dcterms:created>
  <dcterms:modified xsi:type="dcterms:W3CDTF">2025-03-14T02:27:00Z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0e3930c2-27a6-4cb6-82c2-014f47e64d83</vt:lpwstr>
  </property>
</Properties>
</file>